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5.xml" ContentType="application/vnd.openxmlformats-officedocument.wordprocessingml.header+xml"/>
  <Override PartName="/word/header16.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DC0DC5" w14:textId="77777777" w:rsidR="00AD4B2A" w:rsidRPr="00FD4EE9" w:rsidRDefault="00AD4B2A">
      <w:pPr>
        <w:spacing w:line="240" w:lineRule="atLeast"/>
        <w:jc w:val="center"/>
        <w:rPr>
          <w:b/>
          <w:sz w:val="32"/>
        </w:rPr>
      </w:pPr>
      <w:bookmarkStart w:id="0" w:name="_GoBack"/>
      <w:bookmarkEnd w:id="0"/>
    </w:p>
    <w:p w14:paraId="45093CD2" w14:textId="77777777" w:rsidR="00AD4B2A" w:rsidRPr="00FD4EE9" w:rsidRDefault="00591AA8">
      <w:pPr>
        <w:spacing w:line="240" w:lineRule="atLeast"/>
        <w:jc w:val="center"/>
      </w:pPr>
      <w:r w:rsidRPr="00FD4EE9">
        <w:rPr>
          <w:b/>
          <w:sz w:val="32"/>
        </w:rPr>
        <w:t>MONTREAL PROTOCOL</w:t>
      </w:r>
      <w:r w:rsidRPr="00FD4EE9">
        <w:rPr>
          <w:b/>
          <w:sz w:val="32"/>
        </w:rPr>
        <w:br/>
      </w:r>
      <w:r w:rsidRPr="00FD4EE9">
        <w:rPr>
          <w:b/>
          <w:sz w:val="32"/>
        </w:rPr>
        <w:br/>
        <w:t>ON SUBSTANCES THAT DEPLETE</w:t>
      </w:r>
      <w:r w:rsidRPr="00FD4EE9">
        <w:rPr>
          <w:b/>
          <w:sz w:val="32"/>
        </w:rPr>
        <w:br/>
      </w:r>
      <w:r w:rsidRPr="00FD4EE9">
        <w:rPr>
          <w:b/>
          <w:sz w:val="32"/>
        </w:rPr>
        <w:br/>
        <w:t>THE OZONE LAYER</w:t>
      </w:r>
      <w:r w:rsidRPr="00FD4EE9">
        <w:rPr>
          <w:b/>
          <w:sz w:val="32"/>
        </w:rPr>
        <w:br/>
      </w:r>
      <w:r w:rsidRPr="00FD4EE9">
        <w:rPr>
          <w:b/>
          <w:sz w:val="32"/>
        </w:rPr>
        <w:br/>
      </w:r>
    </w:p>
    <w:p w14:paraId="0E6F20AE" w14:textId="77777777" w:rsidR="00AD4B2A" w:rsidRPr="00FD4EE9" w:rsidRDefault="00B00967">
      <w:pPr>
        <w:spacing w:line="240" w:lineRule="atLeast"/>
        <w:jc w:val="center"/>
        <w:rPr>
          <w:sz w:val="172"/>
        </w:rPr>
      </w:pPr>
      <w:r w:rsidRPr="00FD4EE9">
        <w:rPr>
          <w:noProof/>
          <w:sz w:val="172"/>
          <w:lang w:val="en-US" w:eastAsia="en-US"/>
        </w:rPr>
        <w:drawing>
          <wp:inline distT="0" distB="0" distL="0" distR="0" wp14:anchorId="4CC100A1" wp14:editId="2342080B">
            <wp:extent cx="2908300" cy="2476500"/>
            <wp:effectExtent l="0" t="0" r="1270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8300" cy="2476500"/>
                    </a:xfrm>
                    <a:prstGeom prst="rect">
                      <a:avLst/>
                    </a:prstGeom>
                    <a:noFill/>
                    <a:ln>
                      <a:noFill/>
                    </a:ln>
                  </pic:spPr>
                </pic:pic>
              </a:graphicData>
            </a:graphic>
          </wp:inline>
        </w:drawing>
      </w:r>
    </w:p>
    <w:p w14:paraId="58456543" w14:textId="77777777" w:rsidR="00AD4B2A" w:rsidRPr="00FD4EE9" w:rsidRDefault="00591AA8">
      <w:pPr>
        <w:spacing w:line="240" w:lineRule="atLeast"/>
        <w:jc w:val="center"/>
        <w:outlineLvl w:val="0"/>
        <w:rPr>
          <w:sz w:val="172"/>
        </w:rPr>
      </w:pPr>
      <w:r w:rsidRPr="00FD4EE9">
        <w:rPr>
          <w:sz w:val="172"/>
        </w:rPr>
        <w:t>UNEP</w:t>
      </w:r>
    </w:p>
    <w:p w14:paraId="794AA210" w14:textId="77777777" w:rsidR="00AD4B2A" w:rsidRPr="00FD4EE9" w:rsidRDefault="00591AA8">
      <w:pPr>
        <w:spacing w:line="240" w:lineRule="atLeast"/>
        <w:jc w:val="center"/>
        <w:rPr>
          <w:b/>
          <w:smallCaps/>
          <w:sz w:val="32"/>
        </w:rPr>
      </w:pPr>
      <w:bookmarkStart w:id="1" w:name="OLE_LINK16"/>
      <w:bookmarkStart w:id="2" w:name="OLE_LINK17"/>
      <w:r w:rsidRPr="00FD4EE9">
        <w:rPr>
          <w:b/>
          <w:smallCaps/>
          <w:sz w:val="32"/>
        </w:rPr>
        <w:t>Report of the</w:t>
      </w:r>
      <w:r w:rsidRPr="00FD4EE9">
        <w:rPr>
          <w:b/>
          <w:smallCaps/>
          <w:sz w:val="32"/>
        </w:rPr>
        <w:br/>
        <w:t>Technology and Economic Assessment Panel</w:t>
      </w:r>
      <w:r w:rsidRPr="00FD4EE9">
        <w:rPr>
          <w:b/>
          <w:smallCaps/>
          <w:sz w:val="32"/>
        </w:rPr>
        <w:br/>
      </w:r>
    </w:p>
    <w:p w14:paraId="3F384124" w14:textId="77777777" w:rsidR="00AD4B2A" w:rsidRPr="00FD4EE9" w:rsidRDefault="00871C44">
      <w:pPr>
        <w:spacing w:after="120"/>
        <w:jc w:val="center"/>
        <w:rPr>
          <w:b/>
          <w:smallCaps/>
          <w:sz w:val="32"/>
        </w:rPr>
      </w:pPr>
      <w:r>
        <w:rPr>
          <w:b/>
          <w:smallCaps/>
          <w:sz w:val="32"/>
        </w:rPr>
        <w:t>MAY</w:t>
      </w:r>
      <w:r w:rsidR="00591AA8" w:rsidRPr="00FD4EE9">
        <w:rPr>
          <w:b/>
          <w:smallCaps/>
          <w:sz w:val="32"/>
        </w:rPr>
        <w:t xml:space="preserve"> </w:t>
      </w:r>
      <w:r w:rsidR="00A8345B" w:rsidRPr="00FD4EE9">
        <w:rPr>
          <w:b/>
          <w:smallCaps/>
          <w:sz w:val="32"/>
        </w:rPr>
        <w:t>201</w:t>
      </w:r>
      <w:r>
        <w:rPr>
          <w:b/>
          <w:smallCaps/>
          <w:sz w:val="32"/>
        </w:rPr>
        <w:t>7</w:t>
      </w:r>
    </w:p>
    <w:p w14:paraId="6C27C955" w14:textId="77777777" w:rsidR="00AD4B2A" w:rsidRPr="00FD4EE9" w:rsidRDefault="00AD4B2A">
      <w:pPr>
        <w:spacing w:after="120"/>
        <w:jc w:val="center"/>
        <w:rPr>
          <w:b/>
          <w:smallCaps/>
          <w:sz w:val="32"/>
        </w:rPr>
      </w:pPr>
    </w:p>
    <w:p w14:paraId="4D63B81E" w14:textId="77777777" w:rsidR="00AD4B2A" w:rsidRPr="00FD4EE9" w:rsidRDefault="00591AA8">
      <w:pPr>
        <w:spacing w:after="120"/>
        <w:jc w:val="center"/>
        <w:rPr>
          <w:b/>
          <w:smallCaps/>
          <w:sz w:val="32"/>
        </w:rPr>
      </w:pPr>
      <w:r w:rsidRPr="00FD4EE9">
        <w:rPr>
          <w:b/>
          <w:smallCaps/>
          <w:sz w:val="32"/>
        </w:rPr>
        <w:t>Volume 1</w:t>
      </w:r>
    </w:p>
    <w:p w14:paraId="059B22A8" w14:textId="77777777" w:rsidR="00AD4B2A" w:rsidRPr="00FD4EE9" w:rsidRDefault="00591AA8">
      <w:pPr>
        <w:spacing w:after="120"/>
        <w:jc w:val="center"/>
        <w:rPr>
          <w:b/>
          <w:smallCaps/>
          <w:sz w:val="30"/>
        </w:rPr>
      </w:pPr>
      <w:r w:rsidRPr="00FD4EE9">
        <w:rPr>
          <w:b/>
          <w:smallCaps/>
          <w:sz w:val="30"/>
        </w:rPr>
        <w:t>Progress Report</w:t>
      </w:r>
    </w:p>
    <w:bookmarkEnd w:id="1"/>
    <w:bookmarkEnd w:id="2"/>
    <w:p w14:paraId="2B8D2CA6" w14:textId="77777777" w:rsidR="00AD4B2A" w:rsidRPr="00FD4EE9" w:rsidRDefault="00AD4B2A">
      <w:pPr>
        <w:jc w:val="right"/>
        <w:rPr>
          <w:b/>
          <w:smallCaps/>
          <w:sz w:val="28"/>
        </w:rPr>
        <w:sectPr w:rsidR="00AD4B2A" w:rsidRPr="00FD4EE9" w:rsidSect="00C271CA">
          <w:headerReference w:type="even" r:id="rId13"/>
          <w:headerReference w:type="default" r:id="rId14"/>
          <w:footerReference w:type="default" r:id="rId15"/>
          <w:footerReference w:type="first" r:id="rId16"/>
          <w:footnotePr>
            <w:numRestart w:val="eachSect"/>
          </w:footnotePr>
          <w:type w:val="nextColumn"/>
          <w:pgSz w:w="11907" w:h="16839" w:code="9"/>
          <w:pgMar w:top="1440" w:right="1800" w:bottom="1526" w:left="1800" w:header="720" w:footer="792" w:gutter="0"/>
          <w:pgNumType w:fmt="lowerRoman"/>
          <w:cols w:space="720"/>
          <w:titlePg/>
          <w:docGrid w:linePitch="299"/>
        </w:sectPr>
      </w:pPr>
    </w:p>
    <w:p w14:paraId="61F696D2" w14:textId="77777777" w:rsidR="00AD4B2A" w:rsidRPr="00FD4EE9" w:rsidRDefault="00591AA8">
      <w:pPr>
        <w:spacing w:after="0"/>
        <w:jc w:val="right"/>
        <w:rPr>
          <w:b/>
          <w:smallCaps/>
          <w:sz w:val="28"/>
        </w:rPr>
      </w:pPr>
      <w:r w:rsidRPr="00FD4EE9">
        <w:rPr>
          <w:b/>
          <w:smallCaps/>
          <w:sz w:val="28"/>
        </w:rPr>
        <w:lastRenderedPageBreak/>
        <w:t>UNEP</w:t>
      </w:r>
      <w:r w:rsidRPr="00FD4EE9">
        <w:rPr>
          <w:b/>
          <w:smallCaps/>
          <w:sz w:val="28"/>
        </w:rPr>
        <w:br/>
      </w:r>
      <w:r w:rsidR="00871C44">
        <w:rPr>
          <w:b/>
          <w:smallCaps/>
          <w:sz w:val="28"/>
        </w:rPr>
        <w:t>May</w:t>
      </w:r>
      <w:r w:rsidR="00312589" w:rsidRPr="00FD4EE9">
        <w:rPr>
          <w:b/>
          <w:smallCaps/>
          <w:sz w:val="28"/>
        </w:rPr>
        <w:t xml:space="preserve"> 201</w:t>
      </w:r>
      <w:r w:rsidR="00871C44">
        <w:rPr>
          <w:b/>
          <w:smallCaps/>
          <w:sz w:val="28"/>
        </w:rPr>
        <w:t>7</w:t>
      </w:r>
      <w:r w:rsidRPr="00FD4EE9">
        <w:rPr>
          <w:b/>
          <w:smallCaps/>
          <w:sz w:val="28"/>
        </w:rPr>
        <w:t xml:space="preserve"> Report of the</w:t>
      </w:r>
      <w:r w:rsidRPr="00FD4EE9">
        <w:rPr>
          <w:b/>
          <w:smallCaps/>
          <w:sz w:val="28"/>
        </w:rPr>
        <w:br/>
        <w:t>Technology and Economic</w:t>
      </w:r>
      <w:r w:rsidRPr="00FD4EE9">
        <w:rPr>
          <w:b/>
          <w:smallCaps/>
          <w:sz w:val="28"/>
        </w:rPr>
        <w:br/>
        <w:t>Assessment Panel</w:t>
      </w:r>
      <w:r w:rsidRPr="00FD4EE9">
        <w:rPr>
          <w:b/>
          <w:smallCaps/>
          <w:sz w:val="28"/>
        </w:rPr>
        <w:br/>
      </w:r>
      <w:r w:rsidRPr="00FD4EE9">
        <w:rPr>
          <w:b/>
          <w:smallCaps/>
          <w:sz w:val="28"/>
        </w:rPr>
        <w:br/>
        <w:t>Volume 1</w:t>
      </w:r>
    </w:p>
    <w:p w14:paraId="4C04F12C" w14:textId="77777777" w:rsidR="00AD4B2A" w:rsidRPr="00FD4EE9" w:rsidRDefault="00591AA8">
      <w:pPr>
        <w:jc w:val="right"/>
        <w:rPr>
          <w:b/>
          <w:smallCaps/>
          <w:sz w:val="28"/>
        </w:rPr>
      </w:pPr>
      <w:r w:rsidRPr="00FD4EE9">
        <w:rPr>
          <w:b/>
          <w:smallCaps/>
          <w:sz w:val="28"/>
        </w:rPr>
        <w:t>Progress Report</w:t>
      </w:r>
    </w:p>
    <w:p w14:paraId="74A4FAA0" w14:textId="77777777" w:rsidR="00AD4B2A" w:rsidRPr="00FD4EE9" w:rsidRDefault="00AD4B2A">
      <w:pPr>
        <w:spacing w:before="100" w:after="100"/>
        <w:rPr>
          <w:b/>
        </w:rPr>
        <w:sectPr w:rsidR="00AD4B2A" w:rsidRPr="00FD4EE9" w:rsidSect="00C271CA">
          <w:headerReference w:type="even" r:id="rId17"/>
          <w:headerReference w:type="default" r:id="rId18"/>
          <w:footerReference w:type="even" r:id="rId19"/>
          <w:footerReference w:type="default" r:id="rId20"/>
          <w:headerReference w:type="first" r:id="rId21"/>
          <w:footnotePr>
            <w:numRestart w:val="eachSect"/>
          </w:footnotePr>
          <w:type w:val="oddPage"/>
          <w:pgSz w:w="11907" w:h="16839" w:code="9"/>
          <w:pgMar w:top="1440" w:right="1800" w:bottom="1526" w:left="1800" w:header="720" w:footer="792" w:gutter="0"/>
          <w:pgNumType w:fmt="lowerRoman"/>
          <w:cols w:space="720"/>
          <w:docGrid w:linePitch="299"/>
        </w:sectPr>
      </w:pPr>
    </w:p>
    <w:p w14:paraId="782FBD90" w14:textId="77777777" w:rsidR="00AD4B2A" w:rsidRPr="00FD4EE9" w:rsidRDefault="00591AA8">
      <w:pPr>
        <w:spacing w:before="240" w:after="100"/>
        <w:rPr>
          <w:b/>
          <w:sz w:val="24"/>
        </w:rPr>
      </w:pPr>
      <w:r w:rsidRPr="00FD4EE9">
        <w:rPr>
          <w:b/>
          <w:sz w:val="24"/>
        </w:rPr>
        <w:lastRenderedPageBreak/>
        <w:t>Montreal Protocol</w:t>
      </w:r>
      <w:r w:rsidRPr="00FD4EE9">
        <w:rPr>
          <w:b/>
          <w:sz w:val="24"/>
        </w:rPr>
        <w:br/>
      </w:r>
      <w:proofErr w:type="gramStart"/>
      <w:r w:rsidRPr="00FD4EE9">
        <w:rPr>
          <w:b/>
          <w:sz w:val="24"/>
        </w:rPr>
        <w:t>On</w:t>
      </w:r>
      <w:proofErr w:type="gramEnd"/>
      <w:r w:rsidRPr="00FD4EE9">
        <w:rPr>
          <w:b/>
          <w:sz w:val="24"/>
        </w:rPr>
        <w:t xml:space="preserve"> Substances that Deplete the Ozone Layer</w:t>
      </w:r>
    </w:p>
    <w:p w14:paraId="5A883DD0" w14:textId="77777777" w:rsidR="00AD4B2A" w:rsidRPr="00FD4EE9" w:rsidRDefault="00591AA8">
      <w:pPr>
        <w:spacing w:before="100" w:after="100"/>
        <w:outlineLvl w:val="0"/>
        <w:rPr>
          <w:sz w:val="28"/>
        </w:rPr>
      </w:pPr>
      <w:r w:rsidRPr="00FD4EE9">
        <w:rPr>
          <w:sz w:val="28"/>
        </w:rPr>
        <w:t>Report of the</w:t>
      </w:r>
      <w:r w:rsidRPr="00FD4EE9">
        <w:rPr>
          <w:sz w:val="28"/>
        </w:rPr>
        <w:br/>
        <w:t>UNEP Technology and Economic Assessment Panel</w:t>
      </w:r>
    </w:p>
    <w:p w14:paraId="37B8422F" w14:textId="77777777" w:rsidR="00AD4B2A" w:rsidRPr="00FD4EE9" w:rsidRDefault="00871C44">
      <w:pPr>
        <w:spacing w:before="100" w:after="100"/>
        <w:outlineLvl w:val="0"/>
        <w:rPr>
          <w:sz w:val="28"/>
        </w:rPr>
      </w:pPr>
      <w:r>
        <w:rPr>
          <w:sz w:val="28"/>
        </w:rPr>
        <w:t>May</w:t>
      </w:r>
      <w:r w:rsidR="00260C5C" w:rsidRPr="00FD4EE9">
        <w:rPr>
          <w:sz w:val="28"/>
        </w:rPr>
        <w:t xml:space="preserve"> </w:t>
      </w:r>
      <w:r w:rsidR="00312589" w:rsidRPr="00FD4EE9">
        <w:rPr>
          <w:sz w:val="28"/>
        </w:rPr>
        <w:t>201</w:t>
      </w:r>
      <w:r>
        <w:rPr>
          <w:sz w:val="28"/>
        </w:rPr>
        <w:t>7</w:t>
      </w:r>
    </w:p>
    <w:p w14:paraId="32CFD4F3" w14:textId="77777777" w:rsidR="00AD4B2A" w:rsidRPr="00FD4EE9" w:rsidRDefault="00591AA8">
      <w:pPr>
        <w:spacing w:before="100" w:after="100"/>
        <w:outlineLvl w:val="0"/>
        <w:rPr>
          <w:b/>
          <w:smallCaps/>
        </w:rPr>
      </w:pPr>
      <w:r w:rsidRPr="00FD4EE9">
        <w:rPr>
          <w:b/>
          <w:smallCaps/>
        </w:rPr>
        <w:t>Volume 1</w:t>
      </w:r>
    </w:p>
    <w:p w14:paraId="6A2939E1" w14:textId="77777777" w:rsidR="00AD4B2A" w:rsidRPr="00FD4EE9" w:rsidRDefault="00591AA8">
      <w:pPr>
        <w:spacing w:before="100" w:after="100"/>
        <w:outlineLvl w:val="0"/>
        <w:rPr>
          <w:b/>
          <w:smallCaps/>
          <w:sz w:val="32"/>
        </w:rPr>
      </w:pPr>
      <w:r w:rsidRPr="00FD4EE9">
        <w:rPr>
          <w:b/>
          <w:smallCaps/>
          <w:sz w:val="32"/>
        </w:rPr>
        <w:t>Progress Report</w:t>
      </w:r>
    </w:p>
    <w:p w14:paraId="4A9E5124" w14:textId="77777777" w:rsidR="00AD4B2A" w:rsidRPr="00FD4EE9" w:rsidRDefault="00AD4B2A">
      <w:pPr>
        <w:spacing w:before="100" w:after="100"/>
      </w:pPr>
    </w:p>
    <w:p w14:paraId="369BBB34" w14:textId="77777777" w:rsidR="00AD4B2A" w:rsidRPr="00FD4EE9" w:rsidRDefault="00591AA8">
      <w:pPr>
        <w:spacing w:before="100" w:after="100"/>
      </w:pPr>
      <w:r w:rsidRPr="00FD4EE9">
        <w:t>The text of this report is composed in Times New Roman.</w:t>
      </w:r>
    </w:p>
    <w:p w14:paraId="0F698DAA" w14:textId="77777777" w:rsidR="00AD4B2A" w:rsidRPr="00FD4EE9" w:rsidRDefault="00591AA8">
      <w:pPr>
        <w:tabs>
          <w:tab w:val="left" w:pos="3870"/>
        </w:tabs>
        <w:spacing w:before="100" w:after="100"/>
        <w:outlineLvl w:val="0"/>
        <w:rPr>
          <w:b/>
        </w:rPr>
      </w:pPr>
      <w:r w:rsidRPr="00FD4EE9">
        <w:t>Co-ordination:</w:t>
      </w:r>
      <w:r w:rsidRPr="00FD4EE9">
        <w:tab/>
      </w:r>
      <w:r w:rsidRPr="00FD4EE9">
        <w:rPr>
          <w:b/>
        </w:rPr>
        <w:t>Technology and Economic Assessment Panel</w:t>
      </w:r>
    </w:p>
    <w:p w14:paraId="5F6C6914" w14:textId="77777777" w:rsidR="00AD4B2A" w:rsidRPr="00FD4EE9" w:rsidRDefault="00591AA8">
      <w:pPr>
        <w:tabs>
          <w:tab w:val="left" w:pos="3870"/>
        </w:tabs>
        <w:spacing w:before="100" w:after="100"/>
      </w:pPr>
      <w:r w:rsidRPr="00FD4EE9">
        <w:t>Composition of the report:</w:t>
      </w:r>
      <w:r w:rsidRPr="00FD4EE9">
        <w:tab/>
      </w:r>
      <w:r w:rsidR="00312589" w:rsidRPr="00FD4EE9">
        <w:t xml:space="preserve">Bella Maranion, Marta Pizano, </w:t>
      </w:r>
      <w:r w:rsidR="00A8345B" w:rsidRPr="00FD4EE9">
        <w:t>Ashley Woodcock</w:t>
      </w:r>
    </w:p>
    <w:p w14:paraId="5D08188E" w14:textId="77777777" w:rsidR="00AD4B2A" w:rsidRPr="00FD4EE9" w:rsidRDefault="00591AA8">
      <w:pPr>
        <w:tabs>
          <w:tab w:val="left" w:pos="3870"/>
        </w:tabs>
        <w:spacing w:before="100" w:after="100"/>
        <w:ind w:left="2160" w:hanging="2160"/>
      </w:pPr>
      <w:r w:rsidRPr="00FD4EE9">
        <w:t>Layout and formatting:</w:t>
      </w:r>
      <w:r w:rsidRPr="00FD4EE9">
        <w:tab/>
      </w:r>
      <w:r w:rsidRPr="00FD4EE9">
        <w:tab/>
      </w:r>
      <w:r w:rsidR="00A8345B" w:rsidRPr="00FD4EE9">
        <w:t>Marta Pizano</w:t>
      </w:r>
      <w:r w:rsidR="00A12A40" w:rsidRPr="00FD4EE9">
        <w:t xml:space="preserve"> (UNEP TEAP)</w:t>
      </w:r>
      <w:r w:rsidRPr="00FD4EE9">
        <w:t xml:space="preserve"> </w:t>
      </w:r>
      <w:r w:rsidRPr="00FD4EE9">
        <w:tab/>
      </w:r>
    </w:p>
    <w:p w14:paraId="1AA2D5D5" w14:textId="77777777" w:rsidR="00AD4B2A" w:rsidRPr="00FD4EE9" w:rsidRDefault="00591AA8">
      <w:pPr>
        <w:tabs>
          <w:tab w:val="left" w:pos="3870"/>
        </w:tabs>
        <w:spacing w:before="100" w:after="100"/>
      </w:pPr>
      <w:r w:rsidRPr="00FD4EE9">
        <w:t>Date:</w:t>
      </w:r>
      <w:r w:rsidRPr="00FD4EE9">
        <w:tab/>
      </w:r>
      <w:r w:rsidR="00871C44">
        <w:t>May</w:t>
      </w:r>
      <w:r w:rsidR="00312589" w:rsidRPr="00FD4EE9">
        <w:t xml:space="preserve"> 201</w:t>
      </w:r>
      <w:r w:rsidR="00871C44">
        <w:t>7</w:t>
      </w:r>
    </w:p>
    <w:p w14:paraId="73F20279" w14:textId="77777777" w:rsidR="00AD4B2A" w:rsidRPr="00FD4EE9" w:rsidRDefault="00AD4B2A">
      <w:pPr>
        <w:spacing w:before="100" w:after="100"/>
      </w:pPr>
    </w:p>
    <w:p w14:paraId="2655E1B5" w14:textId="77777777" w:rsidR="00AD4B2A" w:rsidRPr="00FD4EE9" w:rsidRDefault="00591AA8">
      <w:pPr>
        <w:spacing w:before="100" w:after="100"/>
      </w:pPr>
      <w:r w:rsidRPr="00FD4EE9">
        <w:t>Under certain conditions, printed copies of this report are available from:</w:t>
      </w:r>
    </w:p>
    <w:p w14:paraId="47C09912" w14:textId="77777777" w:rsidR="00AD4B2A" w:rsidRPr="00FD4EE9" w:rsidRDefault="00591AA8">
      <w:pPr>
        <w:spacing w:before="100" w:after="100"/>
      </w:pPr>
      <w:r w:rsidRPr="00FD4EE9">
        <w:t>UNITED NATIONS ENVIRONMENT PROGRAMME</w:t>
      </w:r>
      <w:r w:rsidRPr="00FD4EE9">
        <w:br/>
        <w:t>Ozone Secretariat, P.O. Box 30552, Nairobi, Kenya</w:t>
      </w:r>
    </w:p>
    <w:p w14:paraId="42BD29D8" w14:textId="77777777" w:rsidR="00AD4B2A" w:rsidRPr="00FD4EE9" w:rsidRDefault="00AD4B2A">
      <w:pPr>
        <w:spacing w:before="100" w:after="100"/>
        <w:outlineLvl w:val="0"/>
      </w:pPr>
    </w:p>
    <w:p w14:paraId="6DFB294B" w14:textId="77777777" w:rsidR="00AD4B2A" w:rsidRPr="00FD4EE9" w:rsidRDefault="00AD4B2A">
      <w:pPr>
        <w:spacing w:before="100" w:after="100"/>
        <w:outlineLvl w:val="0"/>
      </w:pPr>
    </w:p>
    <w:p w14:paraId="576C1CAE" w14:textId="77777777" w:rsidR="00AD4B2A" w:rsidRPr="00FD4EE9" w:rsidRDefault="00591AA8">
      <w:pPr>
        <w:spacing w:before="100" w:after="100"/>
        <w:outlineLvl w:val="0"/>
      </w:pPr>
      <w:r w:rsidRPr="00FD4EE9">
        <w:t>This document is also available in portable document format from the UNEP Ozone Secretariat's website:</w:t>
      </w:r>
    </w:p>
    <w:p w14:paraId="6995118E" w14:textId="77777777" w:rsidR="00AD4B2A" w:rsidRPr="00FD4EE9" w:rsidRDefault="00591AA8">
      <w:pPr>
        <w:spacing w:before="100" w:after="100"/>
        <w:jc w:val="center"/>
        <w:rPr>
          <w:b/>
          <w:sz w:val="16"/>
        </w:rPr>
      </w:pPr>
      <w:r w:rsidRPr="00FD4EE9">
        <w:rPr>
          <w:b/>
        </w:rPr>
        <w:t>http://ozone.unep.org/</w:t>
      </w:r>
      <w:r w:rsidR="00547D5B" w:rsidRPr="00FD4EE9">
        <w:rPr>
          <w:b/>
        </w:rPr>
        <w:t>en/assessment-panels/technology-and-economic-assessment-panel</w:t>
      </w:r>
    </w:p>
    <w:p w14:paraId="16CF6654" w14:textId="77777777" w:rsidR="00547D5B" w:rsidRPr="00FD4EE9" w:rsidRDefault="00547D5B">
      <w:pPr>
        <w:spacing w:before="100" w:after="100"/>
      </w:pPr>
    </w:p>
    <w:p w14:paraId="2D957404" w14:textId="77777777" w:rsidR="00AD4B2A" w:rsidRPr="00FD4EE9" w:rsidRDefault="00591AA8">
      <w:pPr>
        <w:spacing w:before="100" w:after="100"/>
      </w:pPr>
      <w:r w:rsidRPr="00FD4EE9">
        <w:t>No copyright involved.  This publication may be freely copied, abstracted and cited, with acknowledgement of the source of the material.</w:t>
      </w:r>
    </w:p>
    <w:p w14:paraId="59908C93" w14:textId="77777777" w:rsidR="00547D5B" w:rsidRPr="00FD4EE9" w:rsidRDefault="00547D5B">
      <w:pPr>
        <w:spacing w:before="100" w:after="100"/>
      </w:pPr>
    </w:p>
    <w:p w14:paraId="26AD8F66" w14:textId="3FC35C60" w:rsidR="00AD4B2A" w:rsidRPr="00FD4EE9" w:rsidRDefault="00591AA8" w:rsidP="00C271CA">
      <w:pPr>
        <w:autoSpaceDE w:val="0"/>
        <w:autoSpaceDN w:val="0"/>
        <w:adjustRightInd w:val="0"/>
        <w:spacing w:before="100" w:after="100"/>
        <w:rPr>
          <w:b/>
          <w:highlight w:val="yellow"/>
        </w:rPr>
        <w:sectPr w:rsidR="00AD4B2A" w:rsidRPr="00FD4EE9" w:rsidSect="00C271CA">
          <w:headerReference w:type="even" r:id="rId22"/>
          <w:headerReference w:type="default" r:id="rId23"/>
          <w:footerReference w:type="default" r:id="rId24"/>
          <w:headerReference w:type="first" r:id="rId25"/>
          <w:footnotePr>
            <w:numRestart w:val="eachSect"/>
          </w:footnotePr>
          <w:type w:val="nextColumn"/>
          <w:pgSz w:w="11907" w:h="16839" w:code="9"/>
          <w:pgMar w:top="1440" w:right="1800" w:bottom="1526" w:left="1800" w:header="720" w:footer="792" w:gutter="0"/>
          <w:pgNumType w:fmt="lowerRoman"/>
          <w:cols w:space="720"/>
          <w:docGrid w:linePitch="299"/>
        </w:sectPr>
      </w:pPr>
      <w:r w:rsidRPr="00C271CA">
        <w:rPr>
          <w:b/>
        </w:rPr>
        <w:t>ISBN:</w:t>
      </w:r>
      <w:r w:rsidRPr="00FD4EE9">
        <w:rPr>
          <w:b/>
        </w:rPr>
        <w:tab/>
      </w:r>
      <w:r w:rsidR="00C271CA" w:rsidRPr="00C271CA">
        <w:rPr>
          <w:b/>
          <w:bCs/>
          <w:szCs w:val="22"/>
        </w:rPr>
        <w:t>978-9966-076-27-</w:t>
      </w:r>
      <w:r w:rsidR="00C271CA" w:rsidRPr="0010499C">
        <w:rPr>
          <w:szCs w:val="22"/>
        </w:rPr>
        <w:t>4 </w:t>
      </w:r>
    </w:p>
    <w:p w14:paraId="6B62FB11" w14:textId="77777777" w:rsidR="00AD4B2A" w:rsidRPr="00FD4EE9" w:rsidRDefault="00591AA8" w:rsidP="00A140B1">
      <w:pPr>
        <w:outlineLvl w:val="0"/>
        <w:rPr>
          <w:b/>
        </w:rPr>
      </w:pPr>
      <w:r w:rsidRPr="00FD4EE9">
        <w:rPr>
          <w:b/>
        </w:rPr>
        <w:lastRenderedPageBreak/>
        <w:t>Disclaimer</w:t>
      </w:r>
    </w:p>
    <w:p w14:paraId="4F46B229" w14:textId="77777777" w:rsidR="00AD4B2A" w:rsidRPr="00FD4EE9" w:rsidRDefault="00591AA8" w:rsidP="00A140B1">
      <w:pPr>
        <w:rPr>
          <w:sz w:val="20"/>
        </w:rPr>
      </w:pPr>
      <w:r w:rsidRPr="00FD4EE9">
        <w:rPr>
          <w:sz w:val="20"/>
        </w:rPr>
        <w:t>The United Nations Environment Programme (UNEP), the Technology and Economic Assessment Panel (TEAP) Co-chairs and members, the Technical Options Committees Co-chairs and members, the TEAP Task Forces Co-chairs and members, and the companies and organisations that employ them do not endorse the performance, worker safety, or environmental acceptability of any of the technical options discussed.  Every industrial operation requires consideration of worker safety and proper disposal of contaminants and waste products.  Moreover, as work continues - including additional toxicity evaluation - more information on health, environmental and safety effects of alternatives and replacements will become available for use in selecting among the options discussed in this document.</w:t>
      </w:r>
    </w:p>
    <w:p w14:paraId="662DB9D1" w14:textId="77777777" w:rsidR="00AD4B2A" w:rsidRPr="00FD4EE9" w:rsidRDefault="00591AA8" w:rsidP="00A140B1">
      <w:pPr>
        <w:pStyle w:val="MainTextNon-indent"/>
        <w:widowControl/>
        <w:spacing w:after="240" w:line="240" w:lineRule="auto"/>
        <w:rPr>
          <w:rFonts w:ascii="Times New Roman" w:hAnsi="Times New Roman"/>
          <w:lang w:val="en-GB"/>
        </w:rPr>
      </w:pPr>
      <w:r w:rsidRPr="00FD4EE9">
        <w:rPr>
          <w:rFonts w:ascii="Times New Roman" w:hAnsi="Times New Roman"/>
          <w:lang w:val="en-GB"/>
        </w:rPr>
        <w:t>UNEP, the TEAP Co-chairs and members, the Technical Options Committees Co-chairs and members, and the TEAP Task Forces Co-chairs and members, in furnishing or distributing this information, do not make any warranty or representation, either express or implied, with respect to the accuracy, completeness, or utility; nor do they assume any liability of any kind whatsoever resulting from the use or reliance upon any information, material, or procedure contained herein, including but not limited to any claims regarding health, safety, environmental effect or fate, efficacy, or performance, made by the source of information.</w:t>
      </w:r>
    </w:p>
    <w:p w14:paraId="033E687D" w14:textId="77777777" w:rsidR="00AD4B2A" w:rsidRPr="00FD4EE9" w:rsidRDefault="00591AA8" w:rsidP="00A140B1">
      <w:pPr>
        <w:rPr>
          <w:sz w:val="20"/>
        </w:rPr>
      </w:pPr>
      <w:r w:rsidRPr="00FD4EE9">
        <w:rPr>
          <w:sz w:val="20"/>
        </w:rPr>
        <w:t>Mention of any company, association, or product in this document is for information purposes only and does not constitute a recommendation of any such company, association, or product, either express or implied by UNEP, the Technology and Economic Assessment Panel Co-chairs or members, the Technical and Economic Options Committee Co-chairs or members, the TEAP Task Forces Co-chairs or members or the companies or organisations that employ them.</w:t>
      </w:r>
    </w:p>
    <w:p w14:paraId="0C3B238F" w14:textId="77777777" w:rsidR="00AD4B2A" w:rsidRPr="00FD4EE9" w:rsidRDefault="00AD4B2A">
      <w:pPr>
        <w:keepNext/>
        <w:suppressAutoHyphens/>
        <w:spacing w:before="120"/>
        <w:ind w:right="244"/>
        <w:jc w:val="both"/>
        <w:rPr>
          <w:b/>
        </w:rPr>
      </w:pPr>
    </w:p>
    <w:p w14:paraId="53CFD581" w14:textId="77777777" w:rsidR="00AD4B2A" w:rsidRPr="00FD4EE9" w:rsidRDefault="00AD4B2A">
      <w:pPr>
        <w:keepNext/>
        <w:suppressAutoHyphens/>
        <w:spacing w:before="120"/>
        <w:ind w:right="244"/>
        <w:jc w:val="both"/>
        <w:rPr>
          <w:b/>
        </w:rPr>
      </w:pPr>
    </w:p>
    <w:p w14:paraId="673E9B4E" w14:textId="77777777" w:rsidR="00AD4B2A" w:rsidRPr="00FD4EE9" w:rsidRDefault="00AD4B2A">
      <w:pPr>
        <w:keepNext/>
        <w:suppressAutoHyphens/>
        <w:spacing w:before="120"/>
        <w:ind w:right="244"/>
        <w:jc w:val="both"/>
        <w:rPr>
          <w:b/>
        </w:rPr>
      </w:pPr>
    </w:p>
    <w:p w14:paraId="67D8EE01" w14:textId="77777777" w:rsidR="00AD4B2A" w:rsidRPr="00FD4EE9" w:rsidRDefault="00AD4B2A">
      <w:pPr>
        <w:keepNext/>
        <w:suppressAutoHyphens/>
        <w:spacing w:before="120"/>
        <w:ind w:right="244"/>
        <w:jc w:val="both"/>
        <w:rPr>
          <w:b/>
        </w:rPr>
      </w:pPr>
    </w:p>
    <w:p w14:paraId="082F8112" w14:textId="77777777" w:rsidR="00AD4B2A" w:rsidRPr="00FD4EE9" w:rsidRDefault="00AD4B2A">
      <w:pPr>
        <w:keepNext/>
        <w:suppressAutoHyphens/>
        <w:spacing w:before="120"/>
        <w:ind w:right="244"/>
        <w:jc w:val="both"/>
        <w:rPr>
          <w:b/>
        </w:rPr>
      </w:pPr>
    </w:p>
    <w:p w14:paraId="217747D0" w14:textId="77777777" w:rsidR="00AD4B2A" w:rsidRPr="00FD4EE9" w:rsidRDefault="00AD4B2A">
      <w:pPr>
        <w:keepNext/>
        <w:suppressAutoHyphens/>
        <w:spacing w:before="120"/>
        <w:ind w:right="244"/>
        <w:jc w:val="both"/>
        <w:rPr>
          <w:b/>
        </w:rPr>
      </w:pPr>
    </w:p>
    <w:p w14:paraId="780AB9D8" w14:textId="77777777" w:rsidR="00AD4B2A" w:rsidRPr="00FD4EE9" w:rsidRDefault="00591AA8">
      <w:pPr>
        <w:keepNext/>
        <w:suppressAutoHyphens/>
        <w:spacing w:before="120"/>
        <w:ind w:right="244"/>
        <w:jc w:val="both"/>
        <w:rPr>
          <w:b/>
        </w:rPr>
      </w:pPr>
      <w:r w:rsidRPr="00FD4EE9">
        <w:rPr>
          <w:b/>
        </w:rPr>
        <w:t>Acknowledgements</w:t>
      </w:r>
    </w:p>
    <w:p w14:paraId="4E889804" w14:textId="77777777" w:rsidR="00AD4B2A" w:rsidRPr="00FD4EE9" w:rsidRDefault="00591AA8" w:rsidP="00A140B1">
      <w:pPr>
        <w:rPr>
          <w:sz w:val="20"/>
        </w:rPr>
      </w:pPr>
      <w:r w:rsidRPr="00FD4EE9">
        <w:rPr>
          <w:sz w:val="20"/>
        </w:rPr>
        <w:t xml:space="preserve">The Technology and Economic Assessment Panel, its Technical Options Committees and the </w:t>
      </w:r>
      <w:r w:rsidR="00AB5433" w:rsidRPr="00FD4EE9">
        <w:rPr>
          <w:sz w:val="20"/>
        </w:rPr>
        <w:t xml:space="preserve">TEAP </w:t>
      </w:r>
      <w:r w:rsidRPr="00FD4EE9">
        <w:rPr>
          <w:sz w:val="20"/>
        </w:rPr>
        <w:t xml:space="preserve">Task Force Co-chairs and members acknowledges with thanks the outstanding contributions from all of the individuals and organisations that provided support to Panel, Committees and </w:t>
      </w:r>
      <w:r w:rsidR="00AB5433" w:rsidRPr="00FD4EE9">
        <w:rPr>
          <w:sz w:val="20"/>
        </w:rPr>
        <w:t xml:space="preserve">TEAP </w:t>
      </w:r>
      <w:r w:rsidRPr="00FD4EE9">
        <w:rPr>
          <w:sz w:val="20"/>
        </w:rPr>
        <w:t xml:space="preserve">Task Force Co-chairs and members.  The opinions expressed are those of the Panel, the Committees and </w:t>
      </w:r>
      <w:r w:rsidR="00AB5433" w:rsidRPr="00FD4EE9">
        <w:rPr>
          <w:sz w:val="20"/>
        </w:rPr>
        <w:t xml:space="preserve">TEAP </w:t>
      </w:r>
      <w:r w:rsidRPr="00FD4EE9">
        <w:rPr>
          <w:sz w:val="20"/>
        </w:rPr>
        <w:t>Task Forces and do not necessarily reflect the reviews of any sponsoring or supporting organisation.</w:t>
      </w:r>
    </w:p>
    <w:p w14:paraId="693CB7BA" w14:textId="77777777" w:rsidR="00A8345B" w:rsidRPr="00FD4EE9" w:rsidRDefault="00A8345B" w:rsidP="00A140B1">
      <w:pPr>
        <w:spacing w:after="0"/>
        <w:rPr>
          <w:sz w:val="20"/>
        </w:rPr>
      </w:pPr>
      <w:r w:rsidRPr="00FD4EE9">
        <w:rPr>
          <w:sz w:val="20"/>
        </w:rPr>
        <w:br w:type="page"/>
      </w:r>
    </w:p>
    <w:p w14:paraId="59615873" w14:textId="77777777" w:rsidR="00A8345B" w:rsidRPr="00FD4EE9" w:rsidRDefault="00A8345B">
      <w:pPr>
        <w:rPr>
          <w:sz w:val="20"/>
        </w:rPr>
      </w:pPr>
    </w:p>
    <w:p w14:paraId="068B139D" w14:textId="77777777" w:rsidR="00AD4B2A" w:rsidRPr="00FD4EE9" w:rsidRDefault="00591AA8" w:rsidP="009427BE">
      <w:pPr>
        <w:pStyle w:val="Tablenote"/>
        <w:rPr>
          <w:rStyle w:val="Heading1Char2"/>
          <w:rFonts w:ascii="Times New Roman" w:hAnsi="Times New Roman"/>
        </w:rPr>
      </w:pPr>
      <w:bookmarkStart w:id="6" w:name="_Toc354570759"/>
      <w:bookmarkStart w:id="7" w:name="_Toc388648326"/>
      <w:bookmarkStart w:id="8" w:name="_Toc295406110"/>
      <w:bookmarkStart w:id="9" w:name="_Toc326507336"/>
      <w:r w:rsidRPr="00FD4EE9">
        <w:rPr>
          <w:rStyle w:val="Heading1Char2"/>
          <w:rFonts w:ascii="Times New Roman" w:hAnsi="Times New Roman"/>
        </w:rPr>
        <w:t>Foreword</w:t>
      </w:r>
      <w:bookmarkEnd w:id="6"/>
      <w:bookmarkEnd w:id="7"/>
      <w:bookmarkEnd w:id="8"/>
      <w:bookmarkEnd w:id="9"/>
    </w:p>
    <w:p w14:paraId="207C2DBA" w14:textId="77777777" w:rsidR="00AD4B2A" w:rsidRPr="00FD4EE9" w:rsidRDefault="00591AA8">
      <w:pPr>
        <w:pStyle w:val="BodyText"/>
        <w:spacing w:line="240" w:lineRule="auto"/>
        <w:rPr>
          <w:b/>
        </w:rPr>
      </w:pPr>
      <w:r w:rsidRPr="00FD4EE9">
        <w:rPr>
          <w:b/>
        </w:rPr>
        <w:t xml:space="preserve">The </w:t>
      </w:r>
      <w:r w:rsidR="00871C44">
        <w:rPr>
          <w:b/>
        </w:rPr>
        <w:t>May 2017</w:t>
      </w:r>
      <w:r w:rsidRPr="00FD4EE9">
        <w:rPr>
          <w:b/>
        </w:rPr>
        <w:t xml:space="preserve"> TEAP Report</w:t>
      </w:r>
    </w:p>
    <w:p w14:paraId="56F2FB2E" w14:textId="66941CFC" w:rsidR="00AD4B2A" w:rsidRPr="00FD4EE9" w:rsidRDefault="00591AA8" w:rsidP="00862BA7">
      <w:pPr>
        <w:pStyle w:val="refs"/>
        <w:rPr>
          <w:i w:val="0"/>
          <w:sz w:val="22"/>
          <w:szCs w:val="22"/>
        </w:rPr>
      </w:pPr>
      <w:r w:rsidRPr="00FD4EE9">
        <w:rPr>
          <w:i w:val="0"/>
          <w:sz w:val="22"/>
          <w:szCs w:val="22"/>
        </w:rPr>
        <w:t xml:space="preserve">The </w:t>
      </w:r>
      <w:r w:rsidR="00871C44">
        <w:rPr>
          <w:i w:val="0"/>
          <w:sz w:val="22"/>
          <w:szCs w:val="22"/>
        </w:rPr>
        <w:t>May 2017</w:t>
      </w:r>
      <w:r w:rsidRPr="00FD4EE9">
        <w:rPr>
          <w:i w:val="0"/>
          <w:sz w:val="22"/>
          <w:szCs w:val="22"/>
        </w:rPr>
        <w:t xml:space="preserve"> TEAP Report consists of </w:t>
      </w:r>
      <w:r w:rsidR="00A86901">
        <w:rPr>
          <w:i w:val="0"/>
          <w:sz w:val="22"/>
          <w:szCs w:val="22"/>
        </w:rPr>
        <w:t>four</w:t>
      </w:r>
      <w:r w:rsidRPr="00FD4EE9">
        <w:rPr>
          <w:i w:val="0"/>
          <w:sz w:val="22"/>
          <w:szCs w:val="22"/>
        </w:rPr>
        <w:t xml:space="preserve"> volumes:</w:t>
      </w:r>
    </w:p>
    <w:p w14:paraId="429AFFE8" w14:textId="77777777" w:rsidR="00727F81" w:rsidRPr="00FD4EE9" w:rsidRDefault="00591AA8" w:rsidP="00312589">
      <w:pPr>
        <w:pStyle w:val="refs"/>
        <w:rPr>
          <w:sz w:val="22"/>
          <w:szCs w:val="22"/>
        </w:rPr>
      </w:pPr>
      <w:r w:rsidRPr="00FD4EE9">
        <w:rPr>
          <w:b/>
          <w:sz w:val="22"/>
          <w:szCs w:val="22"/>
        </w:rPr>
        <w:t>Volume 1</w:t>
      </w:r>
      <w:r w:rsidRPr="00FD4EE9">
        <w:rPr>
          <w:sz w:val="22"/>
          <w:szCs w:val="22"/>
        </w:rPr>
        <w:t>: Progress Report</w:t>
      </w:r>
      <w:r w:rsidR="00727F81" w:rsidRPr="00FD4EE9">
        <w:rPr>
          <w:sz w:val="22"/>
          <w:szCs w:val="22"/>
        </w:rPr>
        <w:t>:</w:t>
      </w:r>
      <w:r w:rsidR="00A8345B" w:rsidRPr="00FD4EE9">
        <w:rPr>
          <w:sz w:val="22"/>
          <w:szCs w:val="22"/>
        </w:rPr>
        <w:t xml:space="preserve"> </w:t>
      </w:r>
    </w:p>
    <w:p w14:paraId="4F584C36" w14:textId="77777777" w:rsidR="002D1FC6" w:rsidRPr="00FD4EE9" w:rsidRDefault="002D1FC6" w:rsidP="000C1A64">
      <w:pPr>
        <w:pStyle w:val="refs"/>
        <w:numPr>
          <w:ilvl w:val="0"/>
          <w:numId w:val="48"/>
        </w:numPr>
        <w:rPr>
          <w:sz w:val="22"/>
          <w:szCs w:val="22"/>
        </w:rPr>
      </w:pPr>
      <w:r w:rsidRPr="00FD4EE9">
        <w:rPr>
          <w:sz w:val="22"/>
          <w:szCs w:val="22"/>
        </w:rPr>
        <w:t>TOC Progress Reports</w:t>
      </w:r>
    </w:p>
    <w:p w14:paraId="097080CC" w14:textId="77777777" w:rsidR="00312589" w:rsidRPr="00FD4EE9" w:rsidRDefault="00312589" w:rsidP="000C1A64">
      <w:pPr>
        <w:pStyle w:val="refs"/>
        <w:numPr>
          <w:ilvl w:val="0"/>
          <w:numId w:val="48"/>
        </w:numPr>
        <w:rPr>
          <w:sz w:val="22"/>
          <w:szCs w:val="22"/>
        </w:rPr>
      </w:pPr>
      <w:r w:rsidRPr="00FD4EE9">
        <w:rPr>
          <w:sz w:val="22"/>
          <w:szCs w:val="22"/>
        </w:rPr>
        <w:t>TEAP Essential Use Nominations Report May 201</w:t>
      </w:r>
      <w:r w:rsidR="00871C44">
        <w:rPr>
          <w:sz w:val="22"/>
          <w:szCs w:val="22"/>
        </w:rPr>
        <w:t>7</w:t>
      </w:r>
    </w:p>
    <w:p w14:paraId="3C09C908" w14:textId="77777777" w:rsidR="006B1E7E" w:rsidRPr="00871C44" w:rsidRDefault="00871C44" w:rsidP="00871C44">
      <w:pPr>
        <w:pStyle w:val="refs"/>
        <w:numPr>
          <w:ilvl w:val="0"/>
          <w:numId w:val="48"/>
        </w:numPr>
        <w:rPr>
          <w:sz w:val="22"/>
          <w:szCs w:val="22"/>
        </w:rPr>
      </w:pPr>
      <w:r>
        <w:rPr>
          <w:sz w:val="22"/>
          <w:szCs w:val="22"/>
        </w:rPr>
        <w:t>Decision XXVIII/8 Report on issues related to the phase-out of HCFCs</w:t>
      </w:r>
    </w:p>
    <w:p w14:paraId="5E721737" w14:textId="77777777" w:rsidR="002D1FC6" w:rsidRPr="00FD4EE9" w:rsidRDefault="00871C44" w:rsidP="000C1A64">
      <w:pPr>
        <w:pStyle w:val="refs"/>
        <w:numPr>
          <w:ilvl w:val="0"/>
          <w:numId w:val="48"/>
        </w:numPr>
        <w:rPr>
          <w:sz w:val="22"/>
          <w:szCs w:val="22"/>
        </w:rPr>
      </w:pPr>
      <w:r>
        <w:rPr>
          <w:sz w:val="22"/>
          <w:szCs w:val="22"/>
        </w:rPr>
        <w:t>TEAP administrative issues and l</w:t>
      </w:r>
      <w:r w:rsidR="002D1FC6" w:rsidRPr="00FD4EE9">
        <w:rPr>
          <w:sz w:val="22"/>
          <w:szCs w:val="22"/>
        </w:rPr>
        <w:t xml:space="preserve">ist of TEAP and TOC members at </w:t>
      </w:r>
      <w:r w:rsidR="00312589" w:rsidRPr="00FD4EE9">
        <w:rPr>
          <w:sz w:val="22"/>
          <w:szCs w:val="22"/>
        </w:rPr>
        <w:t>May</w:t>
      </w:r>
      <w:r w:rsidR="002D1FC6" w:rsidRPr="00FD4EE9">
        <w:rPr>
          <w:sz w:val="22"/>
          <w:szCs w:val="22"/>
        </w:rPr>
        <w:t xml:space="preserve"> 201</w:t>
      </w:r>
      <w:r>
        <w:rPr>
          <w:sz w:val="22"/>
          <w:szCs w:val="22"/>
        </w:rPr>
        <w:t>7</w:t>
      </w:r>
    </w:p>
    <w:p w14:paraId="59F1749E" w14:textId="77777777" w:rsidR="006077BC" w:rsidRPr="00FD4EE9" w:rsidRDefault="006077BC" w:rsidP="000C1A64">
      <w:pPr>
        <w:pStyle w:val="refs"/>
        <w:numPr>
          <w:ilvl w:val="0"/>
          <w:numId w:val="48"/>
        </w:numPr>
        <w:rPr>
          <w:sz w:val="22"/>
          <w:szCs w:val="22"/>
        </w:rPr>
      </w:pPr>
      <w:r w:rsidRPr="00FD4EE9">
        <w:rPr>
          <w:sz w:val="22"/>
          <w:szCs w:val="22"/>
        </w:rPr>
        <w:t>Matrix of Expertise</w:t>
      </w:r>
    </w:p>
    <w:p w14:paraId="1F13B0DC" w14:textId="77777777" w:rsidR="00871C44" w:rsidRDefault="00591AA8" w:rsidP="00871C44">
      <w:pPr>
        <w:pStyle w:val="refs"/>
        <w:rPr>
          <w:sz w:val="22"/>
          <w:szCs w:val="22"/>
        </w:rPr>
      </w:pPr>
      <w:r w:rsidRPr="00FD4EE9">
        <w:rPr>
          <w:b/>
          <w:sz w:val="22"/>
          <w:szCs w:val="22"/>
        </w:rPr>
        <w:t xml:space="preserve">Volume </w:t>
      </w:r>
      <w:r w:rsidR="00A8345B" w:rsidRPr="00FD4EE9">
        <w:rPr>
          <w:b/>
          <w:sz w:val="22"/>
          <w:szCs w:val="22"/>
        </w:rPr>
        <w:t>2</w:t>
      </w:r>
      <w:r w:rsidRPr="00FD4EE9">
        <w:rPr>
          <w:sz w:val="22"/>
          <w:szCs w:val="22"/>
        </w:rPr>
        <w:t xml:space="preserve">: </w:t>
      </w:r>
      <w:r w:rsidR="00871C44">
        <w:rPr>
          <w:sz w:val="22"/>
          <w:szCs w:val="22"/>
        </w:rPr>
        <w:t>May</w:t>
      </w:r>
      <w:r w:rsidRPr="00FD4EE9">
        <w:rPr>
          <w:sz w:val="22"/>
          <w:szCs w:val="22"/>
        </w:rPr>
        <w:t xml:space="preserve"> 201</w:t>
      </w:r>
      <w:r w:rsidR="00871C44">
        <w:rPr>
          <w:sz w:val="22"/>
          <w:szCs w:val="22"/>
        </w:rPr>
        <w:t>7</w:t>
      </w:r>
      <w:r w:rsidRPr="00FD4EE9">
        <w:rPr>
          <w:sz w:val="22"/>
          <w:szCs w:val="22"/>
        </w:rPr>
        <w:t xml:space="preserve"> TEAP Critical Use Nominations Report</w:t>
      </w:r>
      <w:r w:rsidR="002D1FC6" w:rsidRPr="00FD4EE9">
        <w:rPr>
          <w:sz w:val="22"/>
          <w:szCs w:val="22"/>
        </w:rPr>
        <w:t xml:space="preserve"> </w:t>
      </w:r>
    </w:p>
    <w:p w14:paraId="5174AB22" w14:textId="77777777" w:rsidR="00871C44" w:rsidRPr="00871C44" w:rsidRDefault="00871C44" w:rsidP="00871C44">
      <w:pPr>
        <w:pStyle w:val="refs"/>
        <w:rPr>
          <w:color w:val="000000"/>
          <w:sz w:val="22"/>
          <w:szCs w:val="22"/>
        </w:rPr>
      </w:pPr>
      <w:r w:rsidRPr="00871C44">
        <w:rPr>
          <w:b/>
          <w:bCs/>
          <w:iCs/>
          <w:color w:val="000000"/>
          <w:sz w:val="22"/>
          <w:szCs w:val="22"/>
        </w:rPr>
        <w:t>Volume 3</w:t>
      </w:r>
      <w:r w:rsidRPr="00871C44">
        <w:rPr>
          <w:iCs/>
          <w:color w:val="000000"/>
          <w:sz w:val="22"/>
          <w:szCs w:val="22"/>
        </w:rPr>
        <w:t>: Decision XXVIII/4 Task Force Report on Safety Standards Relevant for Low-GWP Alternatives</w:t>
      </w:r>
      <w:r w:rsidRPr="00871C44">
        <w:rPr>
          <w:color w:val="000000"/>
          <w:sz w:val="22"/>
          <w:szCs w:val="22"/>
        </w:rPr>
        <w:t> </w:t>
      </w:r>
    </w:p>
    <w:p w14:paraId="03D60E92" w14:textId="77777777" w:rsidR="00871C44" w:rsidRPr="00871C44" w:rsidRDefault="00871C44" w:rsidP="00871C44">
      <w:pPr>
        <w:pStyle w:val="refs"/>
        <w:rPr>
          <w:sz w:val="22"/>
          <w:szCs w:val="22"/>
        </w:rPr>
      </w:pPr>
      <w:r w:rsidRPr="00871C44">
        <w:rPr>
          <w:b/>
          <w:bCs/>
          <w:iCs/>
          <w:color w:val="000000"/>
          <w:sz w:val="22"/>
          <w:szCs w:val="22"/>
        </w:rPr>
        <w:t>Volume 4</w:t>
      </w:r>
      <w:r w:rsidRPr="00871C44">
        <w:rPr>
          <w:iCs/>
          <w:color w:val="000000"/>
          <w:sz w:val="22"/>
          <w:szCs w:val="22"/>
        </w:rPr>
        <w:t>: Decision XXVIII/5 Task Force Report: Assessment of the Funding Requirement for the Replenishment of the Multilateral Fund for the Period 2018-2020</w:t>
      </w:r>
      <w:r w:rsidRPr="00871C44">
        <w:rPr>
          <w:color w:val="000000"/>
          <w:sz w:val="22"/>
          <w:szCs w:val="22"/>
        </w:rPr>
        <w:t> </w:t>
      </w:r>
    </w:p>
    <w:p w14:paraId="45F9BB00" w14:textId="77777777" w:rsidR="00AD4B2A" w:rsidRPr="00FD4EE9" w:rsidRDefault="00AD4B2A" w:rsidP="00494A75">
      <w:pPr>
        <w:pStyle w:val="BodyText"/>
        <w:spacing w:line="240" w:lineRule="auto"/>
        <w:ind w:left="360"/>
      </w:pPr>
    </w:p>
    <w:p w14:paraId="1887BF2D" w14:textId="77777777" w:rsidR="00AD4B2A" w:rsidRPr="00034252" w:rsidRDefault="00591AA8">
      <w:pPr>
        <w:rPr>
          <w:b/>
        </w:rPr>
      </w:pPr>
      <w:r w:rsidRPr="00034252">
        <w:rPr>
          <w:b/>
        </w:rPr>
        <w:t>The UNEP Technology and Economic Assessment Panel (TEAP):</w:t>
      </w:r>
    </w:p>
    <w:tbl>
      <w:tblPr>
        <w:tblW w:w="0" w:type="auto"/>
        <w:tblInd w:w="108" w:type="dxa"/>
        <w:tblLayout w:type="fixed"/>
        <w:tblLook w:val="0000" w:firstRow="0" w:lastRow="0" w:firstColumn="0" w:lastColumn="0" w:noHBand="0" w:noVBand="0"/>
      </w:tblPr>
      <w:tblGrid>
        <w:gridCol w:w="3544"/>
        <w:gridCol w:w="850"/>
        <w:gridCol w:w="2446"/>
        <w:gridCol w:w="1524"/>
      </w:tblGrid>
      <w:tr w:rsidR="009B0083" w:rsidRPr="00FD4EE9" w14:paraId="6829111D" w14:textId="77777777" w:rsidTr="00350B22">
        <w:tc>
          <w:tcPr>
            <w:tcW w:w="3544" w:type="dxa"/>
            <w:vAlign w:val="center"/>
          </w:tcPr>
          <w:p w14:paraId="2ABDE276" w14:textId="77777777" w:rsidR="009B0083" w:rsidRPr="00FD4EE9" w:rsidRDefault="009B0083" w:rsidP="00350B22">
            <w:pPr>
              <w:pStyle w:val="BodyText"/>
              <w:spacing w:before="20" w:after="0" w:line="240" w:lineRule="auto"/>
            </w:pPr>
            <w:r w:rsidRPr="00FD4EE9">
              <w:t>Bella Maranion, co-chair</w:t>
            </w:r>
          </w:p>
        </w:tc>
        <w:tc>
          <w:tcPr>
            <w:tcW w:w="850" w:type="dxa"/>
            <w:vAlign w:val="center"/>
          </w:tcPr>
          <w:p w14:paraId="51A59CC9" w14:textId="6C7D0E92" w:rsidR="009B0083" w:rsidRPr="00FD4EE9" w:rsidRDefault="0070607D" w:rsidP="00350B22">
            <w:pPr>
              <w:pStyle w:val="BodyText"/>
              <w:spacing w:before="20" w:after="0" w:line="240" w:lineRule="auto"/>
              <w:ind w:right="33"/>
              <w:jc w:val="both"/>
            </w:pPr>
            <w:r>
              <w:t>US</w:t>
            </w:r>
          </w:p>
        </w:tc>
        <w:tc>
          <w:tcPr>
            <w:tcW w:w="2446" w:type="dxa"/>
            <w:vAlign w:val="center"/>
          </w:tcPr>
          <w:p w14:paraId="597CB5A4" w14:textId="77777777" w:rsidR="009B0083" w:rsidRPr="00FD4EE9" w:rsidRDefault="009B0083" w:rsidP="00350B22">
            <w:pPr>
              <w:pStyle w:val="BodyText"/>
              <w:spacing w:before="20" w:after="0" w:line="240" w:lineRule="auto"/>
            </w:pPr>
            <w:r w:rsidRPr="00FD4EE9">
              <w:t>Kei-ichi Ohnishi</w:t>
            </w:r>
          </w:p>
        </w:tc>
        <w:tc>
          <w:tcPr>
            <w:tcW w:w="1524" w:type="dxa"/>
            <w:vAlign w:val="center"/>
          </w:tcPr>
          <w:p w14:paraId="205140A1" w14:textId="77777777" w:rsidR="009B0083" w:rsidRPr="00FD4EE9" w:rsidRDefault="009B0083" w:rsidP="00350B22">
            <w:pPr>
              <w:pStyle w:val="BodyText"/>
              <w:spacing w:before="20" w:after="0" w:line="240" w:lineRule="auto"/>
              <w:ind w:left="72" w:right="33"/>
            </w:pPr>
            <w:r w:rsidRPr="00FD4EE9">
              <w:t>J</w:t>
            </w:r>
          </w:p>
        </w:tc>
      </w:tr>
      <w:tr w:rsidR="009B0083" w:rsidRPr="00FD4EE9" w14:paraId="7FC0E63A" w14:textId="77777777">
        <w:tc>
          <w:tcPr>
            <w:tcW w:w="3544" w:type="dxa"/>
            <w:vAlign w:val="center"/>
          </w:tcPr>
          <w:p w14:paraId="0A828152" w14:textId="77777777" w:rsidR="009B0083" w:rsidRPr="00FD4EE9" w:rsidRDefault="009B0083">
            <w:pPr>
              <w:pStyle w:val="BodyText"/>
              <w:tabs>
                <w:tab w:val="left" w:pos="3010"/>
              </w:tabs>
              <w:spacing w:before="20" w:after="0" w:line="240" w:lineRule="auto"/>
              <w:ind w:right="-108"/>
            </w:pPr>
            <w:r w:rsidRPr="00FD4EE9">
              <w:t>Marta Pizano, co-chair</w:t>
            </w:r>
          </w:p>
        </w:tc>
        <w:tc>
          <w:tcPr>
            <w:tcW w:w="850" w:type="dxa"/>
            <w:vAlign w:val="center"/>
          </w:tcPr>
          <w:p w14:paraId="4BA7DCF6" w14:textId="77777777" w:rsidR="009B0083" w:rsidRPr="00FD4EE9" w:rsidRDefault="009B0083">
            <w:pPr>
              <w:pStyle w:val="BodyText"/>
              <w:tabs>
                <w:tab w:val="left" w:pos="3010"/>
              </w:tabs>
              <w:spacing w:before="20" w:after="0" w:line="240" w:lineRule="auto"/>
              <w:ind w:right="33"/>
              <w:jc w:val="both"/>
            </w:pPr>
            <w:r w:rsidRPr="00FD4EE9">
              <w:t>COL</w:t>
            </w:r>
          </w:p>
        </w:tc>
        <w:tc>
          <w:tcPr>
            <w:tcW w:w="2446" w:type="dxa"/>
            <w:vAlign w:val="center"/>
          </w:tcPr>
          <w:p w14:paraId="01D4AFB9" w14:textId="77777777" w:rsidR="009B0083" w:rsidRPr="00FD4EE9" w:rsidRDefault="009B0083">
            <w:pPr>
              <w:pStyle w:val="BodyText"/>
              <w:spacing w:before="20" w:after="0" w:line="240" w:lineRule="auto"/>
            </w:pPr>
            <w:r w:rsidRPr="00FD4EE9">
              <w:t>Fabio Polonara</w:t>
            </w:r>
          </w:p>
        </w:tc>
        <w:tc>
          <w:tcPr>
            <w:tcW w:w="1524" w:type="dxa"/>
            <w:vAlign w:val="center"/>
          </w:tcPr>
          <w:p w14:paraId="57660454" w14:textId="77777777" w:rsidR="009B0083" w:rsidRPr="00FD4EE9" w:rsidRDefault="009B0083">
            <w:pPr>
              <w:pStyle w:val="BodyText"/>
              <w:spacing w:before="20" w:after="0" w:line="240" w:lineRule="auto"/>
              <w:ind w:left="72" w:right="33"/>
            </w:pPr>
            <w:r w:rsidRPr="00FD4EE9">
              <w:t>IT</w:t>
            </w:r>
          </w:p>
        </w:tc>
      </w:tr>
      <w:tr w:rsidR="009B0083" w:rsidRPr="00FD4EE9" w14:paraId="26F96058" w14:textId="77777777">
        <w:trPr>
          <w:trHeight w:val="90"/>
        </w:trPr>
        <w:tc>
          <w:tcPr>
            <w:tcW w:w="3544" w:type="dxa"/>
            <w:vAlign w:val="center"/>
          </w:tcPr>
          <w:p w14:paraId="264D3C81" w14:textId="77777777" w:rsidR="009B0083" w:rsidRPr="00FD4EE9" w:rsidRDefault="009B0083" w:rsidP="00350B22">
            <w:pPr>
              <w:pStyle w:val="BodyText"/>
              <w:spacing w:before="20" w:after="0" w:line="240" w:lineRule="auto"/>
            </w:pPr>
            <w:r w:rsidRPr="00FD4EE9">
              <w:t xml:space="preserve">Ashley Woodcock, co-chair </w:t>
            </w:r>
          </w:p>
        </w:tc>
        <w:tc>
          <w:tcPr>
            <w:tcW w:w="850" w:type="dxa"/>
            <w:vAlign w:val="center"/>
          </w:tcPr>
          <w:p w14:paraId="7C16D708" w14:textId="77777777" w:rsidR="009B0083" w:rsidRPr="00FD4EE9" w:rsidRDefault="009B0083">
            <w:pPr>
              <w:pStyle w:val="BodyText"/>
              <w:spacing w:before="20" w:after="0" w:line="240" w:lineRule="auto"/>
              <w:ind w:right="33"/>
              <w:jc w:val="both"/>
            </w:pPr>
            <w:r w:rsidRPr="00FD4EE9">
              <w:t>UK</w:t>
            </w:r>
          </w:p>
        </w:tc>
        <w:tc>
          <w:tcPr>
            <w:tcW w:w="2446" w:type="dxa"/>
            <w:vAlign w:val="center"/>
          </w:tcPr>
          <w:p w14:paraId="13445AA0" w14:textId="77777777" w:rsidR="009B0083" w:rsidRPr="00FD4EE9" w:rsidRDefault="009B0083">
            <w:pPr>
              <w:pStyle w:val="BodyText"/>
              <w:spacing w:before="20" w:after="0" w:line="240" w:lineRule="auto"/>
            </w:pPr>
            <w:r w:rsidRPr="00FD4EE9">
              <w:t>Roberto Peixoto</w:t>
            </w:r>
          </w:p>
        </w:tc>
        <w:tc>
          <w:tcPr>
            <w:tcW w:w="1524" w:type="dxa"/>
            <w:vAlign w:val="center"/>
          </w:tcPr>
          <w:p w14:paraId="40556465" w14:textId="77777777" w:rsidR="009B0083" w:rsidRPr="00FD4EE9" w:rsidRDefault="009B0083">
            <w:pPr>
              <w:pStyle w:val="BodyText"/>
              <w:spacing w:before="20" w:after="0" w:line="240" w:lineRule="auto"/>
              <w:ind w:left="72" w:right="33"/>
            </w:pPr>
            <w:r w:rsidRPr="00FD4EE9">
              <w:t>BRA</w:t>
            </w:r>
          </w:p>
        </w:tc>
      </w:tr>
      <w:tr w:rsidR="00871C44" w:rsidRPr="00FD4EE9" w14:paraId="7A08882B" w14:textId="77777777">
        <w:tc>
          <w:tcPr>
            <w:tcW w:w="3544" w:type="dxa"/>
            <w:vAlign w:val="center"/>
          </w:tcPr>
          <w:p w14:paraId="47F1C7CA" w14:textId="4BEA1147" w:rsidR="00871C44" w:rsidRPr="00FD4EE9" w:rsidRDefault="00871C44" w:rsidP="00A86901">
            <w:pPr>
              <w:pStyle w:val="BodyText"/>
              <w:spacing w:before="20" w:after="0" w:line="240" w:lineRule="auto"/>
            </w:pPr>
            <w:r>
              <w:t>Paulo Alto</w:t>
            </w:r>
            <w:r w:rsidR="00A86901">
              <w:t>e</w:t>
            </w:r>
          </w:p>
        </w:tc>
        <w:tc>
          <w:tcPr>
            <w:tcW w:w="850" w:type="dxa"/>
            <w:vAlign w:val="center"/>
          </w:tcPr>
          <w:p w14:paraId="218A7696" w14:textId="77777777" w:rsidR="00871C44" w:rsidRPr="00FD4EE9" w:rsidRDefault="00871C44">
            <w:pPr>
              <w:pStyle w:val="BodyText"/>
              <w:spacing w:before="20" w:after="0" w:line="240" w:lineRule="auto"/>
              <w:ind w:right="33"/>
              <w:jc w:val="both"/>
            </w:pPr>
            <w:r>
              <w:t>BRA</w:t>
            </w:r>
          </w:p>
        </w:tc>
        <w:tc>
          <w:tcPr>
            <w:tcW w:w="2446" w:type="dxa"/>
            <w:vAlign w:val="center"/>
          </w:tcPr>
          <w:p w14:paraId="57F4290A" w14:textId="77777777" w:rsidR="00871C44" w:rsidRPr="00FD4EE9" w:rsidRDefault="00871C44" w:rsidP="00871C44">
            <w:pPr>
              <w:pStyle w:val="BodyText"/>
              <w:spacing w:before="20" w:after="0" w:line="240" w:lineRule="auto"/>
            </w:pPr>
            <w:r w:rsidRPr="00FD4EE9">
              <w:t>Ian Porter</w:t>
            </w:r>
          </w:p>
        </w:tc>
        <w:tc>
          <w:tcPr>
            <w:tcW w:w="1524" w:type="dxa"/>
            <w:vAlign w:val="center"/>
          </w:tcPr>
          <w:p w14:paraId="4CD74896" w14:textId="77777777" w:rsidR="00871C44" w:rsidRPr="00FD4EE9" w:rsidRDefault="00871C44" w:rsidP="00871C44">
            <w:pPr>
              <w:pStyle w:val="BodyText"/>
              <w:spacing w:before="20" w:after="0" w:line="240" w:lineRule="auto"/>
              <w:ind w:left="72" w:right="33"/>
            </w:pPr>
            <w:r w:rsidRPr="00FD4EE9">
              <w:t>AUS</w:t>
            </w:r>
          </w:p>
        </w:tc>
      </w:tr>
      <w:tr w:rsidR="00871C44" w:rsidRPr="00FD4EE9" w14:paraId="5868C6EA" w14:textId="77777777">
        <w:tc>
          <w:tcPr>
            <w:tcW w:w="3544" w:type="dxa"/>
            <w:vAlign w:val="center"/>
          </w:tcPr>
          <w:p w14:paraId="345CC61E" w14:textId="77777777" w:rsidR="00871C44" w:rsidRPr="00FD4EE9" w:rsidRDefault="00871C44">
            <w:pPr>
              <w:pStyle w:val="BodyText"/>
              <w:spacing w:before="20" w:after="0" w:line="240" w:lineRule="auto"/>
            </w:pPr>
            <w:r w:rsidRPr="00FD4EE9">
              <w:t>Mohamed Besri</w:t>
            </w:r>
          </w:p>
        </w:tc>
        <w:tc>
          <w:tcPr>
            <w:tcW w:w="850" w:type="dxa"/>
            <w:vAlign w:val="center"/>
          </w:tcPr>
          <w:p w14:paraId="66294756" w14:textId="77777777" w:rsidR="00871C44" w:rsidRPr="00FD4EE9" w:rsidRDefault="00871C44">
            <w:pPr>
              <w:pStyle w:val="BodyText"/>
              <w:spacing w:before="20" w:after="0" w:line="240" w:lineRule="auto"/>
              <w:ind w:right="33"/>
              <w:jc w:val="both"/>
            </w:pPr>
            <w:r w:rsidRPr="00FD4EE9">
              <w:t>MOR</w:t>
            </w:r>
          </w:p>
        </w:tc>
        <w:tc>
          <w:tcPr>
            <w:tcW w:w="2446" w:type="dxa"/>
            <w:vAlign w:val="center"/>
          </w:tcPr>
          <w:p w14:paraId="58A2914C" w14:textId="77777777" w:rsidR="00871C44" w:rsidRPr="00FD4EE9" w:rsidRDefault="00871C44" w:rsidP="00871C44">
            <w:pPr>
              <w:pStyle w:val="BodyText"/>
              <w:spacing w:before="20" w:after="0" w:line="240" w:lineRule="auto"/>
            </w:pPr>
            <w:r w:rsidRPr="00FD4EE9">
              <w:t>Helen Tope</w:t>
            </w:r>
          </w:p>
        </w:tc>
        <w:tc>
          <w:tcPr>
            <w:tcW w:w="1524" w:type="dxa"/>
            <w:vAlign w:val="center"/>
          </w:tcPr>
          <w:p w14:paraId="6FACEF64" w14:textId="77777777" w:rsidR="00871C44" w:rsidRPr="00FD4EE9" w:rsidRDefault="00871C44" w:rsidP="00871C44">
            <w:pPr>
              <w:pStyle w:val="BodyText"/>
              <w:spacing w:before="20" w:after="0" w:line="240" w:lineRule="auto"/>
              <w:ind w:left="72" w:right="33"/>
            </w:pPr>
            <w:r w:rsidRPr="00FD4EE9">
              <w:t>AUS</w:t>
            </w:r>
          </w:p>
        </w:tc>
      </w:tr>
      <w:tr w:rsidR="00871C44" w:rsidRPr="00FD4EE9" w14:paraId="3F4BE7AC" w14:textId="77777777">
        <w:tc>
          <w:tcPr>
            <w:tcW w:w="3544" w:type="dxa"/>
            <w:vAlign w:val="center"/>
          </w:tcPr>
          <w:p w14:paraId="46A3D4F3" w14:textId="77777777" w:rsidR="00871C44" w:rsidRPr="00FD4EE9" w:rsidRDefault="00871C44">
            <w:pPr>
              <w:pStyle w:val="BodyText"/>
              <w:spacing w:before="20" w:after="0" w:line="240" w:lineRule="auto"/>
            </w:pPr>
            <w:r w:rsidRPr="00FD4EE9">
              <w:t>Suely Machado Carvalho</w:t>
            </w:r>
          </w:p>
        </w:tc>
        <w:tc>
          <w:tcPr>
            <w:tcW w:w="850" w:type="dxa"/>
            <w:vAlign w:val="center"/>
          </w:tcPr>
          <w:p w14:paraId="162D553B" w14:textId="77777777" w:rsidR="00871C44" w:rsidRPr="00FD4EE9" w:rsidRDefault="00871C44">
            <w:pPr>
              <w:pStyle w:val="BodyText"/>
              <w:spacing w:before="20" w:after="0" w:line="240" w:lineRule="auto"/>
              <w:ind w:right="33"/>
              <w:jc w:val="both"/>
            </w:pPr>
            <w:r w:rsidRPr="00FD4EE9">
              <w:t>BRA</w:t>
            </w:r>
          </w:p>
        </w:tc>
        <w:tc>
          <w:tcPr>
            <w:tcW w:w="2446" w:type="dxa"/>
            <w:vAlign w:val="center"/>
          </w:tcPr>
          <w:p w14:paraId="642B81F0" w14:textId="77777777" w:rsidR="00871C44" w:rsidRPr="00FD4EE9" w:rsidRDefault="00871C44">
            <w:pPr>
              <w:pStyle w:val="BodyText"/>
              <w:spacing w:before="20" w:after="0" w:line="240" w:lineRule="auto"/>
            </w:pPr>
            <w:r>
              <w:t>Rajendra Shende</w:t>
            </w:r>
          </w:p>
        </w:tc>
        <w:tc>
          <w:tcPr>
            <w:tcW w:w="1524" w:type="dxa"/>
            <w:vAlign w:val="center"/>
          </w:tcPr>
          <w:p w14:paraId="7424B54B" w14:textId="77777777" w:rsidR="00871C44" w:rsidRPr="00FD4EE9" w:rsidRDefault="00871C44">
            <w:pPr>
              <w:pStyle w:val="BodyText"/>
              <w:spacing w:before="20" w:after="0" w:line="240" w:lineRule="auto"/>
              <w:ind w:left="72" w:right="33"/>
            </w:pPr>
            <w:r>
              <w:t>IN</w:t>
            </w:r>
          </w:p>
        </w:tc>
      </w:tr>
      <w:tr w:rsidR="00871C44" w:rsidRPr="00FD4EE9" w14:paraId="77EE5D47" w14:textId="77777777">
        <w:tc>
          <w:tcPr>
            <w:tcW w:w="3544" w:type="dxa"/>
            <w:vAlign w:val="center"/>
          </w:tcPr>
          <w:p w14:paraId="5E037AD6" w14:textId="77777777" w:rsidR="00871C44" w:rsidRPr="00FD4EE9" w:rsidRDefault="00871C44">
            <w:pPr>
              <w:pStyle w:val="BodyText"/>
              <w:spacing w:before="20" w:after="0" w:line="240" w:lineRule="auto"/>
            </w:pPr>
            <w:r>
              <w:t>Adam Chattaway</w:t>
            </w:r>
            <w:r w:rsidRPr="00FD4EE9">
              <w:t xml:space="preserve"> </w:t>
            </w:r>
          </w:p>
        </w:tc>
        <w:tc>
          <w:tcPr>
            <w:tcW w:w="850" w:type="dxa"/>
            <w:vAlign w:val="center"/>
          </w:tcPr>
          <w:p w14:paraId="468C5D47" w14:textId="77777777" w:rsidR="00871C44" w:rsidRPr="00FD4EE9" w:rsidRDefault="00871C44">
            <w:pPr>
              <w:pStyle w:val="BodyText"/>
              <w:spacing w:before="20" w:after="0" w:line="240" w:lineRule="auto"/>
              <w:ind w:right="33"/>
              <w:jc w:val="both"/>
            </w:pPr>
            <w:r w:rsidRPr="00FD4EE9">
              <w:t>UK</w:t>
            </w:r>
          </w:p>
        </w:tc>
        <w:tc>
          <w:tcPr>
            <w:tcW w:w="2446" w:type="dxa"/>
            <w:vAlign w:val="center"/>
          </w:tcPr>
          <w:p w14:paraId="11E33819" w14:textId="77777777" w:rsidR="00871C44" w:rsidRPr="00FD4EE9" w:rsidRDefault="00871C44">
            <w:pPr>
              <w:pStyle w:val="BodyText"/>
              <w:spacing w:before="20" w:after="0" w:line="240" w:lineRule="auto"/>
            </w:pPr>
            <w:r w:rsidRPr="00FD4EE9">
              <w:t>Dan Verdonik</w:t>
            </w:r>
          </w:p>
        </w:tc>
        <w:tc>
          <w:tcPr>
            <w:tcW w:w="1524" w:type="dxa"/>
            <w:vAlign w:val="center"/>
          </w:tcPr>
          <w:p w14:paraId="54EBDF9D" w14:textId="16D3611A" w:rsidR="00871C44" w:rsidRPr="00FD4EE9" w:rsidRDefault="0070607D">
            <w:pPr>
              <w:pStyle w:val="BodyText"/>
              <w:spacing w:before="20" w:after="0" w:line="240" w:lineRule="auto"/>
              <w:ind w:left="72" w:right="33"/>
            </w:pPr>
            <w:r>
              <w:t>US</w:t>
            </w:r>
          </w:p>
        </w:tc>
      </w:tr>
      <w:tr w:rsidR="00871C44" w:rsidRPr="00FD4EE9" w14:paraId="5C1E4BC2" w14:textId="77777777">
        <w:tc>
          <w:tcPr>
            <w:tcW w:w="3544" w:type="dxa"/>
            <w:vAlign w:val="center"/>
          </w:tcPr>
          <w:p w14:paraId="0E7D656E" w14:textId="77777777" w:rsidR="00871C44" w:rsidRPr="00FD4EE9" w:rsidRDefault="00871C44">
            <w:pPr>
              <w:pStyle w:val="BodyText"/>
              <w:spacing w:before="20" w:after="0" w:line="240" w:lineRule="auto"/>
            </w:pPr>
            <w:r w:rsidRPr="00FD4EE9">
              <w:t>Marco Gonzalez</w:t>
            </w:r>
          </w:p>
        </w:tc>
        <w:tc>
          <w:tcPr>
            <w:tcW w:w="850" w:type="dxa"/>
            <w:vAlign w:val="center"/>
          </w:tcPr>
          <w:p w14:paraId="7BA8F184" w14:textId="77777777" w:rsidR="00871C44" w:rsidRPr="00FD4EE9" w:rsidRDefault="00871C44">
            <w:pPr>
              <w:pStyle w:val="BodyText"/>
              <w:spacing w:before="20" w:after="0" w:line="240" w:lineRule="auto"/>
              <w:ind w:right="33"/>
              <w:jc w:val="both"/>
            </w:pPr>
            <w:r w:rsidRPr="00FD4EE9">
              <w:t>CR</w:t>
            </w:r>
          </w:p>
        </w:tc>
        <w:tc>
          <w:tcPr>
            <w:tcW w:w="2446" w:type="dxa"/>
            <w:vAlign w:val="center"/>
          </w:tcPr>
          <w:p w14:paraId="1B465CE0" w14:textId="77777777" w:rsidR="00871C44" w:rsidRPr="00FD4EE9" w:rsidRDefault="00871C44">
            <w:pPr>
              <w:pStyle w:val="BodyText"/>
              <w:spacing w:before="20" w:after="0" w:line="240" w:lineRule="auto"/>
            </w:pPr>
            <w:r w:rsidRPr="00FD4EE9">
              <w:t>Shiqiu Zhang</w:t>
            </w:r>
          </w:p>
        </w:tc>
        <w:tc>
          <w:tcPr>
            <w:tcW w:w="1524" w:type="dxa"/>
            <w:vAlign w:val="center"/>
          </w:tcPr>
          <w:p w14:paraId="7565C408" w14:textId="77777777" w:rsidR="00871C44" w:rsidRPr="00FD4EE9" w:rsidRDefault="00871C44">
            <w:pPr>
              <w:pStyle w:val="BodyText"/>
              <w:spacing w:before="20" w:after="0" w:line="240" w:lineRule="auto"/>
              <w:ind w:left="72" w:right="33"/>
            </w:pPr>
            <w:r w:rsidRPr="00FD4EE9">
              <w:t>PRC</w:t>
            </w:r>
          </w:p>
        </w:tc>
      </w:tr>
      <w:tr w:rsidR="00871C44" w:rsidRPr="00FD4EE9" w14:paraId="7DB643CF" w14:textId="77777777">
        <w:trPr>
          <w:trHeight w:val="212"/>
        </w:trPr>
        <w:tc>
          <w:tcPr>
            <w:tcW w:w="3544" w:type="dxa"/>
            <w:vAlign w:val="center"/>
          </w:tcPr>
          <w:p w14:paraId="114D3E33" w14:textId="77777777" w:rsidR="00871C44" w:rsidRPr="00FD4EE9" w:rsidRDefault="00871C44">
            <w:pPr>
              <w:pStyle w:val="BodyText"/>
              <w:spacing w:before="20" w:after="0" w:line="240" w:lineRule="auto"/>
            </w:pPr>
            <w:r w:rsidRPr="00FD4EE9">
              <w:t>Sergey Kopylov</w:t>
            </w:r>
          </w:p>
        </w:tc>
        <w:tc>
          <w:tcPr>
            <w:tcW w:w="850" w:type="dxa"/>
            <w:vAlign w:val="center"/>
          </w:tcPr>
          <w:p w14:paraId="5B57F382" w14:textId="77777777" w:rsidR="00871C44" w:rsidRPr="00FD4EE9" w:rsidRDefault="00871C44">
            <w:pPr>
              <w:pStyle w:val="BodyText"/>
              <w:spacing w:before="20" w:after="0" w:line="240" w:lineRule="auto"/>
              <w:ind w:right="33"/>
              <w:jc w:val="both"/>
            </w:pPr>
            <w:r w:rsidRPr="00FD4EE9">
              <w:t>RF</w:t>
            </w:r>
          </w:p>
        </w:tc>
        <w:tc>
          <w:tcPr>
            <w:tcW w:w="2446" w:type="dxa"/>
            <w:vAlign w:val="center"/>
          </w:tcPr>
          <w:p w14:paraId="582598EB" w14:textId="77777777" w:rsidR="00871C44" w:rsidRPr="00FD4EE9" w:rsidRDefault="00871C44">
            <w:pPr>
              <w:pStyle w:val="BodyText"/>
              <w:spacing w:before="20" w:after="0" w:line="240" w:lineRule="auto"/>
            </w:pPr>
            <w:r w:rsidRPr="00FD4EE9">
              <w:t>Jianjun Zhang</w:t>
            </w:r>
          </w:p>
        </w:tc>
        <w:tc>
          <w:tcPr>
            <w:tcW w:w="1524" w:type="dxa"/>
            <w:vAlign w:val="center"/>
          </w:tcPr>
          <w:p w14:paraId="35684F48" w14:textId="77777777" w:rsidR="00871C44" w:rsidRPr="00FD4EE9" w:rsidRDefault="00871C44">
            <w:pPr>
              <w:pStyle w:val="BodyText"/>
              <w:spacing w:before="20" w:after="0" w:line="240" w:lineRule="auto"/>
              <w:ind w:left="72" w:right="33"/>
            </w:pPr>
            <w:r w:rsidRPr="00FD4EE9">
              <w:t>PRC</w:t>
            </w:r>
          </w:p>
        </w:tc>
      </w:tr>
    </w:tbl>
    <w:p w14:paraId="5454676A" w14:textId="77777777" w:rsidR="00AD4B2A" w:rsidRPr="00FD4EE9" w:rsidRDefault="00AD4B2A">
      <w:pPr>
        <w:spacing w:after="0"/>
        <w:jc w:val="right"/>
        <w:rPr>
          <w:b/>
          <w:smallCaps/>
          <w:sz w:val="28"/>
        </w:rPr>
      </w:pPr>
    </w:p>
    <w:p w14:paraId="45103A3B" w14:textId="6DC26E94" w:rsidR="00AD4B2A" w:rsidRPr="00FD4EE9" w:rsidRDefault="00591AA8">
      <w:pPr>
        <w:spacing w:after="0"/>
        <w:jc w:val="right"/>
        <w:rPr>
          <w:b/>
          <w:smallCaps/>
          <w:sz w:val="28"/>
        </w:rPr>
      </w:pPr>
      <w:r w:rsidRPr="00FD4EE9">
        <w:rPr>
          <w:b/>
          <w:smallCaps/>
          <w:sz w:val="28"/>
        </w:rPr>
        <w:br w:type="page"/>
      </w:r>
      <w:r w:rsidRPr="00FD4EE9">
        <w:rPr>
          <w:b/>
          <w:smallCaps/>
          <w:sz w:val="28"/>
        </w:rPr>
        <w:lastRenderedPageBreak/>
        <w:t>UNEP</w:t>
      </w:r>
      <w:r w:rsidRPr="00FD4EE9">
        <w:rPr>
          <w:b/>
          <w:smallCaps/>
          <w:sz w:val="28"/>
        </w:rPr>
        <w:br/>
      </w:r>
      <w:r w:rsidR="004F10BF">
        <w:rPr>
          <w:b/>
          <w:smallCaps/>
          <w:sz w:val="28"/>
        </w:rPr>
        <w:t>MAY 2017</w:t>
      </w:r>
      <w:r w:rsidRPr="00FD4EE9">
        <w:rPr>
          <w:b/>
          <w:smallCaps/>
          <w:sz w:val="28"/>
        </w:rPr>
        <w:t xml:space="preserve"> </w:t>
      </w:r>
      <w:r w:rsidR="00E0764E">
        <w:rPr>
          <w:b/>
          <w:smallCaps/>
          <w:sz w:val="28"/>
        </w:rPr>
        <w:t xml:space="preserve">Progress </w:t>
      </w:r>
      <w:r w:rsidRPr="00FD4EE9">
        <w:rPr>
          <w:b/>
          <w:smallCaps/>
          <w:sz w:val="28"/>
        </w:rPr>
        <w:t>Report of the</w:t>
      </w:r>
      <w:r w:rsidRPr="00FD4EE9">
        <w:rPr>
          <w:b/>
          <w:smallCaps/>
          <w:sz w:val="28"/>
        </w:rPr>
        <w:br/>
        <w:t>Technology and Economic</w:t>
      </w:r>
      <w:r w:rsidRPr="00FD4EE9">
        <w:rPr>
          <w:b/>
          <w:smallCaps/>
          <w:sz w:val="28"/>
        </w:rPr>
        <w:br/>
        <w:t>Assessment Panel</w:t>
      </w:r>
    </w:p>
    <w:p w14:paraId="27B57B70" w14:textId="7ABF3040" w:rsidR="00AD4B2A" w:rsidRDefault="00591AA8" w:rsidP="006E13B3">
      <w:pPr>
        <w:jc w:val="right"/>
        <w:rPr>
          <w:b/>
          <w:smallCaps/>
          <w:sz w:val="28"/>
        </w:rPr>
      </w:pPr>
      <w:r w:rsidRPr="00FD4EE9">
        <w:rPr>
          <w:b/>
          <w:smallCaps/>
          <w:sz w:val="28"/>
        </w:rPr>
        <w:t>Volume 1</w:t>
      </w:r>
    </w:p>
    <w:p w14:paraId="0B66C8F6" w14:textId="01382B49" w:rsidR="006E13B3" w:rsidRPr="006E13B3" w:rsidRDefault="006E13B3" w:rsidP="006E13B3">
      <w:pPr>
        <w:jc w:val="center"/>
        <w:rPr>
          <w:b/>
          <w:smallCaps/>
          <w:sz w:val="28"/>
        </w:rPr>
      </w:pPr>
      <w:r>
        <w:rPr>
          <w:b/>
          <w:smallCaps/>
          <w:sz w:val="28"/>
        </w:rPr>
        <w:t>Table of Contents</w:t>
      </w:r>
    </w:p>
    <w:p w14:paraId="4502AA3D" w14:textId="6A075BD8" w:rsidR="00943D38" w:rsidRDefault="003F378F" w:rsidP="00101106">
      <w:pPr>
        <w:pStyle w:val="TOC1"/>
        <w:tabs>
          <w:tab w:val="left" w:pos="1260"/>
          <w:tab w:val="right" w:leader="dot" w:pos="9360"/>
        </w:tabs>
        <w:ind w:right="-40"/>
        <w:rPr>
          <w:rFonts w:eastAsiaTheme="minorEastAsia" w:cstheme="minorBidi"/>
          <w:b w:val="0"/>
          <w:caps w:val="0"/>
          <w:noProof/>
          <w:color w:val="auto"/>
          <w:lang w:val="en-US" w:eastAsia="en-US"/>
        </w:rPr>
      </w:pPr>
      <w:r>
        <w:rPr>
          <w:rFonts w:ascii="Times New Roman" w:hAnsi="Times New Roman"/>
        </w:rPr>
        <w:fldChar w:fldCharType="begin"/>
      </w:r>
      <w:r>
        <w:rPr>
          <w:rFonts w:ascii="Times New Roman" w:hAnsi="Times New Roman"/>
        </w:rPr>
        <w:instrText xml:space="preserve"> TOC \o "3-3" \t "Heading 1,1,Heading 2,2,Chapter Heading,1,Section heading,2,Sub title,2,Alt 2-Level Legal1,1,Alt 2-Level Legal2,2,Alt 2-Level Legal4,4,Alt 2-Level Legal5,5,Style3,1,Style4,2,Style Heading 2SubPara (a)Heading 2 Char1 CharSubPara (a) Char1 ...,2,Style8,4" </w:instrText>
      </w:r>
      <w:r>
        <w:rPr>
          <w:rFonts w:ascii="Times New Roman" w:hAnsi="Times New Roman"/>
        </w:rPr>
        <w:fldChar w:fldCharType="separate"/>
      </w:r>
      <w:r w:rsidR="00943D38" w:rsidRPr="00814FC6">
        <w:rPr>
          <w:noProof/>
        </w:rPr>
        <w:t>1</w:t>
      </w:r>
      <w:r w:rsidR="00943D38">
        <w:rPr>
          <w:rFonts w:eastAsiaTheme="minorEastAsia" w:cstheme="minorBidi"/>
          <w:b w:val="0"/>
          <w:caps w:val="0"/>
          <w:noProof/>
          <w:color w:val="auto"/>
          <w:lang w:val="en-US" w:eastAsia="en-US"/>
        </w:rPr>
        <w:tab/>
      </w:r>
      <w:r w:rsidR="00943D38" w:rsidRPr="00814FC6">
        <w:rPr>
          <w:noProof/>
        </w:rPr>
        <w:t>Introduction</w:t>
      </w:r>
      <w:r w:rsidR="00943D38">
        <w:rPr>
          <w:noProof/>
        </w:rPr>
        <w:tab/>
      </w:r>
      <w:r w:rsidR="00943D38">
        <w:rPr>
          <w:noProof/>
        </w:rPr>
        <w:fldChar w:fldCharType="begin"/>
      </w:r>
      <w:r w:rsidR="00943D38">
        <w:rPr>
          <w:noProof/>
        </w:rPr>
        <w:instrText xml:space="preserve"> PAGEREF _Toc484164308 \h </w:instrText>
      </w:r>
      <w:r w:rsidR="00943D38">
        <w:rPr>
          <w:noProof/>
        </w:rPr>
      </w:r>
      <w:r w:rsidR="00943D38">
        <w:rPr>
          <w:noProof/>
        </w:rPr>
        <w:fldChar w:fldCharType="separate"/>
      </w:r>
      <w:r w:rsidR="00DD3F35">
        <w:rPr>
          <w:noProof/>
        </w:rPr>
        <w:t>1</w:t>
      </w:r>
      <w:r w:rsidR="00943D38">
        <w:rPr>
          <w:noProof/>
        </w:rPr>
        <w:fldChar w:fldCharType="end"/>
      </w:r>
    </w:p>
    <w:p w14:paraId="1249CD57" w14:textId="77777777" w:rsidR="00943D38" w:rsidRDefault="00943D38" w:rsidP="00101106">
      <w:pPr>
        <w:pStyle w:val="TOC2"/>
        <w:tabs>
          <w:tab w:val="clear" w:pos="9015"/>
          <w:tab w:val="right" w:leader="dot" w:pos="9360"/>
        </w:tabs>
        <w:ind w:right="-40"/>
        <w:rPr>
          <w:rFonts w:eastAsiaTheme="minorEastAsia" w:cstheme="minorBidi"/>
          <w:b w:val="0"/>
          <w:smallCaps w:val="0"/>
          <w:color w:val="auto"/>
          <w:lang w:val="en-US" w:eastAsia="en-US"/>
        </w:rPr>
      </w:pPr>
      <w:r>
        <w:t>1.1.</w:t>
      </w:r>
      <w:r>
        <w:rPr>
          <w:rFonts w:eastAsiaTheme="minorEastAsia" w:cstheme="minorBidi"/>
          <w:b w:val="0"/>
          <w:smallCaps w:val="0"/>
          <w:color w:val="auto"/>
          <w:lang w:val="en-US" w:eastAsia="en-US"/>
        </w:rPr>
        <w:tab/>
      </w:r>
      <w:r>
        <w:t>Key TEAP messages</w:t>
      </w:r>
      <w:r>
        <w:tab/>
      </w:r>
      <w:r>
        <w:fldChar w:fldCharType="begin"/>
      </w:r>
      <w:r>
        <w:instrText xml:space="preserve"> PAGEREF _Toc484164309 \h </w:instrText>
      </w:r>
      <w:r>
        <w:fldChar w:fldCharType="separate"/>
      </w:r>
      <w:r w:rsidR="00DD3F35">
        <w:t>1</w:t>
      </w:r>
      <w:r>
        <w:fldChar w:fldCharType="end"/>
      </w:r>
    </w:p>
    <w:p w14:paraId="34573AA7" w14:textId="77777777" w:rsidR="00943D38" w:rsidRDefault="00943D38" w:rsidP="00101106">
      <w:pPr>
        <w:pStyle w:val="TOC3"/>
        <w:ind w:right="-40"/>
        <w:rPr>
          <w:rFonts w:eastAsiaTheme="minorEastAsia" w:cstheme="minorBidi"/>
          <w:i w:val="0"/>
          <w:noProof/>
          <w:color w:val="auto"/>
          <w:lang w:val="en-US" w:eastAsia="en-US"/>
        </w:rPr>
      </w:pPr>
      <w:r>
        <w:rPr>
          <w:noProof/>
        </w:rPr>
        <w:t>1.1.1. FTOC</w:t>
      </w:r>
      <w:r>
        <w:rPr>
          <w:noProof/>
        </w:rPr>
        <w:tab/>
      </w:r>
      <w:r>
        <w:rPr>
          <w:noProof/>
        </w:rPr>
        <w:fldChar w:fldCharType="begin"/>
      </w:r>
      <w:r>
        <w:rPr>
          <w:noProof/>
        </w:rPr>
        <w:instrText xml:space="preserve"> PAGEREF _Toc484164310 \h </w:instrText>
      </w:r>
      <w:r>
        <w:rPr>
          <w:noProof/>
        </w:rPr>
      </w:r>
      <w:r>
        <w:rPr>
          <w:noProof/>
        </w:rPr>
        <w:fldChar w:fldCharType="separate"/>
      </w:r>
      <w:r w:rsidR="00DD3F35">
        <w:rPr>
          <w:noProof/>
        </w:rPr>
        <w:t>1</w:t>
      </w:r>
      <w:r>
        <w:rPr>
          <w:noProof/>
        </w:rPr>
        <w:fldChar w:fldCharType="end"/>
      </w:r>
    </w:p>
    <w:p w14:paraId="1171ED6A" w14:textId="77777777" w:rsidR="00943D38" w:rsidRDefault="00943D38" w:rsidP="00101106">
      <w:pPr>
        <w:pStyle w:val="TOC3"/>
        <w:ind w:right="-40"/>
        <w:rPr>
          <w:rFonts w:eastAsiaTheme="minorEastAsia" w:cstheme="minorBidi"/>
          <w:i w:val="0"/>
          <w:noProof/>
          <w:color w:val="auto"/>
          <w:lang w:val="en-US" w:eastAsia="en-US"/>
        </w:rPr>
      </w:pPr>
      <w:r>
        <w:rPr>
          <w:noProof/>
        </w:rPr>
        <w:t>1.1.2. HTOC</w:t>
      </w:r>
      <w:r>
        <w:rPr>
          <w:noProof/>
        </w:rPr>
        <w:tab/>
      </w:r>
      <w:r>
        <w:rPr>
          <w:noProof/>
        </w:rPr>
        <w:fldChar w:fldCharType="begin"/>
      </w:r>
      <w:r>
        <w:rPr>
          <w:noProof/>
        </w:rPr>
        <w:instrText xml:space="preserve"> PAGEREF _Toc484164311 \h </w:instrText>
      </w:r>
      <w:r>
        <w:rPr>
          <w:noProof/>
        </w:rPr>
      </w:r>
      <w:r>
        <w:rPr>
          <w:noProof/>
        </w:rPr>
        <w:fldChar w:fldCharType="separate"/>
      </w:r>
      <w:r w:rsidR="00DD3F35">
        <w:rPr>
          <w:noProof/>
        </w:rPr>
        <w:t>1</w:t>
      </w:r>
      <w:r>
        <w:rPr>
          <w:noProof/>
        </w:rPr>
        <w:fldChar w:fldCharType="end"/>
      </w:r>
    </w:p>
    <w:p w14:paraId="5AADBFB1" w14:textId="77777777" w:rsidR="00943D38" w:rsidRDefault="00943D38" w:rsidP="00101106">
      <w:pPr>
        <w:pStyle w:val="TOC3"/>
        <w:ind w:right="-40"/>
        <w:rPr>
          <w:rFonts w:eastAsiaTheme="minorEastAsia" w:cstheme="minorBidi"/>
          <w:i w:val="0"/>
          <w:noProof/>
          <w:color w:val="auto"/>
          <w:lang w:val="en-US" w:eastAsia="en-US"/>
        </w:rPr>
      </w:pPr>
      <w:r>
        <w:rPr>
          <w:noProof/>
        </w:rPr>
        <w:t>1.1.3. MBTOC</w:t>
      </w:r>
      <w:r>
        <w:rPr>
          <w:noProof/>
        </w:rPr>
        <w:tab/>
      </w:r>
      <w:r>
        <w:rPr>
          <w:noProof/>
        </w:rPr>
        <w:fldChar w:fldCharType="begin"/>
      </w:r>
      <w:r>
        <w:rPr>
          <w:noProof/>
        </w:rPr>
        <w:instrText xml:space="preserve"> PAGEREF _Toc484164312 \h </w:instrText>
      </w:r>
      <w:r>
        <w:rPr>
          <w:noProof/>
        </w:rPr>
      </w:r>
      <w:r>
        <w:rPr>
          <w:noProof/>
        </w:rPr>
        <w:fldChar w:fldCharType="separate"/>
      </w:r>
      <w:r w:rsidR="00DD3F35">
        <w:rPr>
          <w:noProof/>
        </w:rPr>
        <w:t>2</w:t>
      </w:r>
      <w:r>
        <w:rPr>
          <w:noProof/>
        </w:rPr>
        <w:fldChar w:fldCharType="end"/>
      </w:r>
    </w:p>
    <w:p w14:paraId="569FCE61" w14:textId="77777777" w:rsidR="00943D38" w:rsidRDefault="00943D38" w:rsidP="00101106">
      <w:pPr>
        <w:pStyle w:val="TOC3"/>
        <w:ind w:right="-40"/>
        <w:rPr>
          <w:rFonts w:eastAsiaTheme="minorEastAsia" w:cstheme="minorBidi"/>
          <w:i w:val="0"/>
          <w:noProof/>
          <w:color w:val="auto"/>
          <w:lang w:val="en-US" w:eastAsia="en-US"/>
        </w:rPr>
      </w:pPr>
      <w:r>
        <w:rPr>
          <w:noProof/>
        </w:rPr>
        <w:t>1.1.4. MCTOC</w:t>
      </w:r>
      <w:r>
        <w:rPr>
          <w:noProof/>
        </w:rPr>
        <w:tab/>
      </w:r>
      <w:r>
        <w:rPr>
          <w:noProof/>
        </w:rPr>
        <w:fldChar w:fldCharType="begin"/>
      </w:r>
      <w:r>
        <w:rPr>
          <w:noProof/>
        </w:rPr>
        <w:instrText xml:space="preserve"> PAGEREF _Toc484164313 \h </w:instrText>
      </w:r>
      <w:r>
        <w:rPr>
          <w:noProof/>
        </w:rPr>
      </w:r>
      <w:r>
        <w:rPr>
          <w:noProof/>
        </w:rPr>
        <w:fldChar w:fldCharType="separate"/>
      </w:r>
      <w:r w:rsidR="00DD3F35">
        <w:rPr>
          <w:noProof/>
        </w:rPr>
        <w:t>3</w:t>
      </w:r>
      <w:r>
        <w:rPr>
          <w:noProof/>
        </w:rPr>
        <w:fldChar w:fldCharType="end"/>
      </w:r>
    </w:p>
    <w:p w14:paraId="4BBD3A5A" w14:textId="77777777" w:rsidR="00943D38" w:rsidRDefault="00943D38" w:rsidP="00101106">
      <w:pPr>
        <w:pStyle w:val="TOC3"/>
        <w:ind w:right="-40"/>
        <w:rPr>
          <w:rFonts w:eastAsiaTheme="minorEastAsia" w:cstheme="minorBidi"/>
          <w:i w:val="0"/>
          <w:noProof/>
          <w:color w:val="auto"/>
          <w:lang w:val="en-US" w:eastAsia="en-US"/>
        </w:rPr>
      </w:pPr>
      <w:r>
        <w:rPr>
          <w:noProof/>
        </w:rPr>
        <w:t>1.1.5. RTOC</w:t>
      </w:r>
      <w:r>
        <w:rPr>
          <w:noProof/>
        </w:rPr>
        <w:tab/>
      </w:r>
      <w:r>
        <w:rPr>
          <w:noProof/>
        </w:rPr>
        <w:fldChar w:fldCharType="begin"/>
      </w:r>
      <w:r>
        <w:rPr>
          <w:noProof/>
        </w:rPr>
        <w:instrText xml:space="preserve"> PAGEREF _Toc484164314 \h </w:instrText>
      </w:r>
      <w:r>
        <w:rPr>
          <w:noProof/>
        </w:rPr>
      </w:r>
      <w:r>
        <w:rPr>
          <w:noProof/>
        </w:rPr>
        <w:fldChar w:fldCharType="separate"/>
      </w:r>
      <w:r w:rsidR="00DD3F35">
        <w:rPr>
          <w:noProof/>
        </w:rPr>
        <w:t>3</w:t>
      </w:r>
      <w:r>
        <w:rPr>
          <w:noProof/>
        </w:rPr>
        <w:fldChar w:fldCharType="end"/>
      </w:r>
    </w:p>
    <w:p w14:paraId="357463BD" w14:textId="3C33EE77" w:rsidR="00943D38" w:rsidRDefault="00943D38" w:rsidP="00101106">
      <w:pPr>
        <w:pStyle w:val="TOC1"/>
        <w:tabs>
          <w:tab w:val="left" w:pos="1260"/>
          <w:tab w:val="right" w:leader="dot" w:pos="9360"/>
        </w:tabs>
        <w:ind w:right="-40"/>
        <w:rPr>
          <w:rFonts w:eastAsiaTheme="minorEastAsia" w:cstheme="minorBidi"/>
          <w:b w:val="0"/>
          <w:caps w:val="0"/>
          <w:noProof/>
          <w:color w:val="auto"/>
          <w:lang w:val="en-US" w:eastAsia="en-US"/>
        </w:rPr>
      </w:pPr>
      <w:r w:rsidRPr="00814FC6">
        <w:rPr>
          <w:noProof/>
        </w:rPr>
        <w:t>2</w:t>
      </w:r>
      <w:r>
        <w:rPr>
          <w:rFonts w:eastAsiaTheme="minorEastAsia" w:cstheme="minorBidi"/>
          <w:b w:val="0"/>
          <w:caps w:val="0"/>
          <w:noProof/>
          <w:color w:val="auto"/>
          <w:lang w:val="en-US" w:eastAsia="en-US"/>
        </w:rPr>
        <w:tab/>
      </w:r>
      <w:r w:rsidRPr="00814FC6">
        <w:rPr>
          <w:noProof/>
        </w:rPr>
        <w:t>Flexible and Rigid Foams TOC (FTOC) Progress Report</w:t>
      </w:r>
      <w:r>
        <w:rPr>
          <w:noProof/>
        </w:rPr>
        <w:tab/>
      </w:r>
      <w:r>
        <w:rPr>
          <w:noProof/>
        </w:rPr>
        <w:fldChar w:fldCharType="begin"/>
      </w:r>
      <w:r>
        <w:rPr>
          <w:noProof/>
        </w:rPr>
        <w:instrText xml:space="preserve"> PAGEREF _Toc484164315 \h </w:instrText>
      </w:r>
      <w:r>
        <w:rPr>
          <w:noProof/>
        </w:rPr>
      </w:r>
      <w:r>
        <w:rPr>
          <w:noProof/>
        </w:rPr>
        <w:fldChar w:fldCharType="separate"/>
      </w:r>
      <w:r w:rsidR="00DD3F35">
        <w:rPr>
          <w:noProof/>
        </w:rPr>
        <w:t>1</w:t>
      </w:r>
      <w:r>
        <w:rPr>
          <w:noProof/>
        </w:rPr>
        <w:fldChar w:fldCharType="end"/>
      </w:r>
    </w:p>
    <w:p w14:paraId="4D2329B8" w14:textId="45437347" w:rsidR="00943D38" w:rsidRDefault="00943D38" w:rsidP="00101106">
      <w:pPr>
        <w:pStyle w:val="TOC2"/>
        <w:tabs>
          <w:tab w:val="clear" w:pos="9015"/>
          <w:tab w:val="right" w:leader="dot" w:pos="9360"/>
        </w:tabs>
        <w:ind w:right="-40"/>
        <w:rPr>
          <w:rFonts w:eastAsiaTheme="minorEastAsia" w:cstheme="minorBidi"/>
          <w:b w:val="0"/>
          <w:smallCaps w:val="0"/>
          <w:color w:val="auto"/>
          <w:lang w:val="en-US" w:eastAsia="en-US"/>
        </w:rPr>
      </w:pPr>
      <w:r>
        <w:t>Executive Summary</w:t>
      </w:r>
      <w:r>
        <w:tab/>
      </w:r>
      <w:r>
        <w:fldChar w:fldCharType="begin"/>
      </w:r>
      <w:r>
        <w:instrText xml:space="preserve"> PAGEREF _Toc484164316 \h </w:instrText>
      </w:r>
      <w:r>
        <w:fldChar w:fldCharType="separate"/>
      </w:r>
      <w:r w:rsidR="00DD3F35">
        <w:t>1</w:t>
      </w:r>
      <w:r>
        <w:fldChar w:fldCharType="end"/>
      </w:r>
    </w:p>
    <w:p w14:paraId="59044C70" w14:textId="47AA38CB" w:rsidR="00943D38" w:rsidRDefault="00943D38" w:rsidP="00101106">
      <w:pPr>
        <w:pStyle w:val="TOC2"/>
        <w:tabs>
          <w:tab w:val="clear" w:pos="9015"/>
          <w:tab w:val="right" w:leader="dot" w:pos="9360"/>
        </w:tabs>
        <w:ind w:right="-40"/>
        <w:rPr>
          <w:rFonts w:eastAsiaTheme="minorEastAsia" w:cstheme="minorBidi"/>
          <w:b w:val="0"/>
          <w:smallCaps w:val="0"/>
          <w:color w:val="auto"/>
          <w:lang w:val="en-US" w:eastAsia="en-US"/>
        </w:rPr>
      </w:pPr>
      <w:r>
        <w:t>2.1.</w:t>
      </w:r>
      <w:r>
        <w:rPr>
          <w:rFonts w:eastAsiaTheme="minorEastAsia" w:cstheme="minorBidi"/>
          <w:b w:val="0"/>
          <w:smallCaps w:val="0"/>
          <w:color w:val="auto"/>
          <w:lang w:val="en-US" w:eastAsia="en-US"/>
        </w:rPr>
        <w:tab/>
      </w:r>
      <w:r>
        <w:t>Global drivers of foam production</w:t>
      </w:r>
      <w:r>
        <w:tab/>
      </w:r>
      <w:r>
        <w:fldChar w:fldCharType="begin"/>
      </w:r>
      <w:r>
        <w:instrText xml:space="preserve"> PAGEREF _Toc484164317 \h </w:instrText>
      </w:r>
      <w:r>
        <w:fldChar w:fldCharType="separate"/>
      </w:r>
      <w:r w:rsidR="00DD3F35">
        <w:t>1</w:t>
      </w:r>
      <w:r>
        <w:fldChar w:fldCharType="end"/>
      </w:r>
    </w:p>
    <w:p w14:paraId="14F5414D" w14:textId="6851A0F4" w:rsidR="00943D38" w:rsidRDefault="00943D38" w:rsidP="00101106">
      <w:pPr>
        <w:pStyle w:val="TOC2"/>
        <w:tabs>
          <w:tab w:val="clear" w:pos="9015"/>
          <w:tab w:val="right" w:leader="dot" w:pos="9360"/>
        </w:tabs>
        <w:ind w:right="-40"/>
        <w:rPr>
          <w:rFonts w:eastAsiaTheme="minorEastAsia" w:cstheme="minorBidi"/>
          <w:b w:val="0"/>
          <w:smallCaps w:val="0"/>
          <w:color w:val="auto"/>
          <w:lang w:val="en-US" w:eastAsia="en-US"/>
        </w:rPr>
      </w:pPr>
      <w:r>
        <w:t>2.2.</w:t>
      </w:r>
      <w:r>
        <w:rPr>
          <w:rFonts w:eastAsiaTheme="minorEastAsia" w:cstheme="minorBidi"/>
          <w:b w:val="0"/>
          <w:smallCaps w:val="0"/>
          <w:color w:val="auto"/>
          <w:lang w:val="en-US" w:eastAsia="en-US"/>
        </w:rPr>
        <w:tab/>
      </w:r>
      <w:r>
        <w:t>Regulations and codes</w:t>
      </w:r>
      <w:r>
        <w:tab/>
      </w:r>
      <w:r>
        <w:fldChar w:fldCharType="begin"/>
      </w:r>
      <w:r>
        <w:instrText xml:space="preserve"> PAGEREF _Toc484164318 \h </w:instrText>
      </w:r>
      <w:r>
        <w:fldChar w:fldCharType="separate"/>
      </w:r>
      <w:r w:rsidR="00DD3F35">
        <w:t>2</w:t>
      </w:r>
      <w:r>
        <w:fldChar w:fldCharType="end"/>
      </w:r>
    </w:p>
    <w:p w14:paraId="1FD6EDEF" w14:textId="1E98AF59" w:rsidR="00943D38" w:rsidRDefault="00943D38" w:rsidP="00101106">
      <w:pPr>
        <w:pStyle w:val="TOC2"/>
        <w:tabs>
          <w:tab w:val="clear" w:pos="9015"/>
          <w:tab w:val="right" w:leader="dot" w:pos="9360"/>
        </w:tabs>
        <w:ind w:right="-40"/>
        <w:rPr>
          <w:rFonts w:eastAsiaTheme="minorEastAsia" w:cstheme="minorBidi"/>
          <w:b w:val="0"/>
          <w:smallCaps w:val="0"/>
          <w:color w:val="auto"/>
          <w:lang w:val="en-US" w:eastAsia="en-US"/>
        </w:rPr>
      </w:pPr>
      <w:r>
        <w:t>2.3.</w:t>
      </w:r>
      <w:r>
        <w:rPr>
          <w:rFonts w:eastAsiaTheme="minorEastAsia" w:cstheme="minorBidi"/>
          <w:b w:val="0"/>
          <w:smallCaps w:val="0"/>
          <w:color w:val="auto"/>
          <w:lang w:val="en-US" w:eastAsia="en-US"/>
        </w:rPr>
        <w:tab/>
      </w:r>
      <w:r>
        <w:t>Status of blowing agents in current use</w:t>
      </w:r>
      <w:r>
        <w:tab/>
      </w:r>
      <w:r>
        <w:fldChar w:fldCharType="begin"/>
      </w:r>
      <w:r>
        <w:instrText xml:space="preserve"> PAGEREF _Toc484164319 \h </w:instrText>
      </w:r>
      <w:r>
        <w:fldChar w:fldCharType="separate"/>
      </w:r>
      <w:r w:rsidR="00DD3F35">
        <w:t>5</w:t>
      </w:r>
      <w:r>
        <w:fldChar w:fldCharType="end"/>
      </w:r>
    </w:p>
    <w:p w14:paraId="13729DD4" w14:textId="628BA2BA" w:rsidR="00943D38" w:rsidRDefault="00943D38" w:rsidP="00101106">
      <w:pPr>
        <w:pStyle w:val="TOC2"/>
        <w:tabs>
          <w:tab w:val="clear" w:pos="9015"/>
          <w:tab w:val="right" w:leader="dot" w:pos="9360"/>
        </w:tabs>
        <w:ind w:right="-40"/>
        <w:rPr>
          <w:rFonts w:eastAsiaTheme="minorEastAsia" w:cstheme="minorBidi"/>
          <w:b w:val="0"/>
          <w:smallCaps w:val="0"/>
          <w:color w:val="auto"/>
          <w:lang w:val="en-US" w:eastAsia="en-US"/>
        </w:rPr>
      </w:pPr>
      <w:r>
        <w:t>2.4.</w:t>
      </w:r>
      <w:r>
        <w:rPr>
          <w:rFonts w:eastAsiaTheme="minorEastAsia" w:cstheme="minorBidi"/>
          <w:b w:val="0"/>
          <w:smallCaps w:val="0"/>
          <w:color w:val="auto"/>
          <w:lang w:val="en-US" w:eastAsia="en-US"/>
        </w:rPr>
        <w:tab/>
      </w:r>
      <w:r>
        <w:t>Conclusion</w:t>
      </w:r>
      <w:r>
        <w:tab/>
      </w:r>
      <w:r>
        <w:fldChar w:fldCharType="begin"/>
      </w:r>
      <w:r>
        <w:instrText xml:space="preserve"> PAGEREF _Toc484164320 \h </w:instrText>
      </w:r>
      <w:r>
        <w:fldChar w:fldCharType="separate"/>
      </w:r>
      <w:r w:rsidR="00DD3F35">
        <w:t>7</w:t>
      </w:r>
      <w:r>
        <w:fldChar w:fldCharType="end"/>
      </w:r>
    </w:p>
    <w:p w14:paraId="2F1D83BE" w14:textId="21EE98A8" w:rsidR="00943D38" w:rsidRDefault="00943D38" w:rsidP="00101106">
      <w:pPr>
        <w:pStyle w:val="TOC1"/>
        <w:tabs>
          <w:tab w:val="left" w:pos="1260"/>
          <w:tab w:val="right" w:leader="dot" w:pos="9360"/>
        </w:tabs>
        <w:ind w:right="-40"/>
        <w:rPr>
          <w:rFonts w:eastAsiaTheme="minorEastAsia" w:cstheme="minorBidi"/>
          <w:b w:val="0"/>
          <w:caps w:val="0"/>
          <w:noProof/>
          <w:color w:val="auto"/>
          <w:lang w:val="en-US" w:eastAsia="en-US"/>
        </w:rPr>
      </w:pPr>
      <w:r w:rsidRPr="00814FC6">
        <w:rPr>
          <w:noProof/>
        </w:rPr>
        <w:t>3</w:t>
      </w:r>
      <w:r>
        <w:rPr>
          <w:rFonts w:eastAsiaTheme="minorEastAsia" w:cstheme="minorBidi"/>
          <w:b w:val="0"/>
          <w:caps w:val="0"/>
          <w:noProof/>
          <w:color w:val="auto"/>
          <w:lang w:val="en-US" w:eastAsia="en-US"/>
        </w:rPr>
        <w:tab/>
      </w:r>
      <w:r w:rsidRPr="00814FC6">
        <w:rPr>
          <w:noProof/>
        </w:rPr>
        <w:t>Halons TOC (HTOC) Progress Report</w:t>
      </w:r>
      <w:r>
        <w:rPr>
          <w:noProof/>
        </w:rPr>
        <w:tab/>
      </w:r>
      <w:r>
        <w:rPr>
          <w:noProof/>
        </w:rPr>
        <w:fldChar w:fldCharType="begin"/>
      </w:r>
      <w:r>
        <w:rPr>
          <w:noProof/>
        </w:rPr>
        <w:instrText xml:space="preserve"> PAGEREF _Toc484164321 \h </w:instrText>
      </w:r>
      <w:r>
        <w:rPr>
          <w:noProof/>
        </w:rPr>
      </w:r>
      <w:r>
        <w:rPr>
          <w:noProof/>
        </w:rPr>
        <w:fldChar w:fldCharType="separate"/>
      </w:r>
      <w:r w:rsidR="00DD3F35">
        <w:rPr>
          <w:noProof/>
        </w:rPr>
        <w:t>1</w:t>
      </w:r>
      <w:r>
        <w:rPr>
          <w:noProof/>
        </w:rPr>
        <w:fldChar w:fldCharType="end"/>
      </w:r>
    </w:p>
    <w:p w14:paraId="1A53CC91" w14:textId="59632BC3" w:rsidR="00943D38" w:rsidRDefault="00943D38" w:rsidP="00101106">
      <w:pPr>
        <w:pStyle w:val="TOC2"/>
        <w:tabs>
          <w:tab w:val="clear" w:pos="9015"/>
          <w:tab w:val="right" w:leader="dot" w:pos="9360"/>
        </w:tabs>
        <w:ind w:right="-40"/>
        <w:rPr>
          <w:rFonts w:eastAsiaTheme="minorEastAsia" w:cstheme="minorBidi"/>
          <w:b w:val="0"/>
          <w:smallCaps w:val="0"/>
          <w:color w:val="auto"/>
          <w:lang w:val="en-US" w:eastAsia="en-US"/>
        </w:rPr>
      </w:pPr>
      <w:r>
        <w:t>Executive Summary</w:t>
      </w:r>
      <w:r>
        <w:tab/>
      </w:r>
      <w:r>
        <w:fldChar w:fldCharType="begin"/>
      </w:r>
      <w:r>
        <w:instrText xml:space="preserve"> PAGEREF _Toc484164322 \h </w:instrText>
      </w:r>
      <w:r>
        <w:fldChar w:fldCharType="separate"/>
      </w:r>
      <w:r w:rsidR="00DD3F35">
        <w:t>1</w:t>
      </w:r>
      <w:r>
        <w:fldChar w:fldCharType="end"/>
      </w:r>
    </w:p>
    <w:p w14:paraId="1BDBA787" w14:textId="4C92C3A9" w:rsidR="00943D38" w:rsidRDefault="00943D38" w:rsidP="00101106">
      <w:pPr>
        <w:pStyle w:val="TOC2"/>
        <w:tabs>
          <w:tab w:val="clear" w:pos="9015"/>
          <w:tab w:val="right" w:leader="dot" w:pos="9360"/>
        </w:tabs>
        <w:ind w:right="-40"/>
        <w:rPr>
          <w:rFonts w:eastAsiaTheme="minorEastAsia" w:cstheme="minorBidi"/>
          <w:b w:val="0"/>
          <w:smallCaps w:val="0"/>
          <w:color w:val="auto"/>
          <w:lang w:val="en-US" w:eastAsia="en-US"/>
        </w:rPr>
      </w:pPr>
      <w:r>
        <w:t>3.1.</w:t>
      </w:r>
      <w:r>
        <w:rPr>
          <w:rFonts w:eastAsiaTheme="minorEastAsia" w:cstheme="minorBidi"/>
          <w:b w:val="0"/>
          <w:smallCaps w:val="0"/>
          <w:color w:val="auto"/>
          <w:lang w:val="en-US" w:eastAsia="en-US"/>
        </w:rPr>
        <w:tab/>
      </w:r>
      <w:r>
        <w:t>New agents in development</w:t>
      </w:r>
      <w:r>
        <w:tab/>
      </w:r>
      <w:r>
        <w:fldChar w:fldCharType="begin"/>
      </w:r>
      <w:r>
        <w:instrText xml:space="preserve"> PAGEREF _Toc484164323 \h </w:instrText>
      </w:r>
      <w:r>
        <w:fldChar w:fldCharType="separate"/>
      </w:r>
      <w:r w:rsidR="00DD3F35">
        <w:t>1</w:t>
      </w:r>
      <w:r>
        <w:fldChar w:fldCharType="end"/>
      </w:r>
    </w:p>
    <w:p w14:paraId="54B69925" w14:textId="356912D8" w:rsidR="00943D38" w:rsidRDefault="00943D38" w:rsidP="00101106">
      <w:pPr>
        <w:pStyle w:val="TOC2"/>
        <w:tabs>
          <w:tab w:val="clear" w:pos="9015"/>
          <w:tab w:val="right" w:leader="dot" w:pos="9360"/>
        </w:tabs>
        <w:ind w:right="-40"/>
        <w:rPr>
          <w:rFonts w:eastAsiaTheme="minorEastAsia" w:cstheme="minorBidi"/>
          <w:b w:val="0"/>
          <w:smallCaps w:val="0"/>
          <w:color w:val="auto"/>
          <w:lang w:val="en-US" w:eastAsia="en-US"/>
        </w:rPr>
      </w:pPr>
      <w:r>
        <w:t>3.2.</w:t>
      </w:r>
      <w:r>
        <w:rPr>
          <w:rFonts w:eastAsiaTheme="minorEastAsia" w:cstheme="minorBidi"/>
          <w:b w:val="0"/>
          <w:smallCaps w:val="0"/>
          <w:color w:val="auto"/>
          <w:lang w:val="en-US" w:eastAsia="en-US"/>
        </w:rPr>
        <w:tab/>
      </w:r>
      <w:r>
        <w:t>Military</w:t>
      </w:r>
      <w:r>
        <w:tab/>
      </w:r>
      <w:r>
        <w:fldChar w:fldCharType="begin"/>
      </w:r>
      <w:r>
        <w:instrText xml:space="preserve"> PAGEREF _Toc484164324 \h </w:instrText>
      </w:r>
      <w:r>
        <w:fldChar w:fldCharType="separate"/>
      </w:r>
      <w:r w:rsidR="00DD3F35">
        <w:t>1</w:t>
      </w:r>
      <w:r>
        <w:fldChar w:fldCharType="end"/>
      </w:r>
    </w:p>
    <w:p w14:paraId="7C1DF5A2" w14:textId="1B04CA41" w:rsidR="00943D38" w:rsidRDefault="00943D38" w:rsidP="00101106">
      <w:pPr>
        <w:pStyle w:val="TOC2"/>
        <w:tabs>
          <w:tab w:val="clear" w:pos="9015"/>
          <w:tab w:val="right" w:leader="dot" w:pos="9360"/>
        </w:tabs>
        <w:ind w:right="-40"/>
        <w:rPr>
          <w:rFonts w:eastAsiaTheme="minorEastAsia" w:cstheme="minorBidi"/>
          <w:b w:val="0"/>
          <w:smallCaps w:val="0"/>
          <w:color w:val="auto"/>
          <w:lang w:val="en-US" w:eastAsia="en-US"/>
        </w:rPr>
      </w:pPr>
      <w:r>
        <w:t>3.3.</w:t>
      </w:r>
      <w:r>
        <w:rPr>
          <w:rFonts w:eastAsiaTheme="minorEastAsia" w:cstheme="minorBidi"/>
          <w:b w:val="0"/>
          <w:smallCaps w:val="0"/>
          <w:color w:val="auto"/>
          <w:lang w:val="en-US" w:eastAsia="en-US"/>
        </w:rPr>
        <w:tab/>
      </w:r>
      <w:r>
        <w:t>Civil aviation update</w:t>
      </w:r>
      <w:r>
        <w:tab/>
      </w:r>
      <w:r>
        <w:fldChar w:fldCharType="begin"/>
      </w:r>
      <w:r>
        <w:instrText xml:space="preserve"> PAGEREF _Toc484164325 \h </w:instrText>
      </w:r>
      <w:r>
        <w:fldChar w:fldCharType="separate"/>
      </w:r>
      <w:r w:rsidR="00DD3F35">
        <w:t>2</w:t>
      </w:r>
      <w:r>
        <w:fldChar w:fldCharType="end"/>
      </w:r>
    </w:p>
    <w:p w14:paraId="246535D9" w14:textId="21CFD4AA" w:rsidR="00943D38" w:rsidRDefault="00943D38" w:rsidP="00101106">
      <w:pPr>
        <w:pStyle w:val="TOC3"/>
        <w:ind w:right="-40"/>
        <w:rPr>
          <w:rFonts w:eastAsiaTheme="minorEastAsia" w:cstheme="minorBidi"/>
          <w:i w:val="0"/>
          <w:noProof/>
          <w:color w:val="auto"/>
          <w:lang w:val="en-US" w:eastAsia="en-US"/>
        </w:rPr>
      </w:pPr>
      <w:r>
        <w:rPr>
          <w:noProof/>
        </w:rPr>
        <w:t>3.3.1.</w:t>
      </w:r>
      <w:r>
        <w:rPr>
          <w:rFonts w:eastAsiaTheme="minorEastAsia" w:cstheme="minorBidi"/>
          <w:i w:val="0"/>
          <w:noProof/>
          <w:color w:val="auto"/>
          <w:lang w:val="en-US" w:eastAsia="en-US"/>
        </w:rPr>
        <w:tab/>
      </w:r>
      <w:r>
        <w:rPr>
          <w:noProof/>
        </w:rPr>
        <w:t>International Civil Aviation Organization (ICAO)</w:t>
      </w:r>
      <w:r>
        <w:rPr>
          <w:noProof/>
        </w:rPr>
        <w:tab/>
      </w:r>
      <w:r>
        <w:rPr>
          <w:noProof/>
        </w:rPr>
        <w:fldChar w:fldCharType="begin"/>
      </w:r>
      <w:r>
        <w:rPr>
          <w:noProof/>
        </w:rPr>
        <w:instrText xml:space="preserve"> PAGEREF _Toc484164326 \h </w:instrText>
      </w:r>
      <w:r>
        <w:rPr>
          <w:noProof/>
        </w:rPr>
      </w:r>
      <w:r>
        <w:rPr>
          <w:noProof/>
        </w:rPr>
        <w:fldChar w:fldCharType="separate"/>
      </w:r>
      <w:r w:rsidR="00DD3F35">
        <w:rPr>
          <w:noProof/>
        </w:rPr>
        <w:t>2</w:t>
      </w:r>
      <w:r>
        <w:rPr>
          <w:noProof/>
        </w:rPr>
        <w:fldChar w:fldCharType="end"/>
      </w:r>
    </w:p>
    <w:p w14:paraId="59CF922F" w14:textId="3D1E4850" w:rsidR="00943D38" w:rsidRDefault="00943D38" w:rsidP="00101106">
      <w:pPr>
        <w:pStyle w:val="TOC3"/>
        <w:ind w:right="-40"/>
        <w:rPr>
          <w:rFonts w:eastAsiaTheme="minorEastAsia" w:cstheme="minorBidi"/>
          <w:i w:val="0"/>
          <w:noProof/>
          <w:color w:val="auto"/>
          <w:lang w:val="en-US" w:eastAsia="en-US"/>
        </w:rPr>
      </w:pPr>
      <w:r>
        <w:rPr>
          <w:noProof/>
        </w:rPr>
        <w:t>3.3.2.</w:t>
      </w:r>
      <w:r>
        <w:rPr>
          <w:rFonts w:eastAsiaTheme="minorEastAsia" w:cstheme="minorBidi"/>
          <w:i w:val="0"/>
          <w:noProof/>
          <w:color w:val="auto"/>
          <w:lang w:val="en-US" w:eastAsia="en-US"/>
        </w:rPr>
        <w:tab/>
      </w:r>
      <w:r>
        <w:rPr>
          <w:noProof/>
        </w:rPr>
        <w:t>Aircraft engine nacelle protection</w:t>
      </w:r>
      <w:r>
        <w:rPr>
          <w:noProof/>
        </w:rPr>
        <w:tab/>
      </w:r>
      <w:r>
        <w:rPr>
          <w:noProof/>
        </w:rPr>
        <w:fldChar w:fldCharType="begin"/>
      </w:r>
      <w:r>
        <w:rPr>
          <w:noProof/>
        </w:rPr>
        <w:instrText xml:space="preserve"> PAGEREF _Toc484164327 \h </w:instrText>
      </w:r>
      <w:r>
        <w:rPr>
          <w:noProof/>
        </w:rPr>
      </w:r>
      <w:r>
        <w:rPr>
          <w:noProof/>
        </w:rPr>
        <w:fldChar w:fldCharType="separate"/>
      </w:r>
      <w:r w:rsidR="00DD3F35">
        <w:rPr>
          <w:noProof/>
        </w:rPr>
        <w:t>2</w:t>
      </w:r>
      <w:r>
        <w:rPr>
          <w:noProof/>
        </w:rPr>
        <w:fldChar w:fldCharType="end"/>
      </w:r>
    </w:p>
    <w:p w14:paraId="0B27F270" w14:textId="4DC8F4A3" w:rsidR="00943D38" w:rsidRDefault="00943D38" w:rsidP="00101106">
      <w:pPr>
        <w:pStyle w:val="TOC3"/>
        <w:ind w:right="-40"/>
        <w:rPr>
          <w:rFonts w:eastAsiaTheme="minorEastAsia" w:cstheme="minorBidi"/>
          <w:i w:val="0"/>
          <w:noProof/>
          <w:color w:val="auto"/>
          <w:lang w:val="en-US" w:eastAsia="en-US"/>
        </w:rPr>
      </w:pPr>
      <w:r>
        <w:rPr>
          <w:noProof/>
        </w:rPr>
        <w:t>3.3.3.</w:t>
      </w:r>
      <w:r>
        <w:rPr>
          <w:rFonts w:eastAsiaTheme="minorEastAsia" w:cstheme="minorBidi"/>
          <w:i w:val="0"/>
          <w:noProof/>
          <w:color w:val="auto"/>
          <w:lang w:val="en-US" w:eastAsia="en-US"/>
        </w:rPr>
        <w:tab/>
      </w:r>
      <w:r>
        <w:rPr>
          <w:noProof/>
        </w:rPr>
        <w:t>Portable extinguishers</w:t>
      </w:r>
      <w:r>
        <w:rPr>
          <w:noProof/>
        </w:rPr>
        <w:tab/>
      </w:r>
      <w:r>
        <w:rPr>
          <w:noProof/>
        </w:rPr>
        <w:fldChar w:fldCharType="begin"/>
      </w:r>
      <w:r>
        <w:rPr>
          <w:noProof/>
        </w:rPr>
        <w:instrText xml:space="preserve"> PAGEREF _Toc484164328 \h </w:instrText>
      </w:r>
      <w:r>
        <w:rPr>
          <w:noProof/>
        </w:rPr>
      </w:r>
      <w:r>
        <w:rPr>
          <w:noProof/>
        </w:rPr>
        <w:fldChar w:fldCharType="separate"/>
      </w:r>
      <w:r w:rsidR="00DD3F35">
        <w:rPr>
          <w:noProof/>
        </w:rPr>
        <w:t>2</w:t>
      </w:r>
      <w:r>
        <w:rPr>
          <w:noProof/>
        </w:rPr>
        <w:fldChar w:fldCharType="end"/>
      </w:r>
    </w:p>
    <w:p w14:paraId="168C729B" w14:textId="315DE74F" w:rsidR="00943D38" w:rsidRDefault="00943D38" w:rsidP="00101106">
      <w:pPr>
        <w:pStyle w:val="TOC3"/>
        <w:ind w:right="-40"/>
        <w:rPr>
          <w:rFonts w:eastAsiaTheme="minorEastAsia" w:cstheme="minorBidi"/>
          <w:i w:val="0"/>
          <w:noProof/>
          <w:color w:val="auto"/>
          <w:lang w:val="en-US" w:eastAsia="en-US"/>
        </w:rPr>
      </w:pPr>
      <w:r>
        <w:rPr>
          <w:noProof/>
        </w:rPr>
        <w:t>3.3.4.</w:t>
      </w:r>
      <w:r>
        <w:rPr>
          <w:rFonts w:eastAsiaTheme="minorEastAsia" w:cstheme="minorBidi"/>
          <w:i w:val="0"/>
          <w:noProof/>
          <w:color w:val="auto"/>
          <w:lang w:val="en-US" w:eastAsia="en-US"/>
        </w:rPr>
        <w:tab/>
      </w:r>
      <w:r>
        <w:rPr>
          <w:noProof/>
        </w:rPr>
        <w:t>Cargo compartments</w:t>
      </w:r>
      <w:r>
        <w:rPr>
          <w:noProof/>
        </w:rPr>
        <w:tab/>
      </w:r>
      <w:r>
        <w:rPr>
          <w:noProof/>
        </w:rPr>
        <w:fldChar w:fldCharType="begin"/>
      </w:r>
      <w:r>
        <w:rPr>
          <w:noProof/>
        </w:rPr>
        <w:instrText xml:space="preserve"> PAGEREF _Toc484164329 \h </w:instrText>
      </w:r>
      <w:r>
        <w:rPr>
          <w:noProof/>
        </w:rPr>
      </w:r>
      <w:r>
        <w:rPr>
          <w:noProof/>
        </w:rPr>
        <w:fldChar w:fldCharType="separate"/>
      </w:r>
      <w:r w:rsidR="00DD3F35">
        <w:rPr>
          <w:noProof/>
        </w:rPr>
        <w:t>2</w:t>
      </w:r>
      <w:r>
        <w:rPr>
          <w:noProof/>
        </w:rPr>
        <w:fldChar w:fldCharType="end"/>
      </w:r>
    </w:p>
    <w:p w14:paraId="25155577" w14:textId="7A7F9039" w:rsidR="00943D38" w:rsidRDefault="00943D38" w:rsidP="00101106">
      <w:pPr>
        <w:pStyle w:val="TOC2"/>
        <w:tabs>
          <w:tab w:val="clear" w:pos="9015"/>
          <w:tab w:val="right" w:leader="dot" w:pos="9360"/>
        </w:tabs>
        <w:ind w:right="-40"/>
        <w:rPr>
          <w:rFonts w:eastAsiaTheme="minorEastAsia" w:cstheme="minorBidi"/>
          <w:b w:val="0"/>
          <w:smallCaps w:val="0"/>
          <w:color w:val="auto"/>
          <w:lang w:val="en-US" w:eastAsia="en-US"/>
        </w:rPr>
      </w:pPr>
      <w:r>
        <w:t>3.4.</w:t>
      </w:r>
      <w:r>
        <w:rPr>
          <w:rFonts w:eastAsiaTheme="minorEastAsia" w:cstheme="minorBidi"/>
          <w:b w:val="0"/>
          <w:smallCaps w:val="0"/>
          <w:color w:val="auto"/>
          <w:lang w:val="en-US" w:eastAsia="en-US"/>
        </w:rPr>
        <w:tab/>
      </w:r>
      <w:r>
        <w:t>Global supplies and banking</w:t>
      </w:r>
      <w:r>
        <w:tab/>
      </w:r>
      <w:r>
        <w:fldChar w:fldCharType="begin"/>
      </w:r>
      <w:r>
        <w:instrText xml:space="preserve"> PAGEREF _Toc484164330 \h </w:instrText>
      </w:r>
      <w:r>
        <w:fldChar w:fldCharType="separate"/>
      </w:r>
      <w:r w:rsidR="00DD3F35">
        <w:t>3</w:t>
      </w:r>
      <w:r>
        <w:fldChar w:fldCharType="end"/>
      </w:r>
    </w:p>
    <w:p w14:paraId="3E7C6FB3" w14:textId="0ACCC256" w:rsidR="00943D38" w:rsidRDefault="00943D38" w:rsidP="00101106">
      <w:pPr>
        <w:pStyle w:val="TOC2"/>
        <w:tabs>
          <w:tab w:val="clear" w:pos="9015"/>
          <w:tab w:val="right" w:leader="dot" w:pos="9360"/>
        </w:tabs>
        <w:ind w:right="-40"/>
        <w:rPr>
          <w:rFonts w:eastAsiaTheme="minorEastAsia" w:cstheme="minorBidi"/>
          <w:b w:val="0"/>
          <w:smallCaps w:val="0"/>
          <w:color w:val="auto"/>
          <w:lang w:val="en-US" w:eastAsia="en-US"/>
        </w:rPr>
      </w:pPr>
      <w:r>
        <w:t>3.5.</w:t>
      </w:r>
      <w:r>
        <w:rPr>
          <w:rFonts w:eastAsiaTheme="minorEastAsia" w:cstheme="minorBidi"/>
          <w:b w:val="0"/>
          <w:smallCaps w:val="0"/>
          <w:color w:val="auto"/>
          <w:lang w:val="en-US" w:eastAsia="en-US"/>
        </w:rPr>
        <w:tab/>
      </w:r>
      <w:r>
        <w:t>Regional updates</w:t>
      </w:r>
      <w:r>
        <w:tab/>
      </w:r>
      <w:r>
        <w:fldChar w:fldCharType="begin"/>
      </w:r>
      <w:r>
        <w:instrText xml:space="preserve"> PAGEREF _Toc484164331 \h </w:instrText>
      </w:r>
      <w:r>
        <w:fldChar w:fldCharType="separate"/>
      </w:r>
      <w:r w:rsidR="00DD3F35">
        <w:t>3</w:t>
      </w:r>
      <w:r>
        <w:fldChar w:fldCharType="end"/>
      </w:r>
    </w:p>
    <w:p w14:paraId="46D60C14" w14:textId="6C4818CF" w:rsidR="00943D38" w:rsidRDefault="00943D38" w:rsidP="00101106">
      <w:pPr>
        <w:pStyle w:val="TOC3"/>
        <w:ind w:right="-40"/>
        <w:rPr>
          <w:rFonts w:eastAsiaTheme="minorEastAsia" w:cstheme="minorBidi"/>
          <w:i w:val="0"/>
          <w:noProof/>
          <w:color w:val="auto"/>
          <w:lang w:val="en-US" w:eastAsia="en-US"/>
        </w:rPr>
      </w:pPr>
      <w:r>
        <w:rPr>
          <w:noProof/>
        </w:rPr>
        <w:t>3.5.1.</w:t>
      </w:r>
      <w:r>
        <w:rPr>
          <w:rFonts w:eastAsiaTheme="minorEastAsia" w:cstheme="minorBidi"/>
          <w:i w:val="0"/>
          <w:noProof/>
          <w:color w:val="auto"/>
          <w:lang w:val="en-US" w:eastAsia="en-US"/>
        </w:rPr>
        <w:tab/>
      </w:r>
      <w:r>
        <w:rPr>
          <w:noProof/>
        </w:rPr>
        <w:t>Russian Federation update</w:t>
      </w:r>
      <w:r>
        <w:rPr>
          <w:noProof/>
        </w:rPr>
        <w:tab/>
      </w:r>
      <w:r>
        <w:rPr>
          <w:noProof/>
        </w:rPr>
        <w:fldChar w:fldCharType="begin"/>
      </w:r>
      <w:r>
        <w:rPr>
          <w:noProof/>
        </w:rPr>
        <w:instrText xml:space="preserve"> PAGEREF _Toc484164332 \h </w:instrText>
      </w:r>
      <w:r>
        <w:rPr>
          <w:noProof/>
        </w:rPr>
      </w:r>
      <w:r>
        <w:rPr>
          <w:noProof/>
        </w:rPr>
        <w:fldChar w:fldCharType="separate"/>
      </w:r>
      <w:r w:rsidR="00DD3F35">
        <w:rPr>
          <w:noProof/>
        </w:rPr>
        <w:t>3</w:t>
      </w:r>
      <w:r>
        <w:rPr>
          <w:noProof/>
        </w:rPr>
        <w:fldChar w:fldCharType="end"/>
      </w:r>
    </w:p>
    <w:p w14:paraId="1C9A443E" w14:textId="24ECA68D" w:rsidR="00943D38" w:rsidRDefault="00943D38" w:rsidP="00101106">
      <w:pPr>
        <w:pStyle w:val="TOC3"/>
        <w:ind w:right="-40"/>
        <w:rPr>
          <w:rFonts w:eastAsiaTheme="minorEastAsia" w:cstheme="minorBidi"/>
          <w:i w:val="0"/>
          <w:noProof/>
          <w:color w:val="auto"/>
          <w:lang w:val="en-US" w:eastAsia="en-US"/>
        </w:rPr>
      </w:pPr>
      <w:r>
        <w:rPr>
          <w:noProof/>
        </w:rPr>
        <w:t>3.5.2.</w:t>
      </w:r>
      <w:r>
        <w:rPr>
          <w:rFonts w:eastAsiaTheme="minorEastAsia" w:cstheme="minorBidi"/>
          <w:i w:val="0"/>
          <w:noProof/>
          <w:color w:val="auto"/>
          <w:lang w:val="en-US" w:eastAsia="en-US"/>
        </w:rPr>
        <w:tab/>
      </w:r>
      <w:r>
        <w:rPr>
          <w:noProof/>
        </w:rPr>
        <w:t>China update</w:t>
      </w:r>
      <w:r>
        <w:rPr>
          <w:noProof/>
        </w:rPr>
        <w:tab/>
      </w:r>
      <w:r>
        <w:rPr>
          <w:noProof/>
        </w:rPr>
        <w:fldChar w:fldCharType="begin"/>
      </w:r>
      <w:r>
        <w:rPr>
          <w:noProof/>
        </w:rPr>
        <w:instrText xml:space="preserve"> PAGEREF _Toc484164333 \h </w:instrText>
      </w:r>
      <w:r>
        <w:rPr>
          <w:noProof/>
        </w:rPr>
      </w:r>
      <w:r>
        <w:rPr>
          <w:noProof/>
        </w:rPr>
        <w:fldChar w:fldCharType="separate"/>
      </w:r>
      <w:r w:rsidR="00DD3F35">
        <w:rPr>
          <w:noProof/>
        </w:rPr>
        <w:t>4</w:t>
      </w:r>
      <w:r>
        <w:rPr>
          <w:noProof/>
        </w:rPr>
        <w:fldChar w:fldCharType="end"/>
      </w:r>
    </w:p>
    <w:p w14:paraId="6538C45B" w14:textId="25BE3189" w:rsidR="00943D38" w:rsidRDefault="00943D38" w:rsidP="00101106">
      <w:pPr>
        <w:pStyle w:val="TOC3"/>
        <w:ind w:right="-40"/>
        <w:rPr>
          <w:rFonts w:eastAsiaTheme="minorEastAsia" w:cstheme="minorBidi"/>
          <w:i w:val="0"/>
          <w:noProof/>
          <w:color w:val="auto"/>
          <w:lang w:val="en-US" w:eastAsia="en-US"/>
        </w:rPr>
      </w:pPr>
      <w:r>
        <w:rPr>
          <w:noProof/>
        </w:rPr>
        <w:t>3.5.3.</w:t>
      </w:r>
      <w:r>
        <w:rPr>
          <w:rFonts w:eastAsiaTheme="minorEastAsia" w:cstheme="minorBidi"/>
          <w:i w:val="0"/>
          <w:noProof/>
          <w:color w:val="auto"/>
          <w:lang w:val="en-US" w:eastAsia="en-US"/>
        </w:rPr>
        <w:tab/>
      </w:r>
      <w:r>
        <w:rPr>
          <w:noProof/>
        </w:rPr>
        <w:t>India update</w:t>
      </w:r>
      <w:r>
        <w:rPr>
          <w:noProof/>
        </w:rPr>
        <w:tab/>
      </w:r>
      <w:r>
        <w:rPr>
          <w:noProof/>
        </w:rPr>
        <w:fldChar w:fldCharType="begin"/>
      </w:r>
      <w:r>
        <w:rPr>
          <w:noProof/>
        </w:rPr>
        <w:instrText xml:space="preserve"> PAGEREF _Toc484164334 \h </w:instrText>
      </w:r>
      <w:r>
        <w:rPr>
          <w:noProof/>
        </w:rPr>
      </w:r>
      <w:r>
        <w:rPr>
          <w:noProof/>
        </w:rPr>
        <w:fldChar w:fldCharType="separate"/>
      </w:r>
      <w:r w:rsidR="00DD3F35">
        <w:rPr>
          <w:noProof/>
        </w:rPr>
        <w:t>4</w:t>
      </w:r>
      <w:r>
        <w:rPr>
          <w:noProof/>
        </w:rPr>
        <w:fldChar w:fldCharType="end"/>
      </w:r>
    </w:p>
    <w:p w14:paraId="4DD1BBFD" w14:textId="0C7F2519" w:rsidR="00943D38" w:rsidRDefault="00943D38" w:rsidP="00101106">
      <w:pPr>
        <w:pStyle w:val="TOC1"/>
        <w:tabs>
          <w:tab w:val="left" w:pos="1260"/>
          <w:tab w:val="right" w:leader="dot" w:pos="9360"/>
        </w:tabs>
        <w:ind w:right="-40"/>
        <w:rPr>
          <w:rFonts w:eastAsiaTheme="minorEastAsia" w:cstheme="minorBidi"/>
          <w:b w:val="0"/>
          <w:caps w:val="0"/>
          <w:noProof/>
          <w:color w:val="auto"/>
          <w:lang w:val="en-US" w:eastAsia="en-US"/>
        </w:rPr>
      </w:pPr>
      <w:r w:rsidRPr="00814FC6">
        <w:rPr>
          <w:noProof/>
        </w:rPr>
        <w:t>4</w:t>
      </w:r>
      <w:r>
        <w:rPr>
          <w:rFonts w:eastAsiaTheme="minorEastAsia" w:cstheme="minorBidi"/>
          <w:b w:val="0"/>
          <w:caps w:val="0"/>
          <w:noProof/>
          <w:color w:val="auto"/>
          <w:lang w:val="en-US" w:eastAsia="en-US"/>
        </w:rPr>
        <w:tab/>
      </w:r>
      <w:r w:rsidRPr="00814FC6">
        <w:rPr>
          <w:noProof/>
        </w:rPr>
        <w:t>Methyl Bromide TOC (MBTOC) Progress Report</w:t>
      </w:r>
      <w:r>
        <w:rPr>
          <w:noProof/>
        </w:rPr>
        <w:tab/>
      </w:r>
      <w:r>
        <w:rPr>
          <w:noProof/>
        </w:rPr>
        <w:fldChar w:fldCharType="begin"/>
      </w:r>
      <w:r>
        <w:rPr>
          <w:noProof/>
        </w:rPr>
        <w:instrText xml:space="preserve"> PAGEREF _Toc484164335 \h </w:instrText>
      </w:r>
      <w:r>
        <w:rPr>
          <w:noProof/>
        </w:rPr>
      </w:r>
      <w:r>
        <w:rPr>
          <w:noProof/>
        </w:rPr>
        <w:fldChar w:fldCharType="separate"/>
      </w:r>
      <w:r w:rsidR="00DD3F35">
        <w:rPr>
          <w:noProof/>
        </w:rPr>
        <w:t>7</w:t>
      </w:r>
      <w:r>
        <w:rPr>
          <w:noProof/>
        </w:rPr>
        <w:fldChar w:fldCharType="end"/>
      </w:r>
    </w:p>
    <w:p w14:paraId="0225A617" w14:textId="04BED8C6" w:rsidR="00943D38" w:rsidRDefault="00943D38" w:rsidP="00101106">
      <w:pPr>
        <w:pStyle w:val="TOC2"/>
        <w:tabs>
          <w:tab w:val="clear" w:pos="9015"/>
          <w:tab w:val="right" w:leader="dot" w:pos="9360"/>
        </w:tabs>
        <w:ind w:right="-40"/>
        <w:rPr>
          <w:rFonts w:eastAsiaTheme="minorEastAsia" w:cstheme="minorBidi"/>
          <w:b w:val="0"/>
          <w:smallCaps w:val="0"/>
          <w:color w:val="auto"/>
          <w:lang w:val="en-US" w:eastAsia="en-US"/>
        </w:rPr>
      </w:pPr>
      <w:r>
        <w:t>Executive Summary</w:t>
      </w:r>
      <w:r>
        <w:tab/>
      </w:r>
      <w:r>
        <w:fldChar w:fldCharType="begin"/>
      </w:r>
      <w:r>
        <w:instrText xml:space="preserve"> PAGEREF _Toc484164336 \h </w:instrText>
      </w:r>
      <w:r>
        <w:fldChar w:fldCharType="separate"/>
      </w:r>
      <w:r w:rsidR="00DD3F35">
        <w:t>7</w:t>
      </w:r>
      <w:r>
        <w:fldChar w:fldCharType="end"/>
      </w:r>
    </w:p>
    <w:p w14:paraId="79617746" w14:textId="288EC93F" w:rsidR="00943D38" w:rsidRDefault="00943D38" w:rsidP="00101106">
      <w:pPr>
        <w:pStyle w:val="TOC2"/>
        <w:tabs>
          <w:tab w:val="clear" w:pos="9015"/>
          <w:tab w:val="right" w:leader="dot" w:pos="9360"/>
        </w:tabs>
        <w:ind w:right="-40"/>
        <w:rPr>
          <w:rFonts w:eastAsiaTheme="minorEastAsia" w:cstheme="minorBidi"/>
          <w:b w:val="0"/>
          <w:smallCaps w:val="0"/>
          <w:color w:val="auto"/>
          <w:lang w:val="en-US" w:eastAsia="en-US"/>
        </w:rPr>
      </w:pPr>
      <w:r>
        <w:t xml:space="preserve">4.1. </w:t>
      </w:r>
      <w:r>
        <w:rPr>
          <w:rFonts w:eastAsiaTheme="minorEastAsia" w:cstheme="minorBidi"/>
          <w:b w:val="0"/>
          <w:smallCaps w:val="0"/>
          <w:color w:val="auto"/>
          <w:lang w:val="en-US" w:eastAsia="en-US"/>
        </w:rPr>
        <w:tab/>
      </w:r>
      <w:r>
        <w:t>Global MB production and consumption</w:t>
      </w:r>
      <w:r>
        <w:tab/>
      </w:r>
      <w:r>
        <w:fldChar w:fldCharType="begin"/>
      </w:r>
      <w:r>
        <w:instrText xml:space="preserve"> PAGEREF _Toc484164337 \h </w:instrText>
      </w:r>
      <w:r>
        <w:fldChar w:fldCharType="separate"/>
      </w:r>
      <w:r w:rsidR="00DD3F35">
        <w:t>7</w:t>
      </w:r>
      <w:r>
        <w:fldChar w:fldCharType="end"/>
      </w:r>
    </w:p>
    <w:p w14:paraId="2B29BE1B" w14:textId="08CB3AE6" w:rsidR="00943D38" w:rsidRDefault="00943D38" w:rsidP="00101106">
      <w:pPr>
        <w:pStyle w:val="TOC2"/>
        <w:tabs>
          <w:tab w:val="clear" w:pos="9015"/>
          <w:tab w:val="right" w:leader="dot" w:pos="9360"/>
        </w:tabs>
        <w:ind w:right="-40"/>
        <w:rPr>
          <w:rFonts w:eastAsiaTheme="minorEastAsia" w:cstheme="minorBidi"/>
          <w:b w:val="0"/>
          <w:smallCaps w:val="0"/>
          <w:color w:val="auto"/>
          <w:lang w:val="en-US" w:eastAsia="en-US"/>
        </w:rPr>
      </w:pPr>
      <w:r>
        <w:t>4.2.</w:t>
      </w:r>
      <w:r>
        <w:rPr>
          <w:rFonts w:eastAsiaTheme="minorEastAsia" w:cstheme="minorBidi"/>
          <w:b w:val="0"/>
          <w:smallCaps w:val="0"/>
          <w:color w:val="auto"/>
          <w:lang w:val="en-US" w:eastAsia="en-US"/>
        </w:rPr>
        <w:tab/>
      </w:r>
      <w:r>
        <w:t>Update on alternatives for remaining critical uses</w:t>
      </w:r>
      <w:r>
        <w:tab/>
      </w:r>
      <w:r>
        <w:fldChar w:fldCharType="begin"/>
      </w:r>
      <w:r>
        <w:instrText xml:space="preserve"> PAGEREF _Toc484164338 \h </w:instrText>
      </w:r>
      <w:r>
        <w:fldChar w:fldCharType="separate"/>
      </w:r>
      <w:r w:rsidR="00DD3F35">
        <w:t>9</w:t>
      </w:r>
      <w:r>
        <w:fldChar w:fldCharType="end"/>
      </w:r>
    </w:p>
    <w:p w14:paraId="7B6EDE02" w14:textId="779F4831" w:rsidR="00943D38" w:rsidRDefault="00943D38" w:rsidP="00101106">
      <w:pPr>
        <w:pStyle w:val="TOC3"/>
        <w:ind w:right="-40"/>
        <w:rPr>
          <w:rFonts w:eastAsiaTheme="minorEastAsia" w:cstheme="minorBidi"/>
          <w:i w:val="0"/>
          <w:noProof/>
          <w:color w:val="auto"/>
          <w:lang w:val="en-US" w:eastAsia="en-US"/>
        </w:rPr>
      </w:pPr>
      <w:r>
        <w:rPr>
          <w:noProof/>
        </w:rPr>
        <w:t>4.2.1.</w:t>
      </w:r>
      <w:r>
        <w:rPr>
          <w:rFonts w:eastAsiaTheme="minorEastAsia" w:cstheme="minorBidi"/>
          <w:i w:val="0"/>
          <w:noProof/>
          <w:color w:val="auto"/>
          <w:lang w:val="en-US" w:eastAsia="en-US"/>
        </w:rPr>
        <w:tab/>
      </w:r>
      <w:r>
        <w:rPr>
          <w:noProof/>
        </w:rPr>
        <w:t>Alternatives for remaining CUNs in the soil sector</w:t>
      </w:r>
      <w:r>
        <w:rPr>
          <w:noProof/>
        </w:rPr>
        <w:tab/>
      </w:r>
      <w:r>
        <w:rPr>
          <w:noProof/>
        </w:rPr>
        <w:fldChar w:fldCharType="begin"/>
      </w:r>
      <w:r>
        <w:rPr>
          <w:noProof/>
        </w:rPr>
        <w:instrText xml:space="preserve"> PAGEREF _Toc484164339 \h </w:instrText>
      </w:r>
      <w:r>
        <w:rPr>
          <w:noProof/>
        </w:rPr>
      </w:r>
      <w:r>
        <w:rPr>
          <w:noProof/>
        </w:rPr>
        <w:fldChar w:fldCharType="separate"/>
      </w:r>
      <w:r w:rsidR="00DD3F35">
        <w:rPr>
          <w:noProof/>
        </w:rPr>
        <w:t>9</w:t>
      </w:r>
      <w:r>
        <w:rPr>
          <w:noProof/>
        </w:rPr>
        <w:fldChar w:fldCharType="end"/>
      </w:r>
    </w:p>
    <w:p w14:paraId="6747E883" w14:textId="34A17A4F" w:rsidR="00943D38" w:rsidRDefault="00943D38" w:rsidP="00101106">
      <w:pPr>
        <w:pStyle w:val="TOC3"/>
        <w:ind w:right="-40"/>
        <w:rPr>
          <w:rFonts w:eastAsiaTheme="minorEastAsia" w:cstheme="minorBidi"/>
          <w:i w:val="0"/>
          <w:noProof/>
          <w:color w:val="auto"/>
          <w:lang w:val="en-US" w:eastAsia="en-US"/>
        </w:rPr>
      </w:pPr>
      <w:r>
        <w:rPr>
          <w:noProof/>
        </w:rPr>
        <w:t>4.2.2.</w:t>
      </w:r>
      <w:r>
        <w:rPr>
          <w:rFonts w:eastAsiaTheme="minorEastAsia" w:cstheme="minorBidi"/>
          <w:i w:val="0"/>
          <w:noProof/>
          <w:color w:val="auto"/>
          <w:lang w:val="en-US" w:eastAsia="en-US"/>
        </w:rPr>
        <w:tab/>
      </w:r>
      <w:r>
        <w:rPr>
          <w:noProof/>
        </w:rPr>
        <w:t xml:space="preserve"> Alternatives for remaining critical uses in the structures and commodities sector</w:t>
      </w:r>
      <w:r>
        <w:rPr>
          <w:noProof/>
        </w:rPr>
        <w:tab/>
      </w:r>
      <w:r>
        <w:rPr>
          <w:noProof/>
        </w:rPr>
        <w:fldChar w:fldCharType="begin"/>
      </w:r>
      <w:r>
        <w:rPr>
          <w:noProof/>
        </w:rPr>
        <w:instrText xml:space="preserve"> PAGEREF _Toc484164340 \h </w:instrText>
      </w:r>
      <w:r>
        <w:rPr>
          <w:noProof/>
        </w:rPr>
      </w:r>
      <w:r>
        <w:rPr>
          <w:noProof/>
        </w:rPr>
        <w:fldChar w:fldCharType="separate"/>
      </w:r>
      <w:r w:rsidR="00DD3F35">
        <w:rPr>
          <w:noProof/>
        </w:rPr>
        <w:t>11</w:t>
      </w:r>
      <w:r>
        <w:rPr>
          <w:noProof/>
        </w:rPr>
        <w:fldChar w:fldCharType="end"/>
      </w:r>
    </w:p>
    <w:p w14:paraId="4CAFD81C" w14:textId="31DE01F1" w:rsidR="00943D38" w:rsidRDefault="00943D38" w:rsidP="00101106">
      <w:pPr>
        <w:pStyle w:val="TOC3"/>
        <w:ind w:right="-40"/>
        <w:rPr>
          <w:rFonts w:eastAsiaTheme="minorEastAsia" w:cstheme="minorBidi"/>
          <w:i w:val="0"/>
          <w:noProof/>
          <w:color w:val="auto"/>
          <w:lang w:val="en-US" w:eastAsia="en-US"/>
        </w:rPr>
      </w:pPr>
      <w:r>
        <w:rPr>
          <w:noProof/>
        </w:rPr>
        <w:t xml:space="preserve">4.2.3. </w:t>
      </w:r>
      <w:r>
        <w:rPr>
          <w:rFonts w:eastAsiaTheme="minorEastAsia" w:cstheme="minorBidi"/>
          <w:i w:val="0"/>
          <w:noProof/>
          <w:color w:val="auto"/>
          <w:lang w:val="en-US" w:eastAsia="en-US"/>
        </w:rPr>
        <w:tab/>
      </w:r>
      <w:r>
        <w:rPr>
          <w:noProof/>
        </w:rPr>
        <w:t>Economic issues related to MB phaseout</w:t>
      </w:r>
      <w:r>
        <w:rPr>
          <w:noProof/>
        </w:rPr>
        <w:tab/>
      </w:r>
      <w:r>
        <w:rPr>
          <w:noProof/>
        </w:rPr>
        <w:fldChar w:fldCharType="begin"/>
      </w:r>
      <w:r>
        <w:rPr>
          <w:noProof/>
        </w:rPr>
        <w:instrText xml:space="preserve"> PAGEREF _Toc484164341 \h </w:instrText>
      </w:r>
      <w:r>
        <w:rPr>
          <w:noProof/>
        </w:rPr>
      </w:r>
      <w:r>
        <w:rPr>
          <w:noProof/>
        </w:rPr>
        <w:fldChar w:fldCharType="separate"/>
      </w:r>
      <w:r w:rsidR="00DD3F35">
        <w:rPr>
          <w:noProof/>
        </w:rPr>
        <w:t>14</w:t>
      </w:r>
      <w:r>
        <w:rPr>
          <w:noProof/>
        </w:rPr>
        <w:fldChar w:fldCharType="end"/>
      </w:r>
    </w:p>
    <w:p w14:paraId="110280F1" w14:textId="2CFD3AD7" w:rsidR="00943D38" w:rsidRDefault="00943D38" w:rsidP="00101106">
      <w:pPr>
        <w:pStyle w:val="TOC2"/>
        <w:tabs>
          <w:tab w:val="clear" w:pos="9015"/>
          <w:tab w:val="right" w:leader="dot" w:pos="9360"/>
        </w:tabs>
        <w:ind w:right="-40"/>
        <w:rPr>
          <w:rFonts w:eastAsiaTheme="minorEastAsia" w:cstheme="minorBidi"/>
          <w:b w:val="0"/>
          <w:smallCaps w:val="0"/>
          <w:color w:val="auto"/>
          <w:lang w:val="en-US" w:eastAsia="en-US"/>
        </w:rPr>
      </w:pPr>
      <w:r>
        <w:t>4.3.</w:t>
      </w:r>
      <w:r>
        <w:rPr>
          <w:rFonts w:eastAsiaTheme="minorEastAsia" w:cstheme="minorBidi"/>
          <w:b w:val="0"/>
          <w:smallCaps w:val="0"/>
          <w:color w:val="auto"/>
          <w:lang w:val="en-US" w:eastAsia="en-US"/>
        </w:rPr>
        <w:tab/>
      </w:r>
      <w:r>
        <w:t>QPS sector</w:t>
      </w:r>
      <w:r>
        <w:tab/>
      </w:r>
      <w:r>
        <w:fldChar w:fldCharType="begin"/>
      </w:r>
      <w:r>
        <w:instrText xml:space="preserve"> PAGEREF _Toc484164342 \h </w:instrText>
      </w:r>
      <w:r>
        <w:fldChar w:fldCharType="separate"/>
      </w:r>
      <w:r w:rsidR="00DD3F35">
        <w:t>14</w:t>
      </w:r>
      <w:r>
        <w:fldChar w:fldCharType="end"/>
      </w:r>
    </w:p>
    <w:p w14:paraId="28195E11" w14:textId="09C71E1B" w:rsidR="00943D38" w:rsidRDefault="00943D38" w:rsidP="00101106">
      <w:pPr>
        <w:pStyle w:val="TOC3"/>
        <w:ind w:right="-40"/>
        <w:rPr>
          <w:rFonts w:eastAsiaTheme="minorEastAsia" w:cstheme="minorBidi"/>
          <w:i w:val="0"/>
          <w:noProof/>
          <w:color w:val="auto"/>
          <w:lang w:val="en-US" w:eastAsia="en-US"/>
        </w:rPr>
      </w:pPr>
      <w:r>
        <w:rPr>
          <w:noProof/>
        </w:rPr>
        <w:t>4.3.1.</w:t>
      </w:r>
      <w:r>
        <w:rPr>
          <w:rFonts w:eastAsiaTheme="minorEastAsia" w:cstheme="minorBidi"/>
          <w:i w:val="0"/>
          <w:noProof/>
          <w:color w:val="auto"/>
          <w:lang w:val="en-US" w:eastAsia="en-US"/>
        </w:rPr>
        <w:tab/>
      </w:r>
      <w:r>
        <w:rPr>
          <w:noProof/>
        </w:rPr>
        <w:t>Irradiation</w:t>
      </w:r>
      <w:r>
        <w:rPr>
          <w:noProof/>
        </w:rPr>
        <w:tab/>
      </w:r>
      <w:r>
        <w:rPr>
          <w:noProof/>
        </w:rPr>
        <w:fldChar w:fldCharType="begin"/>
      </w:r>
      <w:r>
        <w:rPr>
          <w:noProof/>
        </w:rPr>
        <w:instrText xml:space="preserve"> PAGEREF _Toc484164343 \h </w:instrText>
      </w:r>
      <w:r>
        <w:rPr>
          <w:noProof/>
        </w:rPr>
      </w:r>
      <w:r>
        <w:rPr>
          <w:noProof/>
        </w:rPr>
        <w:fldChar w:fldCharType="separate"/>
      </w:r>
      <w:r w:rsidR="00DD3F35">
        <w:rPr>
          <w:noProof/>
        </w:rPr>
        <w:t>14</w:t>
      </w:r>
      <w:r>
        <w:rPr>
          <w:noProof/>
        </w:rPr>
        <w:fldChar w:fldCharType="end"/>
      </w:r>
    </w:p>
    <w:p w14:paraId="703A74B6" w14:textId="36DA96AD" w:rsidR="00943D38" w:rsidRDefault="00943D38" w:rsidP="00101106">
      <w:pPr>
        <w:pStyle w:val="TOC3"/>
        <w:ind w:right="-40"/>
        <w:rPr>
          <w:rFonts w:eastAsiaTheme="minorEastAsia" w:cstheme="minorBidi"/>
          <w:i w:val="0"/>
          <w:noProof/>
          <w:color w:val="auto"/>
          <w:lang w:val="en-US" w:eastAsia="en-US"/>
        </w:rPr>
      </w:pPr>
      <w:r>
        <w:rPr>
          <w:noProof/>
        </w:rPr>
        <w:t>4.3.2.</w:t>
      </w:r>
      <w:r>
        <w:rPr>
          <w:rFonts w:eastAsiaTheme="minorEastAsia" w:cstheme="minorBidi"/>
          <w:i w:val="0"/>
          <w:noProof/>
          <w:color w:val="auto"/>
          <w:lang w:val="en-US" w:eastAsia="en-US"/>
        </w:rPr>
        <w:tab/>
      </w:r>
      <w:r>
        <w:rPr>
          <w:noProof/>
        </w:rPr>
        <w:t>Ethyl formate</w:t>
      </w:r>
      <w:r>
        <w:rPr>
          <w:noProof/>
        </w:rPr>
        <w:tab/>
      </w:r>
      <w:r>
        <w:rPr>
          <w:noProof/>
        </w:rPr>
        <w:fldChar w:fldCharType="begin"/>
      </w:r>
      <w:r>
        <w:rPr>
          <w:noProof/>
        </w:rPr>
        <w:instrText xml:space="preserve"> PAGEREF _Toc484164344 \h </w:instrText>
      </w:r>
      <w:r>
        <w:rPr>
          <w:noProof/>
        </w:rPr>
      </w:r>
      <w:r>
        <w:rPr>
          <w:noProof/>
        </w:rPr>
        <w:fldChar w:fldCharType="separate"/>
      </w:r>
      <w:r w:rsidR="00DD3F35">
        <w:rPr>
          <w:noProof/>
        </w:rPr>
        <w:t>14</w:t>
      </w:r>
      <w:r>
        <w:rPr>
          <w:noProof/>
        </w:rPr>
        <w:fldChar w:fldCharType="end"/>
      </w:r>
    </w:p>
    <w:p w14:paraId="0D9C4F59" w14:textId="7AD32C68" w:rsidR="00943D38" w:rsidRDefault="00943D38" w:rsidP="00101106">
      <w:pPr>
        <w:pStyle w:val="TOC3"/>
        <w:ind w:right="-40"/>
        <w:rPr>
          <w:rFonts w:eastAsiaTheme="minorEastAsia" w:cstheme="minorBidi"/>
          <w:i w:val="0"/>
          <w:noProof/>
          <w:color w:val="auto"/>
          <w:lang w:val="en-US" w:eastAsia="en-US"/>
        </w:rPr>
      </w:pPr>
      <w:r>
        <w:rPr>
          <w:noProof/>
        </w:rPr>
        <w:t>4.3.3.</w:t>
      </w:r>
      <w:r>
        <w:rPr>
          <w:rFonts w:eastAsiaTheme="minorEastAsia" w:cstheme="minorBidi"/>
          <w:i w:val="0"/>
          <w:noProof/>
          <w:color w:val="auto"/>
          <w:lang w:val="en-US" w:eastAsia="en-US"/>
        </w:rPr>
        <w:tab/>
      </w:r>
      <w:r>
        <w:rPr>
          <w:noProof/>
        </w:rPr>
        <w:t>Ethanedinitrile (EDN)</w:t>
      </w:r>
      <w:r>
        <w:rPr>
          <w:noProof/>
        </w:rPr>
        <w:tab/>
      </w:r>
      <w:r>
        <w:rPr>
          <w:noProof/>
        </w:rPr>
        <w:fldChar w:fldCharType="begin"/>
      </w:r>
      <w:r>
        <w:rPr>
          <w:noProof/>
        </w:rPr>
        <w:instrText xml:space="preserve"> PAGEREF _Toc484164345 \h </w:instrText>
      </w:r>
      <w:r>
        <w:rPr>
          <w:noProof/>
        </w:rPr>
      </w:r>
      <w:r>
        <w:rPr>
          <w:noProof/>
        </w:rPr>
        <w:fldChar w:fldCharType="separate"/>
      </w:r>
      <w:r w:rsidR="00DD3F35">
        <w:rPr>
          <w:noProof/>
        </w:rPr>
        <w:t>16</w:t>
      </w:r>
      <w:r>
        <w:rPr>
          <w:noProof/>
        </w:rPr>
        <w:fldChar w:fldCharType="end"/>
      </w:r>
    </w:p>
    <w:p w14:paraId="409CCC18" w14:textId="125B8F84" w:rsidR="00943D38" w:rsidRDefault="00943D38" w:rsidP="00101106">
      <w:pPr>
        <w:pStyle w:val="TOC3"/>
        <w:ind w:right="-40"/>
        <w:rPr>
          <w:rFonts w:eastAsiaTheme="minorEastAsia" w:cstheme="minorBidi"/>
          <w:i w:val="0"/>
          <w:noProof/>
          <w:color w:val="auto"/>
          <w:lang w:val="en-US" w:eastAsia="en-US"/>
        </w:rPr>
      </w:pPr>
      <w:r>
        <w:rPr>
          <w:noProof/>
        </w:rPr>
        <w:t>4.3.4.</w:t>
      </w:r>
      <w:r>
        <w:rPr>
          <w:rFonts w:eastAsiaTheme="minorEastAsia" w:cstheme="minorBidi"/>
          <w:i w:val="0"/>
          <w:noProof/>
          <w:color w:val="auto"/>
          <w:lang w:val="en-US" w:eastAsia="en-US"/>
        </w:rPr>
        <w:tab/>
      </w:r>
      <w:r>
        <w:rPr>
          <w:noProof/>
        </w:rPr>
        <w:t>Other issues</w:t>
      </w:r>
      <w:r>
        <w:rPr>
          <w:noProof/>
        </w:rPr>
        <w:tab/>
      </w:r>
      <w:r>
        <w:rPr>
          <w:noProof/>
        </w:rPr>
        <w:fldChar w:fldCharType="begin"/>
      </w:r>
      <w:r>
        <w:rPr>
          <w:noProof/>
        </w:rPr>
        <w:instrText xml:space="preserve"> PAGEREF _Toc484164346 \h </w:instrText>
      </w:r>
      <w:r>
        <w:rPr>
          <w:noProof/>
        </w:rPr>
      </w:r>
      <w:r>
        <w:rPr>
          <w:noProof/>
        </w:rPr>
        <w:fldChar w:fldCharType="separate"/>
      </w:r>
      <w:r w:rsidR="00DD3F35">
        <w:rPr>
          <w:noProof/>
        </w:rPr>
        <w:t>17</w:t>
      </w:r>
      <w:r>
        <w:rPr>
          <w:noProof/>
        </w:rPr>
        <w:fldChar w:fldCharType="end"/>
      </w:r>
    </w:p>
    <w:p w14:paraId="5A4E887D" w14:textId="5D9D667C" w:rsidR="00943D38" w:rsidRDefault="00943D38" w:rsidP="00101106">
      <w:pPr>
        <w:pStyle w:val="TOC2"/>
        <w:tabs>
          <w:tab w:val="clear" w:pos="9015"/>
          <w:tab w:val="right" w:leader="dot" w:pos="9360"/>
        </w:tabs>
        <w:ind w:right="-40"/>
        <w:rPr>
          <w:rFonts w:eastAsiaTheme="minorEastAsia" w:cstheme="minorBidi"/>
          <w:b w:val="0"/>
          <w:smallCaps w:val="0"/>
          <w:color w:val="auto"/>
          <w:lang w:val="en-US" w:eastAsia="en-US"/>
        </w:rPr>
      </w:pPr>
      <w:r>
        <w:t>4.4.</w:t>
      </w:r>
      <w:r>
        <w:rPr>
          <w:rFonts w:eastAsiaTheme="minorEastAsia" w:cstheme="minorBidi"/>
          <w:b w:val="0"/>
          <w:smallCaps w:val="0"/>
          <w:color w:val="auto"/>
          <w:lang w:val="en-US" w:eastAsia="en-US"/>
        </w:rPr>
        <w:tab/>
      </w:r>
      <w:r>
        <w:t>Update on MB emissions</w:t>
      </w:r>
      <w:r>
        <w:tab/>
      </w:r>
      <w:r>
        <w:fldChar w:fldCharType="begin"/>
      </w:r>
      <w:r>
        <w:instrText xml:space="preserve"> PAGEREF _Toc484164347 \h </w:instrText>
      </w:r>
      <w:r>
        <w:fldChar w:fldCharType="separate"/>
      </w:r>
      <w:r w:rsidR="00DD3F35">
        <w:t>18</w:t>
      </w:r>
      <w:r>
        <w:fldChar w:fldCharType="end"/>
      </w:r>
    </w:p>
    <w:p w14:paraId="11D70019" w14:textId="7A719157" w:rsidR="00943D38" w:rsidRDefault="00943D38" w:rsidP="00101106">
      <w:pPr>
        <w:pStyle w:val="TOC2"/>
        <w:tabs>
          <w:tab w:val="clear" w:pos="9015"/>
          <w:tab w:val="right" w:leader="dot" w:pos="9360"/>
        </w:tabs>
        <w:ind w:right="-40"/>
        <w:rPr>
          <w:rFonts w:eastAsiaTheme="minorEastAsia" w:cstheme="minorBidi"/>
          <w:b w:val="0"/>
          <w:smallCaps w:val="0"/>
          <w:color w:val="auto"/>
          <w:lang w:val="en-US" w:eastAsia="en-US"/>
        </w:rPr>
      </w:pPr>
      <w:r>
        <w:t xml:space="preserve">4.5. </w:t>
      </w:r>
      <w:r>
        <w:rPr>
          <w:rFonts w:eastAsiaTheme="minorEastAsia" w:cstheme="minorBidi"/>
          <w:b w:val="0"/>
          <w:smallCaps w:val="0"/>
          <w:color w:val="auto"/>
          <w:lang w:val="en-US" w:eastAsia="en-US"/>
        </w:rPr>
        <w:tab/>
      </w:r>
      <w:r>
        <w:t>References</w:t>
      </w:r>
      <w:r>
        <w:tab/>
      </w:r>
      <w:r>
        <w:fldChar w:fldCharType="begin"/>
      </w:r>
      <w:r>
        <w:instrText xml:space="preserve"> PAGEREF _Toc484164348 \h </w:instrText>
      </w:r>
      <w:r>
        <w:fldChar w:fldCharType="separate"/>
      </w:r>
      <w:r w:rsidR="00DD3F35">
        <w:t>19</w:t>
      </w:r>
      <w:r>
        <w:fldChar w:fldCharType="end"/>
      </w:r>
    </w:p>
    <w:p w14:paraId="002B8D03" w14:textId="71E19ED4" w:rsidR="00943D38" w:rsidRDefault="00943D38" w:rsidP="008D06EA">
      <w:pPr>
        <w:pStyle w:val="TOC1"/>
        <w:tabs>
          <w:tab w:val="left" w:pos="1260"/>
          <w:tab w:val="right" w:leader="dot" w:pos="9360"/>
        </w:tabs>
        <w:ind w:left="1260" w:right="-40" w:hanging="1260"/>
        <w:rPr>
          <w:rFonts w:eastAsiaTheme="minorEastAsia" w:cstheme="minorBidi"/>
          <w:b w:val="0"/>
          <w:caps w:val="0"/>
          <w:noProof/>
          <w:color w:val="auto"/>
          <w:lang w:val="en-US" w:eastAsia="en-US"/>
        </w:rPr>
      </w:pPr>
      <w:r w:rsidRPr="00814FC6">
        <w:rPr>
          <w:noProof/>
        </w:rPr>
        <w:lastRenderedPageBreak/>
        <w:t>5</w:t>
      </w:r>
      <w:r>
        <w:rPr>
          <w:rFonts w:eastAsiaTheme="minorEastAsia" w:cstheme="minorBidi"/>
          <w:b w:val="0"/>
          <w:caps w:val="0"/>
          <w:noProof/>
          <w:color w:val="auto"/>
          <w:lang w:val="en-US" w:eastAsia="en-US"/>
        </w:rPr>
        <w:tab/>
      </w:r>
      <w:r w:rsidRPr="00814FC6">
        <w:rPr>
          <w:noProof/>
        </w:rPr>
        <w:t>Medical and Chemicals TOC (MCTOC) Progress Report (including Recommendations for Essential Use Nominations)</w:t>
      </w:r>
      <w:r>
        <w:rPr>
          <w:noProof/>
        </w:rPr>
        <w:tab/>
      </w:r>
      <w:r>
        <w:rPr>
          <w:noProof/>
        </w:rPr>
        <w:fldChar w:fldCharType="begin"/>
      </w:r>
      <w:r>
        <w:rPr>
          <w:noProof/>
        </w:rPr>
        <w:instrText xml:space="preserve"> PAGEREF _Toc484164349 \h </w:instrText>
      </w:r>
      <w:r>
        <w:rPr>
          <w:noProof/>
        </w:rPr>
      </w:r>
      <w:r>
        <w:rPr>
          <w:noProof/>
        </w:rPr>
        <w:fldChar w:fldCharType="separate"/>
      </w:r>
      <w:r w:rsidR="00DD3F35">
        <w:rPr>
          <w:noProof/>
        </w:rPr>
        <w:t>25</w:t>
      </w:r>
      <w:r>
        <w:rPr>
          <w:noProof/>
        </w:rPr>
        <w:fldChar w:fldCharType="end"/>
      </w:r>
    </w:p>
    <w:p w14:paraId="21CD5BF9" w14:textId="77971E54" w:rsidR="00943D38" w:rsidRDefault="00943D38" w:rsidP="00101106">
      <w:pPr>
        <w:pStyle w:val="TOC2"/>
        <w:tabs>
          <w:tab w:val="clear" w:pos="9015"/>
          <w:tab w:val="right" w:leader="dot" w:pos="9360"/>
        </w:tabs>
        <w:ind w:right="-40"/>
        <w:rPr>
          <w:rFonts w:eastAsiaTheme="minorEastAsia" w:cstheme="minorBidi"/>
          <w:b w:val="0"/>
          <w:smallCaps w:val="0"/>
          <w:color w:val="auto"/>
          <w:lang w:val="en-US" w:eastAsia="en-US"/>
        </w:rPr>
      </w:pPr>
      <w:r>
        <w:t>Executive Summary</w:t>
      </w:r>
      <w:r>
        <w:tab/>
      </w:r>
      <w:r>
        <w:fldChar w:fldCharType="begin"/>
      </w:r>
      <w:r>
        <w:instrText xml:space="preserve"> PAGEREF _Toc484164350 \h </w:instrText>
      </w:r>
      <w:r>
        <w:fldChar w:fldCharType="separate"/>
      </w:r>
      <w:r w:rsidR="00DD3F35">
        <w:t>25</w:t>
      </w:r>
      <w:r>
        <w:fldChar w:fldCharType="end"/>
      </w:r>
    </w:p>
    <w:p w14:paraId="5E4E158E" w14:textId="7B736B55" w:rsidR="00943D38" w:rsidRDefault="00943D38" w:rsidP="00101106">
      <w:pPr>
        <w:pStyle w:val="TOC2"/>
        <w:tabs>
          <w:tab w:val="clear" w:pos="9015"/>
          <w:tab w:val="right" w:leader="dot" w:pos="9360"/>
        </w:tabs>
        <w:ind w:right="-40"/>
        <w:rPr>
          <w:rFonts w:eastAsiaTheme="minorEastAsia" w:cstheme="minorBidi"/>
          <w:b w:val="0"/>
          <w:smallCaps w:val="0"/>
          <w:color w:val="auto"/>
          <w:lang w:val="en-US" w:eastAsia="en-US"/>
        </w:rPr>
      </w:pPr>
      <w:r>
        <w:t>5.1.</w:t>
      </w:r>
      <w:r>
        <w:rPr>
          <w:rFonts w:eastAsiaTheme="minorEastAsia" w:cstheme="minorBidi"/>
          <w:b w:val="0"/>
          <w:smallCaps w:val="0"/>
          <w:color w:val="auto"/>
          <w:lang w:val="en-US" w:eastAsia="en-US"/>
        </w:rPr>
        <w:tab/>
      </w:r>
      <w:r>
        <w:t>Medical</w:t>
      </w:r>
      <w:r>
        <w:tab/>
      </w:r>
      <w:r>
        <w:fldChar w:fldCharType="begin"/>
      </w:r>
      <w:r>
        <w:instrText xml:space="preserve"> PAGEREF _Toc484164351 \h </w:instrText>
      </w:r>
      <w:r>
        <w:fldChar w:fldCharType="separate"/>
      </w:r>
      <w:r w:rsidR="00DD3F35">
        <w:t>26</w:t>
      </w:r>
      <w:r>
        <w:fldChar w:fldCharType="end"/>
      </w:r>
    </w:p>
    <w:p w14:paraId="749DD65A" w14:textId="15E98E99" w:rsidR="00943D38" w:rsidRDefault="00943D38" w:rsidP="00101106">
      <w:pPr>
        <w:pStyle w:val="TOC3"/>
        <w:ind w:right="-40"/>
        <w:rPr>
          <w:rFonts w:eastAsiaTheme="minorEastAsia" w:cstheme="minorBidi"/>
          <w:i w:val="0"/>
          <w:noProof/>
          <w:color w:val="auto"/>
          <w:lang w:val="en-US" w:eastAsia="en-US"/>
        </w:rPr>
      </w:pPr>
      <w:r>
        <w:rPr>
          <w:noProof/>
        </w:rPr>
        <w:t>5.1.1</w:t>
      </w:r>
      <w:r>
        <w:rPr>
          <w:rFonts w:eastAsiaTheme="minorEastAsia" w:cstheme="minorBidi"/>
          <w:i w:val="0"/>
          <w:noProof/>
          <w:color w:val="auto"/>
          <w:lang w:val="en-US" w:eastAsia="en-US"/>
        </w:rPr>
        <w:tab/>
      </w:r>
      <w:r>
        <w:rPr>
          <w:noProof/>
        </w:rPr>
        <w:t>Progress in the phase-out of ODS in MDIs</w:t>
      </w:r>
      <w:r>
        <w:rPr>
          <w:noProof/>
        </w:rPr>
        <w:tab/>
      </w:r>
      <w:r>
        <w:rPr>
          <w:noProof/>
        </w:rPr>
        <w:fldChar w:fldCharType="begin"/>
      </w:r>
      <w:r>
        <w:rPr>
          <w:noProof/>
        </w:rPr>
        <w:instrText xml:space="preserve"> PAGEREF _Toc484164352 \h </w:instrText>
      </w:r>
      <w:r>
        <w:rPr>
          <w:noProof/>
        </w:rPr>
      </w:r>
      <w:r>
        <w:rPr>
          <w:noProof/>
        </w:rPr>
        <w:fldChar w:fldCharType="separate"/>
      </w:r>
      <w:r w:rsidR="00DD3F35">
        <w:rPr>
          <w:noProof/>
        </w:rPr>
        <w:t>26</w:t>
      </w:r>
      <w:r>
        <w:rPr>
          <w:noProof/>
        </w:rPr>
        <w:fldChar w:fldCharType="end"/>
      </w:r>
    </w:p>
    <w:p w14:paraId="66353EDE" w14:textId="3C103AA8" w:rsidR="00943D38" w:rsidRDefault="00943D38" w:rsidP="00101106">
      <w:pPr>
        <w:pStyle w:val="TOC3"/>
        <w:ind w:right="-40"/>
        <w:rPr>
          <w:rFonts w:eastAsiaTheme="minorEastAsia" w:cstheme="minorBidi"/>
          <w:i w:val="0"/>
          <w:noProof/>
          <w:color w:val="auto"/>
          <w:lang w:val="en-US" w:eastAsia="en-US"/>
        </w:rPr>
      </w:pPr>
      <w:r>
        <w:rPr>
          <w:noProof/>
        </w:rPr>
        <w:t>5.1.2</w:t>
      </w:r>
      <w:r>
        <w:rPr>
          <w:rFonts w:eastAsiaTheme="minorEastAsia" w:cstheme="minorBidi"/>
          <w:i w:val="0"/>
          <w:noProof/>
          <w:color w:val="auto"/>
          <w:lang w:val="en-US" w:eastAsia="en-US"/>
        </w:rPr>
        <w:tab/>
      </w:r>
      <w:r>
        <w:rPr>
          <w:noProof/>
        </w:rPr>
        <w:t>Status of CFCs produced under essential use exemptions for the manufacture of MDIs</w:t>
      </w:r>
      <w:r>
        <w:rPr>
          <w:noProof/>
        </w:rPr>
        <w:tab/>
      </w:r>
      <w:r>
        <w:rPr>
          <w:noProof/>
        </w:rPr>
        <w:fldChar w:fldCharType="begin"/>
      </w:r>
      <w:r>
        <w:rPr>
          <w:noProof/>
        </w:rPr>
        <w:instrText xml:space="preserve"> PAGEREF _Toc484164353 \h </w:instrText>
      </w:r>
      <w:r>
        <w:rPr>
          <w:noProof/>
        </w:rPr>
      </w:r>
      <w:r>
        <w:rPr>
          <w:noProof/>
        </w:rPr>
        <w:fldChar w:fldCharType="separate"/>
      </w:r>
      <w:r w:rsidR="00DD3F35">
        <w:rPr>
          <w:noProof/>
        </w:rPr>
        <w:t>27</w:t>
      </w:r>
      <w:r>
        <w:rPr>
          <w:noProof/>
        </w:rPr>
        <w:fldChar w:fldCharType="end"/>
      </w:r>
    </w:p>
    <w:p w14:paraId="23B9B460" w14:textId="55A705EA" w:rsidR="00943D38" w:rsidRDefault="00943D38" w:rsidP="00101106">
      <w:pPr>
        <w:pStyle w:val="TOC3"/>
        <w:ind w:right="-40"/>
        <w:rPr>
          <w:rFonts w:eastAsiaTheme="minorEastAsia" w:cstheme="minorBidi"/>
          <w:i w:val="0"/>
          <w:noProof/>
          <w:color w:val="auto"/>
          <w:lang w:val="en-US" w:eastAsia="en-US"/>
        </w:rPr>
      </w:pPr>
      <w:r>
        <w:rPr>
          <w:noProof/>
        </w:rPr>
        <w:t>5.1.3</w:t>
      </w:r>
      <w:r>
        <w:rPr>
          <w:rFonts w:eastAsiaTheme="minorEastAsia" w:cstheme="minorBidi"/>
          <w:i w:val="0"/>
          <w:noProof/>
          <w:color w:val="auto"/>
          <w:lang w:val="en-US" w:eastAsia="en-US"/>
        </w:rPr>
        <w:tab/>
      </w:r>
      <w:r>
        <w:rPr>
          <w:noProof/>
        </w:rPr>
        <w:t>Developments in the phase-out of ODS in medical aerosols, and sterilants</w:t>
      </w:r>
      <w:r>
        <w:rPr>
          <w:noProof/>
        </w:rPr>
        <w:tab/>
      </w:r>
      <w:r>
        <w:rPr>
          <w:noProof/>
        </w:rPr>
        <w:fldChar w:fldCharType="begin"/>
      </w:r>
      <w:r>
        <w:rPr>
          <w:noProof/>
        </w:rPr>
        <w:instrText xml:space="preserve"> PAGEREF _Toc484164354 \h </w:instrText>
      </w:r>
      <w:r>
        <w:rPr>
          <w:noProof/>
        </w:rPr>
      </w:r>
      <w:r>
        <w:rPr>
          <w:noProof/>
        </w:rPr>
        <w:fldChar w:fldCharType="separate"/>
      </w:r>
      <w:r w:rsidR="00DD3F35">
        <w:rPr>
          <w:noProof/>
        </w:rPr>
        <w:t>28</w:t>
      </w:r>
      <w:r>
        <w:rPr>
          <w:noProof/>
        </w:rPr>
        <w:fldChar w:fldCharType="end"/>
      </w:r>
    </w:p>
    <w:p w14:paraId="264985AB" w14:textId="039AB568" w:rsidR="00943D38" w:rsidRDefault="00943D38" w:rsidP="00101106">
      <w:pPr>
        <w:pStyle w:val="TOC2"/>
        <w:tabs>
          <w:tab w:val="clear" w:pos="9015"/>
          <w:tab w:val="right" w:leader="dot" w:pos="9360"/>
        </w:tabs>
        <w:ind w:right="-40"/>
        <w:rPr>
          <w:rFonts w:eastAsiaTheme="minorEastAsia" w:cstheme="minorBidi"/>
          <w:b w:val="0"/>
          <w:smallCaps w:val="0"/>
          <w:color w:val="auto"/>
          <w:lang w:val="en-US" w:eastAsia="en-US"/>
        </w:rPr>
      </w:pPr>
      <w:r>
        <w:t>5.2.</w:t>
      </w:r>
      <w:r>
        <w:rPr>
          <w:rFonts w:eastAsiaTheme="minorEastAsia" w:cstheme="minorBidi"/>
          <w:b w:val="0"/>
          <w:smallCaps w:val="0"/>
          <w:color w:val="auto"/>
          <w:lang w:val="en-US" w:eastAsia="en-US"/>
        </w:rPr>
        <w:tab/>
      </w:r>
      <w:r>
        <w:t>Chemicals</w:t>
      </w:r>
      <w:r>
        <w:tab/>
      </w:r>
      <w:r>
        <w:fldChar w:fldCharType="begin"/>
      </w:r>
      <w:r>
        <w:instrText xml:space="preserve"> PAGEREF _Toc484164355 \h </w:instrText>
      </w:r>
      <w:r>
        <w:fldChar w:fldCharType="separate"/>
      </w:r>
      <w:r w:rsidR="00DD3F35">
        <w:t>28</w:t>
      </w:r>
      <w:r>
        <w:fldChar w:fldCharType="end"/>
      </w:r>
    </w:p>
    <w:p w14:paraId="6D99ACD6" w14:textId="612E10A0" w:rsidR="00943D38" w:rsidRDefault="00943D38" w:rsidP="00101106">
      <w:pPr>
        <w:pStyle w:val="TOC3"/>
        <w:ind w:right="-40"/>
        <w:rPr>
          <w:rFonts w:eastAsiaTheme="minorEastAsia" w:cstheme="minorBidi"/>
          <w:i w:val="0"/>
          <w:noProof/>
          <w:color w:val="auto"/>
          <w:lang w:val="en-US" w:eastAsia="en-US"/>
        </w:rPr>
      </w:pPr>
      <w:r>
        <w:rPr>
          <w:noProof/>
        </w:rPr>
        <w:t>5.2.1</w:t>
      </w:r>
      <w:r>
        <w:rPr>
          <w:rFonts w:eastAsiaTheme="minorEastAsia" w:cstheme="minorBidi"/>
          <w:i w:val="0"/>
          <w:noProof/>
          <w:color w:val="auto"/>
          <w:lang w:val="en-US" w:eastAsia="en-US"/>
        </w:rPr>
        <w:tab/>
      </w:r>
      <w:r>
        <w:rPr>
          <w:noProof/>
        </w:rPr>
        <w:t>Essential use nomination of CTC for laboratory and analytical uses (“testing of oil, grease and total petroleum hydrocarbons in water”) by China for 2017</w:t>
      </w:r>
      <w:r>
        <w:rPr>
          <w:noProof/>
        </w:rPr>
        <w:tab/>
      </w:r>
      <w:r>
        <w:rPr>
          <w:noProof/>
        </w:rPr>
        <w:fldChar w:fldCharType="begin"/>
      </w:r>
      <w:r>
        <w:rPr>
          <w:noProof/>
        </w:rPr>
        <w:instrText xml:space="preserve"> PAGEREF _Toc484164356 \h </w:instrText>
      </w:r>
      <w:r>
        <w:rPr>
          <w:noProof/>
        </w:rPr>
      </w:r>
      <w:r>
        <w:rPr>
          <w:noProof/>
        </w:rPr>
        <w:fldChar w:fldCharType="separate"/>
      </w:r>
      <w:r w:rsidR="00DD3F35">
        <w:rPr>
          <w:noProof/>
        </w:rPr>
        <w:t>28</w:t>
      </w:r>
      <w:r>
        <w:rPr>
          <w:noProof/>
        </w:rPr>
        <w:fldChar w:fldCharType="end"/>
      </w:r>
    </w:p>
    <w:p w14:paraId="3B888507" w14:textId="3F40ACA8" w:rsidR="00943D38" w:rsidRDefault="00943D38" w:rsidP="00101106">
      <w:pPr>
        <w:pStyle w:val="TOC3"/>
        <w:ind w:right="-40"/>
        <w:rPr>
          <w:rFonts w:eastAsiaTheme="minorEastAsia" w:cstheme="minorBidi"/>
          <w:i w:val="0"/>
          <w:noProof/>
          <w:color w:val="auto"/>
          <w:lang w:val="en-US" w:eastAsia="en-US"/>
        </w:rPr>
      </w:pPr>
      <w:r>
        <w:rPr>
          <w:noProof/>
        </w:rPr>
        <w:t>5.2.2</w:t>
      </w:r>
      <w:r>
        <w:rPr>
          <w:rFonts w:eastAsiaTheme="minorEastAsia" w:cstheme="minorBidi"/>
          <w:i w:val="0"/>
          <w:noProof/>
          <w:color w:val="auto"/>
          <w:lang w:val="en-US" w:eastAsia="en-US"/>
        </w:rPr>
        <w:tab/>
      </w:r>
      <w:r>
        <w:rPr>
          <w:noProof/>
        </w:rPr>
        <w:t>Status of CFC-113 produced under EUE for use as a solvent in aerospace applications</w:t>
      </w:r>
      <w:r>
        <w:rPr>
          <w:noProof/>
        </w:rPr>
        <w:tab/>
      </w:r>
      <w:r>
        <w:rPr>
          <w:noProof/>
        </w:rPr>
        <w:fldChar w:fldCharType="begin"/>
      </w:r>
      <w:r>
        <w:rPr>
          <w:noProof/>
        </w:rPr>
        <w:instrText xml:space="preserve"> PAGEREF _Toc484164357 \h </w:instrText>
      </w:r>
      <w:r>
        <w:rPr>
          <w:noProof/>
        </w:rPr>
      </w:r>
      <w:r>
        <w:rPr>
          <w:noProof/>
        </w:rPr>
        <w:fldChar w:fldCharType="separate"/>
      </w:r>
      <w:r w:rsidR="00DD3F35">
        <w:rPr>
          <w:noProof/>
        </w:rPr>
        <w:t>30</w:t>
      </w:r>
      <w:r>
        <w:rPr>
          <w:noProof/>
        </w:rPr>
        <w:fldChar w:fldCharType="end"/>
      </w:r>
    </w:p>
    <w:p w14:paraId="7F643DF9" w14:textId="2F2C7D67" w:rsidR="00943D38" w:rsidRDefault="00943D38" w:rsidP="00101106">
      <w:pPr>
        <w:pStyle w:val="TOC3"/>
        <w:ind w:right="-40"/>
        <w:rPr>
          <w:rFonts w:eastAsiaTheme="minorEastAsia" w:cstheme="minorBidi"/>
          <w:i w:val="0"/>
          <w:noProof/>
          <w:color w:val="auto"/>
          <w:lang w:val="en-US" w:eastAsia="en-US"/>
        </w:rPr>
      </w:pPr>
      <w:r>
        <w:rPr>
          <w:noProof/>
        </w:rPr>
        <w:t>5.2.3</w:t>
      </w:r>
      <w:r>
        <w:rPr>
          <w:rFonts w:eastAsiaTheme="minorEastAsia" w:cstheme="minorBidi"/>
          <w:i w:val="0"/>
          <w:noProof/>
          <w:color w:val="auto"/>
          <w:lang w:val="en-US" w:eastAsia="en-US"/>
        </w:rPr>
        <w:tab/>
      </w:r>
      <w:r>
        <w:rPr>
          <w:noProof/>
        </w:rPr>
        <w:t>Decisions XVII/6(6) and XXII/8(5): Review of information submitted by parties on the use of controlled substances as process agents</w:t>
      </w:r>
      <w:r>
        <w:rPr>
          <w:noProof/>
        </w:rPr>
        <w:tab/>
      </w:r>
      <w:r>
        <w:rPr>
          <w:noProof/>
        </w:rPr>
        <w:fldChar w:fldCharType="begin"/>
      </w:r>
      <w:r>
        <w:rPr>
          <w:noProof/>
        </w:rPr>
        <w:instrText xml:space="preserve"> PAGEREF _Toc484164358 \h </w:instrText>
      </w:r>
      <w:r>
        <w:rPr>
          <w:noProof/>
        </w:rPr>
      </w:r>
      <w:r>
        <w:rPr>
          <w:noProof/>
        </w:rPr>
        <w:fldChar w:fldCharType="separate"/>
      </w:r>
      <w:r w:rsidR="00DD3F35">
        <w:rPr>
          <w:noProof/>
        </w:rPr>
        <w:t>31</w:t>
      </w:r>
      <w:r>
        <w:rPr>
          <w:noProof/>
        </w:rPr>
        <w:fldChar w:fldCharType="end"/>
      </w:r>
    </w:p>
    <w:p w14:paraId="43AA70E5" w14:textId="58D3A020" w:rsidR="00943D38" w:rsidRDefault="00943D38" w:rsidP="00101106">
      <w:pPr>
        <w:pStyle w:val="TOC3"/>
        <w:ind w:right="-40"/>
        <w:rPr>
          <w:rFonts w:eastAsiaTheme="minorEastAsia" w:cstheme="minorBidi"/>
          <w:i w:val="0"/>
          <w:noProof/>
          <w:color w:val="auto"/>
          <w:lang w:val="en-US" w:eastAsia="en-US"/>
        </w:rPr>
      </w:pPr>
      <w:r>
        <w:rPr>
          <w:noProof/>
        </w:rPr>
        <w:t>5.2.4</w:t>
      </w:r>
      <w:r>
        <w:rPr>
          <w:rFonts w:eastAsiaTheme="minorEastAsia" w:cstheme="minorBidi"/>
          <w:i w:val="0"/>
          <w:noProof/>
          <w:color w:val="auto"/>
          <w:lang w:val="en-US" w:eastAsia="en-US"/>
        </w:rPr>
        <w:tab/>
      </w:r>
      <w:r>
        <w:rPr>
          <w:noProof/>
        </w:rPr>
        <w:t>Decision XVII/6(4): Assessment of any new plant using controlled substances as process agents</w:t>
      </w:r>
      <w:r>
        <w:rPr>
          <w:noProof/>
        </w:rPr>
        <w:tab/>
      </w:r>
      <w:r>
        <w:rPr>
          <w:noProof/>
        </w:rPr>
        <w:fldChar w:fldCharType="begin"/>
      </w:r>
      <w:r>
        <w:rPr>
          <w:noProof/>
        </w:rPr>
        <w:instrText xml:space="preserve"> PAGEREF _Toc484164359 \h </w:instrText>
      </w:r>
      <w:r>
        <w:rPr>
          <w:noProof/>
        </w:rPr>
      </w:r>
      <w:r>
        <w:rPr>
          <w:noProof/>
        </w:rPr>
        <w:fldChar w:fldCharType="separate"/>
      </w:r>
      <w:r w:rsidR="00DD3F35">
        <w:rPr>
          <w:noProof/>
        </w:rPr>
        <w:t>37</w:t>
      </w:r>
      <w:r>
        <w:rPr>
          <w:noProof/>
        </w:rPr>
        <w:fldChar w:fldCharType="end"/>
      </w:r>
    </w:p>
    <w:p w14:paraId="7CB9C932" w14:textId="49B2BEF2" w:rsidR="00943D38" w:rsidRDefault="00943D38" w:rsidP="00101106">
      <w:pPr>
        <w:pStyle w:val="TOC3"/>
        <w:ind w:right="-40"/>
        <w:rPr>
          <w:rFonts w:eastAsiaTheme="minorEastAsia" w:cstheme="minorBidi"/>
          <w:i w:val="0"/>
          <w:noProof/>
          <w:color w:val="auto"/>
          <w:lang w:val="en-US" w:eastAsia="en-US"/>
        </w:rPr>
      </w:pPr>
      <w:r>
        <w:rPr>
          <w:noProof/>
        </w:rPr>
        <w:t>5.2.5</w:t>
      </w:r>
      <w:r>
        <w:rPr>
          <w:rFonts w:eastAsiaTheme="minorEastAsia" w:cstheme="minorBidi"/>
          <w:i w:val="0"/>
          <w:noProof/>
          <w:color w:val="auto"/>
          <w:lang w:val="en-US" w:eastAsia="en-US"/>
        </w:rPr>
        <w:tab/>
      </w:r>
      <w:r>
        <w:rPr>
          <w:noProof/>
        </w:rPr>
        <w:t>Use of controlled substances for chemical feedstock</w:t>
      </w:r>
      <w:r>
        <w:rPr>
          <w:noProof/>
        </w:rPr>
        <w:tab/>
      </w:r>
      <w:r>
        <w:rPr>
          <w:noProof/>
        </w:rPr>
        <w:fldChar w:fldCharType="begin"/>
      </w:r>
      <w:r>
        <w:rPr>
          <w:noProof/>
        </w:rPr>
        <w:instrText xml:space="preserve"> PAGEREF _Toc484164360 \h </w:instrText>
      </w:r>
      <w:r>
        <w:rPr>
          <w:noProof/>
        </w:rPr>
      </w:r>
      <w:r>
        <w:rPr>
          <w:noProof/>
        </w:rPr>
        <w:fldChar w:fldCharType="separate"/>
      </w:r>
      <w:r w:rsidR="00DD3F35">
        <w:rPr>
          <w:noProof/>
        </w:rPr>
        <w:t>37</w:t>
      </w:r>
      <w:r>
        <w:rPr>
          <w:noProof/>
        </w:rPr>
        <w:fldChar w:fldCharType="end"/>
      </w:r>
    </w:p>
    <w:p w14:paraId="7E68725B" w14:textId="69542327" w:rsidR="00943D38" w:rsidRDefault="00943D38" w:rsidP="00101106">
      <w:pPr>
        <w:pStyle w:val="TOC3"/>
        <w:ind w:right="-40"/>
        <w:rPr>
          <w:rFonts w:eastAsiaTheme="minorEastAsia" w:cstheme="minorBidi"/>
          <w:i w:val="0"/>
          <w:noProof/>
          <w:color w:val="auto"/>
          <w:lang w:val="en-US" w:eastAsia="en-US"/>
        </w:rPr>
      </w:pPr>
      <w:r>
        <w:rPr>
          <w:noProof/>
        </w:rPr>
        <w:t>5.2.6</w:t>
      </w:r>
      <w:r>
        <w:rPr>
          <w:rFonts w:eastAsiaTheme="minorEastAsia" w:cstheme="minorBidi"/>
          <w:i w:val="0"/>
          <w:noProof/>
          <w:color w:val="auto"/>
          <w:lang w:val="en-US" w:eastAsia="en-US"/>
        </w:rPr>
        <w:tab/>
      </w:r>
      <w:r>
        <w:rPr>
          <w:noProof/>
        </w:rPr>
        <w:t>Solvent uses of ODS</w:t>
      </w:r>
      <w:r>
        <w:rPr>
          <w:noProof/>
        </w:rPr>
        <w:tab/>
      </w:r>
      <w:r>
        <w:rPr>
          <w:noProof/>
        </w:rPr>
        <w:fldChar w:fldCharType="begin"/>
      </w:r>
      <w:r>
        <w:rPr>
          <w:noProof/>
        </w:rPr>
        <w:instrText xml:space="preserve"> PAGEREF _Toc484164361 \h </w:instrText>
      </w:r>
      <w:r>
        <w:rPr>
          <w:noProof/>
        </w:rPr>
      </w:r>
      <w:r>
        <w:rPr>
          <w:noProof/>
        </w:rPr>
        <w:fldChar w:fldCharType="separate"/>
      </w:r>
      <w:r w:rsidR="00DD3F35">
        <w:rPr>
          <w:noProof/>
        </w:rPr>
        <w:t>44</w:t>
      </w:r>
      <w:r>
        <w:rPr>
          <w:noProof/>
        </w:rPr>
        <w:fldChar w:fldCharType="end"/>
      </w:r>
    </w:p>
    <w:p w14:paraId="07F7FC2E" w14:textId="5BD575D1" w:rsidR="00943D38" w:rsidRDefault="00943D38" w:rsidP="00101106">
      <w:pPr>
        <w:pStyle w:val="TOC3"/>
        <w:ind w:right="-40"/>
        <w:rPr>
          <w:rFonts w:eastAsiaTheme="minorEastAsia" w:cstheme="minorBidi"/>
          <w:i w:val="0"/>
          <w:noProof/>
          <w:color w:val="auto"/>
          <w:lang w:val="en-US" w:eastAsia="en-US"/>
        </w:rPr>
      </w:pPr>
      <w:r>
        <w:rPr>
          <w:noProof/>
        </w:rPr>
        <w:t>5.2.7</w:t>
      </w:r>
      <w:r>
        <w:rPr>
          <w:rFonts w:eastAsiaTheme="minorEastAsia" w:cstheme="minorBidi"/>
          <w:i w:val="0"/>
          <w:noProof/>
          <w:color w:val="auto"/>
          <w:lang w:val="en-US" w:eastAsia="en-US"/>
        </w:rPr>
        <w:tab/>
      </w:r>
      <w:r>
        <w:rPr>
          <w:noProof/>
        </w:rPr>
        <w:t>n-Propyl bromide</w:t>
      </w:r>
      <w:r>
        <w:rPr>
          <w:noProof/>
        </w:rPr>
        <w:tab/>
      </w:r>
      <w:r>
        <w:rPr>
          <w:noProof/>
        </w:rPr>
        <w:fldChar w:fldCharType="begin"/>
      </w:r>
      <w:r>
        <w:rPr>
          <w:noProof/>
        </w:rPr>
        <w:instrText xml:space="preserve"> PAGEREF _Toc484164362 \h </w:instrText>
      </w:r>
      <w:r>
        <w:rPr>
          <w:noProof/>
        </w:rPr>
      </w:r>
      <w:r>
        <w:rPr>
          <w:noProof/>
        </w:rPr>
        <w:fldChar w:fldCharType="separate"/>
      </w:r>
      <w:r w:rsidR="00DD3F35">
        <w:rPr>
          <w:noProof/>
        </w:rPr>
        <w:t>44</w:t>
      </w:r>
      <w:r>
        <w:rPr>
          <w:noProof/>
        </w:rPr>
        <w:fldChar w:fldCharType="end"/>
      </w:r>
    </w:p>
    <w:p w14:paraId="4F923293" w14:textId="2715CD49" w:rsidR="00943D38" w:rsidRDefault="00943D38" w:rsidP="00101106">
      <w:pPr>
        <w:pStyle w:val="TOC3"/>
        <w:ind w:right="-40"/>
        <w:rPr>
          <w:rFonts w:eastAsiaTheme="minorEastAsia" w:cstheme="minorBidi"/>
          <w:i w:val="0"/>
          <w:noProof/>
          <w:color w:val="auto"/>
          <w:lang w:val="en-US" w:eastAsia="en-US"/>
        </w:rPr>
      </w:pPr>
      <w:r>
        <w:rPr>
          <w:noProof/>
        </w:rPr>
        <w:t>5.2.8</w:t>
      </w:r>
      <w:r>
        <w:rPr>
          <w:rFonts w:eastAsiaTheme="minorEastAsia" w:cstheme="minorBidi"/>
          <w:i w:val="0"/>
          <w:noProof/>
          <w:color w:val="auto"/>
          <w:lang w:val="en-US" w:eastAsia="en-US"/>
        </w:rPr>
        <w:tab/>
      </w:r>
      <w:r>
        <w:rPr>
          <w:noProof/>
        </w:rPr>
        <w:t>Laboratory and analytical uses of ODS</w:t>
      </w:r>
      <w:r>
        <w:rPr>
          <w:noProof/>
        </w:rPr>
        <w:tab/>
      </w:r>
      <w:r>
        <w:rPr>
          <w:noProof/>
        </w:rPr>
        <w:fldChar w:fldCharType="begin"/>
      </w:r>
      <w:r>
        <w:rPr>
          <w:noProof/>
        </w:rPr>
        <w:instrText xml:space="preserve"> PAGEREF _Toc484164363 \h </w:instrText>
      </w:r>
      <w:r>
        <w:rPr>
          <w:noProof/>
        </w:rPr>
      </w:r>
      <w:r>
        <w:rPr>
          <w:noProof/>
        </w:rPr>
        <w:fldChar w:fldCharType="separate"/>
      </w:r>
      <w:r w:rsidR="00DD3F35">
        <w:rPr>
          <w:noProof/>
        </w:rPr>
        <w:t>46</w:t>
      </w:r>
      <w:r>
        <w:rPr>
          <w:noProof/>
        </w:rPr>
        <w:fldChar w:fldCharType="end"/>
      </w:r>
    </w:p>
    <w:p w14:paraId="36AAFE48" w14:textId="0A7134C0" w:rsidR="00943D38" w:rsidRDefault="00943D38" w:rsidP="00101106">
      <w:pPr>
        <w:pStyle w:val="TOC3"/>
        <w:ind w:right="-40"/>
        <w:rPr>
          <w:rFonts w:eastAsiaTheme="minorEastAsia" w:cstheme="minorBidi"/>
          <w:i w:val="0"/>
          <w:noProof/>
          <w:color w:val="auto"/>
          <w:lang w:val="en-US" w:eastAsia="en-US"/>
        </w:rPr>
      </w:pPr>
      <w:r>
        <w:rPr>
          <w:noProof/>
        </w:rPr>
        <w:t>5.2.9</w:t>
      </w:r>
      <w:r>
        <w:rPr>
          <w:rFonts w:eastAsiaTheme="minorEastAsia" w:cstheme="minorBidi"/>
          <w:i w:val="0"/>
          <w:noProof/>
          <w:color w:val="auto"/>
          <w:lang w:val="en-US" w:eastAsia="en-US"/>
        </w:rPr>
        <w:tab/>
      </w:r>
      <w:r>
        <w:rPr>
          <w:noProof/>
        </w:rPr>
        <w:t>Carbon tetrachloride emissions</w:t>
      </w:r>
      <w:r>
        <w:rPr>
          <w:noProof/>
        </w:rPr>
        <w:tab/>
      </w:r>
      <w:r>
        <w:rPr>
          <w:noProof/>
        </w:rPr>
        <w:fldChar w:fldCharType="begin"/>
      </w:r>
      <w:r>
        <w:rPr>
          <w:noProof/>
        </w:rPr>
        <w:instrText xml:space="preserve"> PAGEREF _Toc484164364 \h </w:instrText>
      </w:r>
      <w:r>
        <w:rPr>
          <w:noProof/>
        </w:rPr>
      </w:r>
      <w:r>
        <w:rPr>
          <w:noProof/>
        </w:rPr>
        <w:fldChar w:fldCharType="separate"/>
      </w:r>
      <w:r w:rsidR="00DD3F35">
        <w:rPr>
          <w:noProof/>
        </w:rPr>
        <w:t>48</w:t>
      </w:r>
      <w:r>
        <w:rPr>
          <w:noProof/>
        </w:rPr>
        <w:fldChar w:fldCharType="end"/>
      </w:r>
    </w:p>
    <w:p w14:paraId="58E9D191" w14:textId="34016B50" w:rsidR="00943D38" w:rsidRDefault="00943D38" w:rsidP="00101106">
      <w:pPr>
        <w:pStyle w:val="TOC3"/>
        <w:ind w:right="-40"/>
        <w:rPr>
          <w:rFonts w:eastAsiaTheme="minorEastAsia" w:cstheme="minorBidi"/>
          <w:i w:val="0"/>
          <w:noProof/>
          <w:color w:val="auto"/>
          <w:lang w:val="en-US" w:eastAsia="en-US"/>
        </w:rPr>
      </w:pPr>
      <w:r>
        <w:rPr>
          <w:noProof/>
        </w:rPr>
        <w:t>5.2.10</w:t>
      </w:r>
      <w:r>
        <w:rPr>
          <w:rFonts w:eastAsiaTheme="minorEastAsia" w:cstheme="minorBidi"/>
          <w:i w:val="0"/>
          <w:noProof/>
          <w:color w:val="auto"/>
          <w:lang w:val="en-US" w:eastAsia="en-US"/>
        </w:rPr>
        <w:tab/>
      </w:r>
      <w:r>
        <w:rPr>
          <w:noProof/>
        </w:rPr>
        <w:t>Destruction technologies</w:t>
      </w:r>
      <w:r>
        <w:rPr>
          <w:noProof/>
        </w:rPr>
        <w:tab/>
      </w:r>
      <w:r>
        <w:rPr>
          <w:noProof/>
        </w:rPr>
        <w:fldChar w:fldCharType="begin"/>
      </w:r>
      <w:r>
        <w:rPr>
          <w:noProof/>
        </w:rPr>
        <w:instrText xml:space="preserve"> PAGEREF _Toc484164365 \h </w:instrText>
      </w:r>
      <w:r>
        <w:rPr>
          <w:noProof/>
        </w:rPr>
      </w:r>
      <w:r>
        <w:rPr>
          <w:noProof/>
        </w:rPr>
        <w:fldChar w:fldCharType="separate"/>
      </w:r>
      <w:r w:rsidR="00DD3F35">
        <w:rPr>
          <w:noProof/>
        </w:rPr>
        <w:t>48</w:t>
      </w:r>
      <w:r>
        <w:rPr>
          <w:noProof/>
        </w:rPr>
        <w:fldChar w:fldCharType="end"/>
      </w:r>
    </w:p>
    <w:p w14:paraId="1D199779" w14:textId="357EB36E" w:rsidR="00943D38" w:rsidRDefault="00943D38" w:rsidP="00101106">
      <w:pPr>
        <w:pStyle w:val="TOC2"/>
        <w:tabs>
          <w:tab w:val="clear" w:pos="9015"/>
          <w:tab w:val="right" w:leader="dot" w:pos="9360"/>
        </w:tabs>
        <w:ind w:right="-40"/>
        <w:rPr>
          <w:rFonts w:eastAsiaTheme="minorEastAsia" w:cstheme="minorBidi"/>
          <w:b w:val="0"/>
          <w:smallCaps w:val="0"/>
          <w:color w:val="auto"/>
          <w:lang w:val="en-US" w:eastAsia="en-US"/>
        </w:rPr>
      </w:pPr>
      <w:r>
        <w:t>Annex 1:     Summary of methylating agent alternatives to methyl bromide</w:t>
      </w:r>
      <w:r>
        <w:tab/>
      </w:r>
      <w:r>
        <w:fldChar w:fldCharType="begin"/>
      </w:r>
      <w:r>
        <w:instrText xml:space="preserve"> PAGEREF _Toc484164366 \h </w:instrText>
      </w:r>
      <w:r>
        <w:fldChar w:fldCharType="separate"/>
      </w:r>
      <w:r w:rsidR="00DD3F35">
        <w:t>49</w:t>
      </w:r>
      <w:r>
        <w:fldChar w:fldCharType="end"/>
      </w:r>
    </w:p>
    <w:p w14:paraId="79D4B0BB" w14:textId="58B654DB" w:rsidR="00943D38" w:rsidRDefault="00943D38" w:rsidP="00101106">
      <w:pPr>
        <w:pStyle w:val="TOC3"/>
        <w:ind w:right="-40"/>
        <w:rPr>
          <w:rFonts w:eastAsiaTheme="minorEastAsia" w:cstheme="minorBidi"/>
          <w:i w:val="0"/>
          <w:noProof/>
          <w:color w:val="auto"/>
          <w:lang w:val="en-US" w:eastAsia="en-US"/>
        </w:rPr>
      </w:pPr>
      <w:r>
        <w:rPr>
          <w:noProof/>
        </w:rPr>
        <w:t>1.1</w:t>
      </w:r>
      <w:r>
        <w:rPr>
          <w:rFonts w:eastAsiaTheme="minorEastAsia" w:cstheme="minorBidi"/>
          <w:i w:val="0"/>
          <w:noProof/>
          <w:color w:val="auto"/>
          <w:lang w:val="en-US" w:eastAsia="en-US"/>
        </w:rPr>
        <w:tab/>
      </w:r>
      <w:r>
        <w:rPr>
          <w:noProof/>
        </w:rPr>
        <w:t>Methylating agent used under acidic conditions (methanol, dimethyl ether, dimethylaniline)</w:t>
      </w:r>
      <w:r>
        <w:rPr>
          <w:noProof/>
        </w:rPr>
        <w:tab/>
      </w:r>
      <w:r>
        <w:rPr>
          <w:noProof/>
        </w:rPr>
        <w:fldChar w:fldCharType="begin"/>
      </w:r>
      <w:r>
        <w:rPr>
          <w:noProof/>
        </w:rPr>
        <w:instrText xml:space="preserve"> PAGEREF _Toc484164367 \h </w:instrText>
      </w:r>
      <w:r>
        <w:rPr>
          <w:noProof/>
        </w:rPr>
      </w:r>
      <w:r>
        <w:rPr>
          <w:noProof/>
        </w:rPr>
        <w:fldChar w:fldCharType="separate"/>
      </w:r>
      <w:r w:rsidR="00DD3F35">
        <w:rPr>
          <w:noProof/>
        </w:rPr>
        <w:t>49</w:t>
      </w:r>
      <w:r>
        <w:rPr>
          <w:noProof/>
        </w:rPr>
        <w:fldChar w:fldCharType="end"/>
      </w:r>
    </w:p>
    <w:p w14:paraId="6F8CE37A" w14:textId="65E243DA" w:rsidR="00943D38" w:rsidRDefault="00943D38" w:rsidP="00101106">
      <w:pPr>
        <w:pStyle w:val="TOC3"/>
        <w:ind w:right="-40"/>
        <w:rPr>
          <w:rFonts w:eastAsiaTheme="minorEastAsia" w:cstheme="minorBidi"/>
          <w:i w:val="0"/>
          <w:noProof/>
          <w:color w:val="auto"/>
          <w:lang w:val="en-US" w:eastAsia="en-US"/>
        </w:rPr>
      </w:pPr>
      <w:r>
        <w:rPr>
          <w:noProof/>
        </w:rPr>
        <w:t>1.2</w:t>
      </w:r>
      <w:r>
        <w:rPr>
          <w:rFonts w:eastAsiaTheme="minorEastAsia" w:cstheme="minorBidi"/>
          <w:i w:val="0"/>
          <w:noProof/>
          <w:color w:val="auto"/>
          <w:lang w:val="en-US" w:eastAsia="en-US"/>
        </w:rPr>
        <w:tab/>
      </w:r>
      <w:r>
        <w:rPr>
          <w:noProof/>
        </w:rPr>
        <w:t>Methylating agent used under basic conditions</w:t>
      </w:r>
      <w:r>
        <w:rPr>
          <w:noProof/>
        </w:rPr>
        <w:tab/>
      </w:r>
      <w:r>
        <w:rPr>
          <w:noProof/>
        </w:rPr>
        <w:fldChar w:fldCharType="begin"/>
      </w:r>
      <w:r>
        <w:rPr>
          <w:noProof/>
        </w:rPr>
        <w:instrText xml:space="preserve"> PAGEREF _Toc484164368 \h </w:instrText>
      </w:r>
      <w:r>
        <w:rPr>
          <w:noProof/>
        </w:rPr>
      </w:r>
      <w:r>
        <w:rPr>
          <w:noProof/>
        </w:rPr>
        <w:fldChar w:fldCharType="separate"/>
      </w:r>
      <w:r w:rsidR="00DD3F35">
        <w:rPr>
          <w:noProof/>
        </w:rPr>
        <w:t>49</w:t>
      </w:r>
      <w:r>
        <w:rPr>
          <w:noProof/>
        </w:rPr>
        <w:fldChar w:fldCharType="end"/>
      </w:r>
    </w:p>
    <w:p w14:paraId="0AFFAE98" w14:textId="3451EA6C" w:rsidR="00943D38" w:rsidRDefault="00943D38" w:rsidP="00101106">
      <w:pPr>
        <w:pStyle w:val="TOC3"/>
        <w:ind w:right="-40"/>
        <w:rPr>
          <w:rFonts w:eastAsiaTheme="minorEastAsia" w:cstheme="minorBidi"/>
          <w:i w:val="0"/>
          <w:noProof/>
          <w:color w:val="auto"/>
          <w:lang w:val="en-US" w:eastAsia="en-US"/>
        </w:rPr>
      </w:pPr>
      <w:r>
        <w:rPr>
          <w:noProof/>
        </w:rPr>
        <w:t>1.3</w:t>
      </w:r>
      <w:r>
        <w:rPr>
          <w:rFonts w:eastAsiaTheme="minorEastAsia" w:cstheme="minorBidi"/>
          <w:i w:val="0"/>
          <w:noProof/>
          <w:color w:val="auto"/>
          <w:lang w:val="en-US" w:eastAsia="en-US"/>
        </w:rPr>
        <w:tab/>
      </w:r>
      <w:r>
        <w:rPr>
          <w:noProof/>
        </w:rPr>
        <w:t>Methylating agent used under neutral conditions</w:t>
      </w:r>
      <w:r>
        <w:rPr>
          <w:noProof/>
        </w:rPr>
        <w:tab/>
      </w:r>
      <w:r>
        <w:rPr>
          <w:noProof/>
        </w:rPr>
        <w:fldChar w:fldCharType="begin"/>
      </w:r>
      <w:r>
        <w:rPr>
          <w:noProof/>
        </w:rPr>
        <w:instrText xml:space="preserve"> PAGEREF _Toc484164369 \h </w:instrText>
      </w:r>
      <w:r>
        <w:rPr>
          <w:noProof/>
        </w:rPr>
      </w:r>
      <w:r>
        <w:rPr>
          <w:noProof/>
        </w:rPr>
        <w:fldChar w:fldCharType="separate"/>
      </w:r>
      <w:r w:rsidR="00DD3F35">
        <w:rPr>
          <w:noProof/>
        </w:rPr>
        <w:t>51</w:t>
      </w:r>
      <w:r>
        <w:rPr>
          <w:noProof/>
        </w:rPr>
        <w:fldChar w:fldCharType="end"/>
      </w:r>
    </w:p>
    <w:p w14:paraId="0DD9A6A8" w14:textId="459AFE1C" w:rsidR="00943D38" w:rsidRDefault="00943D38" w:rsidP="00101106">
      <w:pPr>
        <w:pStyle w:val="TOC2"/>
        <w:tabs>
          <w:tab w:val="clear" w:pos="9015"/>
          <w:tab w:val="right" w:leader="dot" w:pos="9360"/>
        </w:tabs>
        <w:ind w:right="-40"/>
        <w:rPr>
          <w:rFonts w:eastAsiaTheme="minorEastAsia" w:cstheme="minorBidi"/>
          <w:b w:val="0"/>
          <w:smallCaps w:val="0"/>
          <w:color w:val="auto"/>
          <w:lang w:val="en-US" w:eastAsia="en-US"/>
        </w:rPr>
      </w:pPr>
      <w:r>
        <w:t>References</w:t>
      </w:r>
      <w:r>
        <w:tab/>
      </w:r>
      <w:r>
        <w:fldChar w:fldCharType="begin"/>
      </w:r>
      <w:r>
        <w:instrText xml:space="preserve"> PAGEREF _Toc484164370 \h </w:instrText>
      </w:r>
      <w:r>
        <w:fldChar w:fldCharType="separate"/>
      </w:r>
      <w:r w:rsidR="00DD3F35">
        <w:t>54</w:t>
      </w:r>
      <w:r>
        <w:fldChar w:fldCharType="end"/>
      </w:r>
    </w:p>
    <w:p w14:paraId="71DB3FAA" w14:textId="66135FF2" w:rsidR="00943D38" w:rsidRDefault="00943D38" w:rsidP="008D06EA">
      <w:pPr>
        <w:pStyle w:val="TOC1"/>
        <w:tabs>
          <w:tab w:val="left" w:pos="1260"/>
          <w:tab w:val="right" w:leader="dot" w:pos="9360"/>
        </w:tabs>
        <w:ind w:left="1260" w:right="-40" w:hanging="1260"/>
        <w:rPr>
          <w:rFonts w:eastAsiaTheme="minorEastAsia" w:cstheme="minorBidi"/>
          <w:b w:val="0"/>
          <w:caps w:val="0"/>
          <w:noProof/>
          <w:color w:val="auto"/>
          <w:lang w:val="en-US" w:eastAsia="en-US"/>
        </w:rPr>
      </w:pPr>
      <w:r w:rsidRPr="00814FC6">
        <w:rPr>
          <w:noProof/>
        </w:rPr>
        <w:t>6</w:t>
      </w:r>
      <w:r>
        <w:rPr>
          <w:rFonts w:eastAsiaTheme="minorEastAsia" w:cstheme="minorBidi"/>
          <w:b w:val="0"/>
          <w:caps w:val="0"/>
          <w:noProof/>
          <w:color w:val="auto"/>
          <w:lang w:val="en-US" w:eastAsia="en-US"/>
        </w:rPr>
        <w:tab/>
      </w:r>
      <w:r w:rsidRPr="00814FC6">
        <w:rPr>
          <w:noProof/>
        </w:rPr>
        <w:t>Refrigeration, Air Conditioning and Heat Pumps TOC (RTOC) Progress Report</w:t>
      </w:r>
      <w:r>
        <w:rPr>
          <w:noProof/>
        </w:rPr>
        <w:tab/>
      </w:r>
      <w:r>
        <w:rPr>
          <w:noProof/>
        </w:rPr>
        <w:fldChar w:fldCharType="begin"/>
      </w:r>
      <w:r>
        <w:rPr>
          <w:noProof/>
        </w:rPr>
        <w:instrText xml:space="preserve"> PAGEREF _Toc484164371 \h </w:instrText>
      </w:r>
      <w:r>
        <w:rPr>
          <w:noProof/>
        </w:rPr>
      </w:r>
      <w:r>
        <w:rPr>
          <w:noProof/>
        </w:rPr>
        <w:fldChar w:fldCharType="separate"/>
      </w:r>
      <w:r w:rsidR="00DD3F35">
        <w:rPr>
          <w:noProof/>
        </w:rPr>
        <w:t>55</w:t>
      </w:r>
      <w:r>
        <w:rPr>
          <w:noProof/>
        </w:rPr>
        <w:fldChar w:fldCharType="end"/>
      </w:r>
    </w:p>
    <w:p w14:paraId="03264549" w14:textId="1054B6B6" w:rsidR="00943D38" w:rsidRDefault="00943D38" w:rsidP="00101106">
      <w:pPr>
        <w:pStyle w:val="TOC2"/>
        <w:tabs>
          <w:tab w:val="clear" w:pos="9015"/>
          <w:tab w:val="right" w:leader="dot" w:pos="9360"/>
        </w:tabs>
        <w:ind w:right="-40"/>
        <w:rPr>
          <w:rFonts w:eastAsiaTheme="minorEastAsia" w:cstheme="minorBidi"/>
          <w:b w:val="0"/>
          <w:smallCaps w:val="0"/>
          <w:color w:val="auto"/>
          <w:lang w:val="en-US" w:eastAsia="en-US"/>
        </w:rPr>
      </w:pPr>
      <w:r>
        <w:t>6.1.</w:t>
      </w:r>
      <w:r>
        <w:rPr>
          <w:rFonts w:eastAsiaTheme="minorEastAsia" w:cstheme="minorBidi"/>
          <w:b w:val="0"/>
          <w:smallCaps w:val="0"/>
          <w:color w:val="auto"/>
          <w:lang w:val="en-US" w:eastAsia="en-US"/>
        </w:rPr>
        <w:tab/>
      </w:r>
      <w:r>
        <w:t>Introduction</w:t>
      </w:r>
      <w:r>
        <w:tab/>
      </w:r>
      <w:r>
        <w:fldChar w:fldCharType="begin"/>
      </w:r>
      <w:r>
        <w:instrText xml:space="preserve"> PAGEREF _Toc484164372 \h </w:instrText>
      </w:r>
      <w:r>
        <w:fldChar w:fldCharType="separate"/>
      </w:r>
      <w:r w:rsidR="00DD3F35">
        <w:t>55</w:t>
      </w:r>
      <w:r>
        <w:fldChar w:fldCharType="end"/>
      </w:r>
    </w:p>
    <w:p w14:paraId="6E3CC3FA" w14:textId="1CF217E5" w:rsidR="00943D38" w:rsidRDefault="00943D38" w:rsidP="00101106">
      <w:pPr>
        <w:pStyle w:val="TOC2"/>
        <w:tabs>
          <w:tab w:val="clear" w:pos="9015"/>
          <w:tab w:val="right" w:leader="dot" w:pos="9360"/>
        </w:tabs>
        <w:ind w:right="-40"/>
        <w:rPr>
          <w:rFonts w:eastAsiaTheme="minorEastAsia" w:cstheme="minorBidi"/>
          <w:b w:val="0"/>
          <w:smallCaps w:val="0"/>
          <w:color w:val="auto"/>
          <w:lang w:val="en-US" w:eastAsia="en-US"/>
        </w:rPr>
      </w:pPr>
      <w:r>
        <w:t>6.2.</w:t>
      </w:r>
      <w:r>
        <w:rPr>
          <w:rFonts w:eastAsiaTheme="minorEastAsia" w:cstheme="minorBidi"/>
          <w:b w:val="0"/>
          <w:smallCaps w:val="0"/>
          <w:color w:val="auto"/>
          <w:lang w:val="en-US" w:eastAsia="en-US"/>
        </w:rPr>
        <w:tab/>
      </w:r>
      <w:r>
        <w:t>Refrigerants</w:t>
      </w:r>
      <w:r>
        <w:tab/>
      </w:r>
      <w:r>
        <w:fldChar w:fldCharType="begin"/>
      </w:r>
      <w:r>
        <w:instrText xml:space="preserve"> PAGEREF _Toc484164373 \h </w:instrText>
      </w:r>
      <w:r>
        <w:fldChar w:fldCharType="separate"/>
      </w:r>
      <w:r w:rsidR="00DD3F35">
        <w:t>55</w:t>
      </w:r>
      <w:r>
        <w:fldChar w:fldCharType="end"/>
      </w:r>
    </w:p>
    <w:p w14:paraId="2C375272" w14:textId="0E8B7360" w:rsidR="00943D38" w:rsidRDefault="00943D38" w:rsidP="00101106">
      <w:pPr>
        <w:pStyle w:val="TOC2"/>
        <w:tabs>
          <w:tab w:val="clear" w:pos="9015"/>
          <w:tab w:val="right" w:leader="dot" w:pos="9360"/>
        </w:tabs>
        <w:ind w:right="-40"/>
        <w:rPr>
          <w:rFonts w:eastAsiaTheme="minorEastAsia" w:cstheme="minorBidi"/>
          <w:b w:val="0"/>
          <w:smallCaps w:val="0"/>
          <w:color w:val="auto"/>
          <w:lang w:val="en-US" w:eastAsia="en-US"/>
        </w:rPr>
      </w:pPr>
      <w:r>
        <w:t>6.3.</w:t>
      </w:r>
      <w:r>
        <w:rPr>
          <w:rFonts w:eastAsiaTheme="minorEastAsia" w:cstheme="minorBidi"/>
          <w:b w:val="0"/>
          <w:smallCaps w:val="0"/>
          <w:color w:val="auto"/>
          <w:lang w:val="en-US" w:eastAsia="en-US"/>
        </w:rPr>
        <w:tab/>
      </w:r>
      <w:r>
        <w:t>Domestic appliances</w:t>
      </w:r>
      <w:r>
        <w:tab/>
      </w:r>
      <w:r>
        <w:fldChar w:fldCharType="begin"/>
      </w:r>
      <w:r>
        <w:instrText xml:space="preserve"> PAGEREF _Toc484164374 \h </w:instrText>
      </w:r>
      <w:r>
        <w:fldChar w:fldCharType="separate"/>
      </w:r>
      <w:r w:rsidR="00DD3F35">
        <w:t>57</w:t>
      </w:r>
      <w:r>
        <w:fldChar w:fldCharType="end"/>
      </w:r>
    </w:p>
    <w:p w14:paraId="6162BD26" w14:textId="16D5F2C8" w:rsidR="00943D38" w:rsidRDefault="00943D38" w:rsidP="00101106">
      <w:pPr>
        <w:pStyle w:val="TOC2"/>
        <w:tabs>
          <w:tab w:val="clear" w:pos="9015"/>
          <w:tab w:val="right" w:leader="dot" w:pos="9360"/>
        </w:tabs>
        <w:ind w:right="-40"/>
        <w:rPr>
          <w:rFonts w:eastAsiaTheme="minorEastAsia" w:cstheme="minorBidi"/>
          <w:b w:val="0"/>
          <w:smallCaps w:val="0"/>
          <w:color w:val="auto"/>
          <w:lang w:val="en-US" w:eastAsia="en-US"/>
        </w:rPr>
      </w:pPr>
      <w:r>
        <w:t>6.4.</w:t>
      </w:r>
      <w:r>
        <w:rPr>
          <w:rFonts w:eastAsiaTheme="minorEastAsia" w:cstheme="minorBidi"/>
          <w:b w:val="0"/>
          <w:smallCaps w:val="0"/>
          <w:color w:val="auto"/>
          <w:lang w:val="en-US" w:eastAsia="en-US"/>
        </w:rPr>
        <w:tab/>
      </w:r>
      <w:r>
        <w:t>Commercial refrigeration</w:t>
      </w:r>
      <w:r>
        <w:tab/>
      </w:r>
      <w:r>
        <w:fldChar w:fldCharType="begin"/>
      </w:r>
      <w:r>
        <w:instrText xml:space="preserve"> PAGEREF _Toc484164375 \h </w:instrText>
      </w:r>
      <w:r>
        <w:fldChar w:fldCharType="separate"/>
      </w:r>
      <w:r w:rsidR="00DD3F35">
        <w:t>58</w:t>
      </w:r>
      <w:r>
        <w:fldChar w:fldCharType="end"/>
      </w:r>
    </w:p>
    <w:p w14:paraId="23FF3D90" w14:textId="28CFB262" w:rsidR="00943D38" w:rsidRDefault="00943D38" w:rsidP="00101106">
      <w:pPr>
        <w:pStyle w:val="TOC2"/>
        <w:tabs>
          <w:tab w:val="clear" w:pos="9015"/>
          <w:tab w:val="right" w:leader="dot" w:pos="9360"/>
        </w:tabs>
        <w:ind w:right="-40"/>
        <w:rPr>
          <w:rFonts w:eastAsiaTheme="minorEastAsia" w:cstheme="minorBidi"/>
          <w:b w:val="0"/>
          <w:smallCaps w:val="0"/>
          <w:color w:val="auto"/>
          <w:lang w:val="en-US" w:eastAsia="en-US"/>
        </w:rPr>
      </w:pPr>
      <w:r>
        <w:t>6.5.</w:t>
      </w:r>
      <w:r>
        <w:rPr>
          <w:rFonts w:eastAsiaTheme="minorEastAsia" w:cstheme="minorBidi"/>
          <w:b w:val="0"/>
          <w:smallCaps w:val="0"/>
          <w:color w:val="auto"/>
          <w:lang w:val="en-US" w:eastAsia="en-US"/>
        </w:rPr>
        <w:tab/>
      </w:r>
      <w:r>
        <w:t>Industrial systems</w:t>
      </w:r>
      <w:r>
        <w:tab/>
      </w:r>
      <w:r>
        <w:fldChar w:fldCharType="begin"/>
      </w:r>
      <w:r>
        <w:instrText xml:space="preserve"> PAGEREF _Toc484164376 \h </w:instrText>
      </w:r>
      <w:r>
        <w:fldChar w:fldCharType="separate"/>
      </w:r>
      <w:r w:rsidR="00DD3F35">
        <w:t>58</w:t>
      </w:r>
      <w:r>
        <w:fldChar w:fldCharType="end"/>
      </w:r>
    </w:p>
    <w:p w14:paraId="11E9803A" w14:textId="42FB1745" w:rsidR="00943D38" w:rsidRDefault="00943D38" w:rsidP="00101106">
      <w:pPr>
        <w:pStyle w:val="TOC2"/>
        <w:tabs>
          <w:tab w:val="clear" w:pos="9015"/>
          <w:tab w:val="right" w:leader="dot" w:pos="9360"/>
        </w:tabs>
        <w:ind w:right="-40"/>
        <w:rPr>
          <w:rFonts w:eastAsiaTheme="minorEastAsia" w:cstheme="minorBidi"/>
          <w:b w:val="0"/>
          <w:smallCaps w:val="0"/>
          <w:color w:val="auto"/>
          <w:lang w:val="en-US" w:eastAsia="en-US"/>
        </w:rPr>
      </w:pPr>
      <w:r>
        <w:t>6.6.</w:t>
      </w:r>
      <w:r>
        <w:rPr>
          <w:rFonts w:eastAsiaTheme="minorEastAsia" w:cstheme="minorBidi"/>
          <w:b w:val="0"/>
          <w:smallCaps w:val="0"/>
          <w:color w:val="auto"/>
          <w:lang w:val="en-US" w:eastAsia="en-US"/>
        </w:rPr>
        <w:tab/>
      </w:r>
      <w:r>
        <w:t>Transport refrigeration</w:t>
      </w:r>
      <w:r>
        <w:tab/>
      </w:r>
      <w:r>
        <w:fldChar w:fldCharType="begin"/>
      </w:r>
      <w:r>
        <w:instrText xml:space="preserve"> PAGEREF _Toc484164377 \h </w:instrText>
      </w:r>
      <w:r>
        <w:fldChar w:fldCharType="separate"/>
      </w:r>
      <w:r w:rsidR="00DD3F35">
        <w:t>59</w:t>
      </w:r>
      <w:r>
        <w:fldChar w:fldCharType="end"/>
      </w:r>
    </w:p>
    <w:p w14:paraId="45E8EC6A" w14:textId="35B8785A" w:rsidR="00943D38" w:rsidRDefault="00943D38" w:rsidP="00101106">
      <w:pPr>
        <w:pStyle w:val="TOC3"/>
        <w:ind w:right="-40"/>
        <w:rPr>
          <w:rFonts w:eastAsiaTheme="minorEastAsia" w:cstheme="minorBidi"/>
          <w:i w:val="0"/>
          <w:noProof/>
          <w:color w:val="auto"/>
          <w:lang w:val="en-US" w:eastAsia="en-US"/>
        </w:rPr>
      </w:pPr>
      <w:r>
        <w:rPr>
          <w:noProof/>
        </w:rPr>
        <w:t>6.6.1.</w:t>
      </w:r>
      <w:r>
        <w:rPr>
          <w:rFonts w:eastAsiaTheme="minorEastAsia" w:cstheme="minorBidi"/>
          <w:i w:val="0"/>
          <w:noProof/>
          <w:color w:val="auto"/>
          <w:lang w:val="en-US" w:eastAsia="en-US"/>
        </w:rPr>
        <w:tab/>
      </w:r>
      <w:r>
        <w:rPr>
          <w:noProof/>
        </w:rPr>
        <w:t>Ships</w:t>
      </w:r>
      <w:r>
        <w:rPr>
          <w:noProof/>
        </w:rPr>
        <w:tab/>
      </w:r>
      <w:r>
        <w:rPr>
          <w:noProof/>
        </w:rPr>
        <w:fldChar w:fldCharType="begin"/>
      </w:r>
      <w:r>
        <w:rPr>
          <w:noProof/>
        </w:rPr>
        <w:instrText xml:space="preserve"> PAGEREF _Toc484164378 \h </w:instrText>
      </w:r>
      <w:r>
        <w:rPr>
          <w:noProof/>
        </w:rPr>
      </w:r>
      <w:r>
        <w:rPr>
          <w:noProof/>
        </w:rPr>
        <w:fldChar w:fldCharType="separate"/>
      </w:r>
      <w:r w:rsidR="00DD3F35">
        <w:rPr>
          <w:noProof/>
        </w:rPr>
        <w:t>59</w:t>
      </w:r>
      <w:r>
        <w:rPr>
          <w:noProof/>
        </w:rPr>
        <w:fldChar w:fldCharType="end"/>
      </w:r>
    </w:p>
    <w:p w14:paraId="13C272F4" w14:textId="00EDD6B6" w:rsidR="00943D38" w:rsidRDefault="00943D38" w:rsidP="00101106">
      <w:pPr>
        <w:pStyle w:val="TOC3"/>
        <w:ind w:right="-40"/>
        <w:rPr>
          <w:rFonts w:eastAsiaTheme="minorEastAsia" w:cstheme="minorBidi"/>
          <w:i w:val="0"/>
          <w:noProof/>
          <w:color w:val="auto"/>
          <w:lang w:val="en-US" w:eastAsia="en-US"/>
        </w:rPr>
      </w:pPr>
      <w:r>
        <w:rPr>
          <w:noProof/>
        </w:rPr>
        <w:t>6.6.2.</w:t>
      </w:r>
      <w:r>
        <w:rPr>
          <w:rFonts w:eastAsiaTheme="minorEastAsia" w:cstheme="minorBidi"/>
          <w:i w:val="0"/>
          <w:noProof/>
          <w:color w:val="auto"/>
          <w:lang w:val="en-US" w:eastAsia="en-US"/>
        </w:rPr>
        <w:tab/>
      </w:r>
      <w:r>
        <w:rPr>
          <w:noProof/>
        </w:rPr>
        <w:t>Trucks, trailers and containers</w:t>
      </w:r>
      <w:r>
        <w:rPr>
          <w:noProof/>
        </w:rPr>
        <w:tab/>
      </w:r>
      <w:r>
        <w:rPr>
          <w:noProof/>
        </w:rPr>
        <w:fldChar w:fldCharType="begin"/>
      </w:r>
      <w:r>
        <w:rPr>
          <w:noProof/>
        </w:rPr>
        <w:instrText xml:space="preserve"> PAGEREF _Toc484164379 \h </w:instrText>
      </w:r>
      <w:r>
        <w:rPr>
          <w:noProof/>
        </w:rPr>
      </w:r>
      <w:r>
        <w:rPr>
          <w:noProof/>
        </w:rPr>
        <w:fldChar w:fldCharType="separate"/>
      </w:r>
      <w:r w:rsidR="00DD3F35">
        <w:rPr>
          <w:noProof/>
        </w:rPr>
        <w:t>60</w:t>
      </w:r>
      <w:r>
        <w:rPr>
          <w:noProof/>
        </w:rPr>
        <w:fldChar w:fldCharType="end"/>
      </w:r>
    </w:p>
    <w:p w14:paraId="25C0C951" w14:textId="3F52B891" w:rsidR="00943D38" w:rsidRDefault="00943D38" w:rsidP="00101106">
      <w:pPr>
        <w:pStyle w:val="TOC2"/>
        <w:tabs>
          <w:tab w:val="clear" w:pos="9015"/>
          <w:tab w:val="right" w:leader="dot" w:pos="9360"/>
        </w:tabs>
        <w:ind w:right="-40"/>
        <w:rPr>
          <w:rFonts w:eastAsiaTheme="minorEastAsia" w:cstheme="minorBidi"/>
          <w:b w:val="0"/>
          <w:smallCaps w:val="0"/>
          <w:color w:val="auto"/>
          <w:lang w:val="en-US" w:eastAsia="en-US"/>
        </w:rPr>
      </w:pPr>
      <w:r>
        <w:t>6.7.</w:t>
      </w:r>
      <w:r>
        <w:rPr>
          <w:rFonts w:eastAsiaTheme="minorEastAsia" w:cstheme="minorBidi"/>
          <w:b w:val="0"/>
          <w:smallCaps w:val="0"/>
          <w:color w:val="auto"/>
          <w:lang w:val="en-US" w:eastAsia="en-US"/>
        </w:rPr>
        <w:tab/>
      </w:r>
      <w:r>
        <w:t>Air-to-air air conditioners and heat pumps</w:t>
      </w:r>
      <w:r>
        <w:tab/>
      </w:r>
      <w:r>
        <w:fldChar w:fldCharType="begin"/>
      </w:r>
      <w:r>
        <w:instrText xml:space="preserve"> PAGEREF _Toc484164380 \h </w:instrText>
      </w:r>
      <w:r>
        <w:fldChar w:fldCharType="separate"/>
      </w:r>
      <w:r w:rsidR="00DD3F35">
        <w:t>60</w:t>
      </w:r>
      <w:r>
        <w:fldChar w:fldCharType="end"/>
      </w:r>
    </w:p>
    <w:p w14:paraId="6FF7F79F" w14:textId="637F7235" w:rsidR="00943D38" w:rsidRDefault="00943D38" w:rsidP="00101106">
      <w:pPr>
        <w:pStyle w:val="TOC2"/>
        <w:tabs>
          <w:tab w:val="clear" w:pos="9015"/>
          <w:tab w:val="right" w:leader="dot" w:pos="9360"/>
        </w:tabs>
        <w:ind w:right="-40"/>
        <w:rPr>
          <w:rFonts w:eastAsiaTheme="minorEastAsia" w:cstheme="minorBidi"/>
          <w:b w:val="0"/>
          <w:smallCaps w:val="0"/>
          <w:color w:val="auto"/>
          <w:lang w:val="en-US" w:eastAsia="en-US"/>
        </w:rPr>
      </w:pPr>
      <w:r>
        <w:t>6.8.</w:t>
      </w:r>
      <w:r>
        <w:rPr>
          <w:rFonts w:eastAsiaTheme="minorEastAsia" w:cstheme="minorBidi"/>
          <w:b w:val="0"/>
          <w:smallCaps w:val="0"/>
          <w:color w:val="auto"/>
          <w:lang w:val="en-US" w:eastAsia="en-US"/>
        </w:rPr>
        <w:tab/>
      </w:r>
      <w:r>
        <w:t>Water heating heat pumps</w:t>
      </w:r>
      <w:r>
        <w:tab/>
      </w:r>
      <w:r>
        <w:fldChar w:fldCharType="begin"/>
      </w:r>
      <w:r>
        <w:instrText xml:space="preserve"> PAGEREF _Toc484164381 \h </w:instrText>
      </w:r>
      <w:r>
        <w:fldChar w:fldCharType="separate"/>
      </w:r>
      <w:r w:rsidR="00DD3F35">
        <w:t>61</w:t>
      </w:r>
      <w:r>
        <w:fldChar w:fldCharType="end"/>
      </w:r>
    </w:p>
    <w:p w14:paraId="16E38EBE" w14:textId="2B4D5743" w:rsidR="00943D38" w:rsidRDefault="00943D38" w:rsidP="00101106">
      <w:pPr>
        <w:pStyle w:val="TOC2"/>
        <w:tabs>
          <w:tab w:val="clear" w:pos="9015"/>
          <w:tab w:val="right" w:leader="dot" w:pos="9360"/>
        </w:tabs>
        <w:ind w:right="-40"/>
        <w:rPr>
          <w:rFonts w:eastAsiaTheme="minorEastAsia" w:cstheme="minorBidi"/>
          <w:b w:val="0"/>
          <w:smallCaps w:val="0"/>
          <w:color w:val="auto"/>
          <w:lang w:val="en-US" w:eastAsia="en-US"/>
        </w:rPr>
      </w:pPr>
      <w:r>
        <w:t>6.9.</w:t>
      </w:r>
      <w:r>
        <w:rPr>
          <w:rFonts w:eastAsiaTheme="minorEastAsia" w:cstheme="minorBidi"/>
          <w:b w:val="0"/>
          <w:smallCaps w:val="0"/>
          <w:color w:val="auto"/>
          <w:lang w:val="en-US" w:eastAsia="en-US"/>
        </w:rPr>
        <w:tab/>
      </w:r>
      <w:r>
        <w:t>Chillers</w:t>
      </w:r>
      <w:r>
        <w:tab/>
      </w:r>
      <w:r>
        <w:fldChar w:fldCharType="begin"/>
      </w:r>
      <w:r>
        <w:instrText xml:space="preserve"> PAGEREF _Toc484164382 \h </w:instrText>
      </w:r>
      <w:r>
        <w:fldChar w:fldCharType="separate"/>
      </w:r>
      <w:r w:rsidR="00DD3F35">
        <w:t>61</w:t>
      </w:r>
      <w:r>
        <w:fldChar w:fldCharType="end"/>
      </w:r>
    </w:p>
    <w:p w14:paraId="32E7CBCB" w14:textId="5119706B" w:rsidR="00943D38" w:rsidRDefault="00943D38" w:rsidP="00101106">
      <w:pPr>
        <w:pStyle w:val="TOC2"/>
        <w:tabs>
          <w:tab w:val="clear" w:pos="9015"/>
          <w:tab w:val="right" w:leader="dot" w:pos="9360"/>
        </w:tabs>
        <w:ind w:right="-40"/>
        <w:rPr>
          <w:rFonts w:eastAsiaTheme="minorEastAsia" w:cstheme="minorBidi"/>
          <w:b w:val="0"/>
          <w:smallCaps w:val="0"/>
          <w:color w:val="auto"/>
          <w:lang w:val="en-US" w:eastAsia="en-US"/>
        </w:rPr>
      </w:pPr>
      <w:r>
        <w:t>6.10.</w:t>
      </w:r>
      <w:r>
        <w:rPr>
          <w:rFonts w:eastAsiaTheme="minorEastAsia" w:cstheme="minorBidi"/>
          <w:b w:val="0"/>
          <w:smallCaps w:val="0"/>
          <w:color w:val="auto"/>
          <w:lang w:val="en-US" w:eastAsia="en-US"/>
        </w:rPr>
        <w:tab/>
      </w:r>
      <w:r>
        <w:t>Mobile air conditioning (MAC)</w:t>
      </w:r>
      <w:r>
        <w:tab/>
      </w:r>
      <w:r>
        <w:fldChar w:fldCharType="begin"/>
      </w:r>
      <w:r>
        <w:instrText xml:space="preserve"> PAGEREF _Toc484164383 \h </w:instrText>
      </w:r>
      <w:r>
        <w:fldChar w:fldCharType="separate"/>
      </w:r>
      <w:r w:rsidR="00DD3F35">
        <w:t>62</w:t>
      </w:r>
      <w:r>
        <w:fldChar w:fldCharType="end"/>
      </w:r>
    </w:p>
    <w:p w14:paraId="0181EA24" w14:textId="57FA92DC" w:rsidR="00943D38" w:rsidRDefault="00943D38" w:rsidP="00101106">
      <w:pPr>
        <w:pStyle w:val="TOC2"/>
        <w:tabs>
          <w:tab w:val="clear" w:pos="9015"/>
          <w:tab w:val="right" w:leader="dot" w:pos="9360"/>
        </w:tabs>
        <w:ind w:right="-40"/>
        <w:rPr>
          <w:rFonts w:eastAsiaTheme="minorEastAsia" w:cstheme="minorBidi"/>
          <w:b w:val="0"/>
          <w:smallCaps w:val="0"/>
          <w:color w:val="auto"/>
          <w:lang w:val="en-US" w:eastAsia="en-US"/>
        </w:rPr>
      </w:pPr>
      <w:r>
        <w:t>6.11.</w:t>
      </w:r>
      <w:r>
        <w:rPr>
          <w:rFonts w:eastAsiaTheme="minorEastAsia" w:cstheme="minorBidi"/>
          <w:b w:val="0"/>
          <w:smallCaps w:val="0"/>
          <w:color w:val="auto"/>
          <w:lang w:val="en-US" w:eastAsia="en-US"/>
        </w:rPr>
        <w:tab/>
      </w:r>
      <w:r>
        <w:t>Sustainable refrigeration</w:t>
      </w:r>
      <w:r>
        <w:tab/>
      </w:r>
      <w:r>
        <w:fldChar w:fldCharType="begin"/>
      </w:r>
      <w:r>
        <w:instrText xml:space="preserve"> PAGEREF _Toc484164384 \h </w:instrText>
      </w:r>
      <w:r>
        <w:fldChar w:fldCharType="separate"/>
      </w:r>
      <w:r w:rsidR="00DD3F35">
        <w:t>63</w:t>
      </w:r>
      <w:r>
        <w:fldChar w:fldCharType="end"/>
      </w:r>
    </w:p>
    <w:p w14:paraId="70000DD0" w14:textId="42E0E188" w:rsidR="00943D38" w:rsidRDefault="00943D38" w:rsidP="00101106">
      <w:pPr>
        <w:pStyle w:val="TOC2"/>
        <w:tabs>
          <w:tab w:val="clear" w:pos="9015"/>
          <w:tab w:val="right" w:leader="dot" w:pos="9360"/>
        </w:tabs>
        <w:ind w:right="-40"/>
        <w:rPr>
          <w:rFonts w:eastAsiaTheme="minorEastAsia" w:cstheme="minorBidi"/>
          <w:b w:val="0"/>
          <w:smallCaps w:val="0"/>
          <w:color w:val="auto"/>
          <w:lang w:val="en-US" w:eastAsia="en-US"/>
        </w:rPr>
      </w:pPr>
      <w:r>
        <w:t>6.12.</w:t>
      </w:r>
      <w:r>
        <w:rPr>
          <w:rFonts w:eastAsiaTheme="minorEastAsia" w:cstheme="minorBidi"/>
          <w:b w:val="0"/>
          <w:smallCaps w:val="0"/>
          <w:color w:val="auto"/>
          <w:lang w:val="en-US" w:eastAsia="en-US"/>
        </w:rPr>
        <w:tab/>
      </w:r>
      <w:r>
        <w:t>Not-in-kind technologies</w:t>
      </w:r>
      <w:r>
        <w:tab/>
      </w:r>
      <w:r>
        <w:fldChar w:fldCharType="begin"/>
      </w:r>
      <w:r>
        <w:instrText xml:space="preserve"> PAGEREF _Toc484164385 \h </w:instrText>
      </w:r>
      <w:r>
        <w:fldChar w:fldCharType="separate"/>
      </w:r>
      <w:r w:rsidR="00DD3F35">
        <w:t>64</w:t>
      </w:r>
      <w:r>
        <w:fldChar w:fldCharType="end"/>
      </w:r>
    </w:p>
    <w:p w14:paraId="4D1EE13E" w14:textId="4838EF8E" w:rsidR="00943D38" w:rsidRDefault="00943D38" w:rsidP="00101106">
      <w:pPr>
        <w:pStyle w:val="TOC2"/>
        <w:tabs>
          <w:tab w:val="clear" w:pos="9015"/>
          <w:tab w:val="right" w:leader="dot" w:pos="9360"/>
        </w:tabs>
        <w:ind w:right="-40"/>
        <w:rPr>
          <w:rFonts w:eastAsiaTheme="minorEastAsia" w:cstheme="minorBidi"/>
          <w:b w:val="0"/>
          <w:smallCaps w:val="0"/>
          <w:color w:val="auto"/>
          <w:lang w:val="en-US" w:eastAsia="en-US"/>
        </w:rPr>
      </w:pPr>
      <w:r>
        <w:t>6.13.</w:t>
      </w:r>
      <w:r>
        <w:rPr>
          <w:rFonts w:eastAsiaTheme="minorEastAsia" w:cstheme="minorBidi"/>
          <w:b w:val="0"/>
          <w:smallCaps w:val="0"/>
          <w:color w:val="auto"/>
          <w:lang w:val="en-US" w:eastAsia="en-US"/>
        </w:rPr>
        <w:tab/>
      </w:r>
      <w:r>
        <w:t>High ambient temperature (HAT)</w:t>
      </w:r>
      <w:r>
        <w:tab/>
      </w:r>
      <w:r>
        <w:fldChar w:fldCharType="begin"/>
      </w:r>
      <w:r>
        <w:instrText xml:space="preserve"> PAGEREF _Toc484164386 \h </w:instrText>
      </w:r>
      <w:r>
        <w:fldChar w:fldCharType="separate"/>
      </w:r>
      <w:r w:rsidR="00DD3F35">
        <w:t>64</w:t>
      </w:r>
      <w:r>
        <w:fldChar w:fldCharType="end"/>
      </w:r>
    </w:p>
    <w:p w14:paraId="34B3F67E" w14:textId="4B4AE98F" w:rsidR="00943D38" w:rsidRDefault="00943D38" w:rsidP="00101106">
      <w:pPr>
        <w:pStyle w:val="TOC2"/>
        <w:tabs>
          <w:tab w:val="clear" w:pos="9015"/>
          <w:tab w:val="right" w:leader="dot" w:pos="9360"/>
        </w:tabs>
        <w:ind w:right="-40"/>
        <w:rPr>
          <w:rFonts w:eastAsiaTheme="minorEastAsia" w:cstheme="minorBidi"/>
          <w:b w:val="0"/>
          <w:smallCaps w:val="0"/>
          <w:color w:val="auto"/>
          <w:lang w:val="en-US" w:eastAsia="en-US"/>
        </w:rPr>
      </w:pPr>
      <w:r>
        <w:t>6.14.</w:t>
      </w:r>
      <w:r>
        <w:rPr>
          <w:rFonts w:eastAsiaTheme="minorEastAsia" w:cstheme="minorBidi"/>
          <w:b w:val="0"/>
          <w:smallCaps w:val="0"/>
          <w:color w:val="auto"/>
          <w:lang w:val="en-US" w:eastAsia="en-US"/>
        </w:rPr>
        <w:tab/>
      </w:r>
      <w:r>
        <w:t>Modelling of RACHP systems</w:t>
      </w:r>
      <w:r>
        <w:tab/>
      </w:r>
      <w:r>
        <w:fldChar w:fldCharType="begin"/>
      </w:r>
      <w:r>
        <w:instrText xml:space="preserve"> PAGEREF _Toc484164387 \h </w:instrText>
      </w:r>
      <w:r>
        <w:fldChar w:fldCharType="separate"/>
      </w:r>
      <w:r w:rsidR="00DD3F35">
        <w:t>64</w:t>
      </w:r>
      <w:r>
        <w:fldChar w:fldCharType="end"/>
      </w:r>
    </w:p>
    <w:p w14:paraId="770419FC" w14:textId="13EEFE06" w:rsidR="00943D38" w:rsidRDefault="00943D38" w:rsidP="008D06EA">
      <w:pPr>
        <w:pStyle w:val="TOC1"/>
        <w:tabs>
          <w:tab w:val="left" w:pos="1260"/>
          <w:tab w:val="right" w:leader="dot" w:pos="9360"/>
        </w:tabs>
        <w:ind w:left="1260" w:right="-40" w:hanging="1260"/>
        <w:rPr>
          <w:rFonts w:eastAsiaTheme="minorEastAsia" w:cstheme="minorBidi"/>
          <w:b w:val="0"/>
          <w:caps w:val="0"/>
          <w:noProof/>
          <w:color w:val="auto"/>
          <w:lang w:val="en-US" w:eastAsia="en-US"/>
        </w:rPr>
      </w:pPr>
      <w:r w:rsidRPr="00814FC6">
        <w:rPr>
          <w:noProof/>
        </w:rPr>
        <w:t>7</w:t>
      </w:r>
      <w:r>
        <w:rPr>
          <w:rFonts w:eastAsiaTheme="minorEastAsia" w:cstheme="minorBidi"/>
          <w:b w:val="0"/>
          <w:caps w:val="0"/>
          <w:noProof/>
          <w:color w:val="auto"/>
          <w:lang w:val="en-US" w:eastAsia="en-US"/>
        </w:rPr>
        <w:tab/>
      </w:r>
      <w:r w:rsidRPr="00814FC6">
        <w:rPr>
          <w:noProof/>
        </w:rPr>
        <w:t>Decision XXVIII/8 Report on Issues Related to the Phase-out of HCFCs</w:t>
      </w:r>
      <w:r>
        <w:rPr>
          <w:noProof/>
        </w:rPr>
        <w:tab/>
      </w:r>
      <w:r>
        <w:rPr>
          <w:noProof/>
        </w:rPr>
        <w:fldChar w:fldCharType="begin"/>
      </w:r>
      <w:r>
        <w:rPr>
          <w:noProof/>
        </w:rPr>
        <w:instrText xml:space="preserve"> PAGEREF _Toc484164388 \h </w:instrText>
      </w:r>
      <w:r>
        <w:rPr>
          <w:noProof/>
        </w:rPr>
      </w:r>
      <w:r>
        <w:rPr>
          <w:noProof/>
        </w:rPr>
        <w:fldChar w:fldCharType="separate"/>
      </w:r>
      <w:r w:rsidR="00DD3F35">
        <w:rPr>
          <w:noProof/>
        </w:rPr>
        <w:t>67</w:t>
      </w:r>
      <w:r>
        <w:rPr>
          <w:noProof/>
        </w:rPr>
        <w:fldChar w:fldCharType="end"/>
      </w:r>
    </w:p>
    <w:p w14:paraId="7365CD0F" w14:textId="5293F54F" w:rsidR="00943D38" w:rsidRDefault="00943D38" w:rsidP="00101106">
      <w:pPr>
        <w:pStyle w:val="TOC2"/>
        <w:tabs>
          <w:tab w:val="clear" w:pos="9015"/>
          <w:tab w:val="right" w:leader="dot" w:pos="9360"/>
        </w:tabs>
        <w:ind w:right="-40"/>
        <w:rPr>
          <w:rFonts w:eastAsiaTheme="minorEastAsia" w:cstheme="minorBidi"/>
          <w:b w:val="0"/>
          <w:smallCaps w:val="0"/>
          <w:color w:val="auto"/>
          <w:lang w:val="en-US" w:eastAsia="en-US"/>
        </w:rPr>
      </w:pPr>
      <w:r>
        <w:t>Executive Summary</w:t>
      </w:r>
      <w:r>
        <w:tab/>
      </w:r>
      <w:r>
        <w:fldChar w:fldCharType="begin"/>
      </w:r>
      <w:r>
        <w:instrText xml:space="preserve"> PAGEREF _Toc484164389 \h </w:instrText>
      </w:r>
      <w:r>
        <w:fldChar w:fldCharType="separate"/>
      </w:r>
      <w:r w:rsidR="00DD3F35">
        <w:t>67</w:t>
      </w:r>
      <w:r>
        <w:fldChar w:fldCharType="end"/>
      </w:r>
    </w:p>
    <w:p w14:paraId="2378A3AC" w14:textId="1136BC55" w:rsidR="00943D38" w:rsidRDefault="00943D38" w:rsidP="00101106">
      <w:pPr>
        <w:pStyle w:val="TOC2"/>
        <w:tabs>
          <w:tab w:val="clear" w:pos="9015"/>
          <w:tab w:val="right" w:leader="dot" w:pos="9360"/>
        </w:tabs>
        <w:ind w:right="-40"/>
        <w:rPr>
          <w:rFonts w:eastAsiaTheme="minorEastAsia" w:cstheme="minorBidi"/>
          <w:b w:val="0"/>
          <w:smallCaps w:val="0"/>
          <w:color w:val="auto"/>
          <w:lang w:val="en-US" w:eastAsia="en-US"/>
        </w:rPr>
      </w:pPr>
      <w:r>
        <w:t>7.1.</w:t>
      </w:r>
      <w:r>
        <w:rPr>
          <w:rFonts w:eastAsiaTheme="minorEastAsia" w:cstheme="minorBidi"/>
          <w:b w:val="0"/>
          <w:smallCaps w:val="0"/>
          <w:color w:val="auto"/>
          <w:lang w:val="en-US" w:eastAsia="en-US"/>
        </w:rPr>
        <w:tab/>
      </w:r>
      <w:r>
        <w:t>Decision XXVIII/8 and TEAP’s approach to this response</w:t>
      </w:r>
      <w:r>
        <w:tab/>
      </w:r>
      <w:r>
        <w:fldChar w:fldCharType="begin"/>
      </w:r>
      <w:r>
        <w:instrText xml:space="preserve"> PAGEREF _Toc484164390 \h </w:instrText>
      </w:r>
      <w:r>
        <w:fldChar w:fldCharType="separate"/>
      </w:r>
      <w:r w:rsidR="00DD3F35">
        <w:t>68</w:t>
      </w:r>
      <w:r>
        <w:fldChar w:fldCharType="end"/>
      </w:r>
    </w:p>
    <w:p w14:paraId="662BD4A0" w14:textId="7BE3BA2E" w:rsidR="00943D38" w:rsidRDefault="00943D38" w:rsidP="00101106">
      <w:pPr>
        <w:pStyle w:val="TOC2"/>
        <w:tabs>
          <w:tab w:val="clear" w:pos="9015"/>
          <w:tab w:val="right" w:leader="dot" w:pos="9360"/>
        </w:tabs>
        <w:ind w:right="-40"/>
        <w:rPr>
          <w:rFonts w:eastAsiaTheme="minorEastAsia" w:cstheme="minorBidi"/>
          <w:b w:val="0"/>
          <w:smallCaps w:val="0"/>
          <w:color w:val="auto"/>
          <w:lang w:val="en-US" w:eastAsia="en-US"/>
        </w:rPr>
      </w:pPr>
      <w:r>
        <w:lastRenderedPageBreak/>
        <w:t>7.2.</w:t>
      </w:r>
      <w:r>
        <w:rPr>
          <w:rFonts w:eastAsiaTheme="minorEastAsia" w:cstheme="minorBidi"/>
          <w:b w:val="0"/>
          <w:smallCaps w:val="0"/>
          <w:color w:val="auto"/>
          <w:lang w:val="en-US" w:eastAsia="en-US"/>
        </w:rPr>
        <w:tab/>
      </w:r>
      <w:r>
        <w:t>Update for HCFC production for BDN</w:t>
      </w:r>
      <w:r>
        <w:tab/>
      </w:r>
      <w:r>
        <w:fldChar w:fldCharType="begin"/>
      </w:r>
      <w:r>
        <w:instrText xml:space="preserve"> PAGEREF _Toc484164391 \h </w:instrText>
      </w:r>
      <w:r>
        <w:fldChar w:fldCharType="separate"/>
      </w:r>
      <w:r w:rsidR="00DD3F35">
        <w:t>69</w:t>
      </w:r>
      <w:r>
        <w:fldChar w:fldCharType="end"/>
      </w:r>
    </w:p>
    <w:p w14:paraId="3A88E17B" w14:textId="6A6A647B" w:rsidR="00943D38" w:rsidRDefault="00943D38" w:rsidP="00101106">
      <w:pPr>
        <w:pStyle w:val="TOC2"/>
        <w:tabs>
          <w:tab w:val="clear" w:pos="9015"/>
          <w:tab w:val="right" w:leader="dot" w:pos="9360"/>
        </w:tabs>
        <w:ind w:right="-40"/>
        <w:rPr>
          <w:rFonts w:eastAsiaTheme="minorEastAsia" w:cstheme="minorBidi"/>
          <w:b w:val="0"/>
          <w:smallCaps w:val="0"/>
          <w:color w:val="auto"/>
          <w:lang w:val="en-US" w:eastAsia="en-US"/>
        </w:rPr>
      </w:pPr>
      <w:r>
        <w:t>7.3.</w:t>
      </w:r>
      <w:r>
        <w:rPr>
          <w:rFonts w:eastAsiaTheme="minorEastAsia" w:cstheme="minorBidi"/>
          <w:b w:val="0"/>
          <w:smallCaps w:val="0"/>
          <w:color w:val="auto"/>
          <w:lang w:val="en-US" w:eastAsia="en-US"/>
        </w:rPr>
        <w:tab/>
      </w:r>
      <w:r>
        <w:t>Update on servicing needs and essential uses</w:t>
      </w:r>
      <w:r>
        <w:tab/>
      </w:r>
      <w:r>
        <w:fldChar w:fldCharType="begin"/>
      </w:r>
      <w:r>
        <w:instrText xml:space="preserve"> PAGEREF _Toc484164392 \h </w:instrText>
      </w:r>
      <w:r>
        <w:fldChar w:fldCharType="separate"/>
      </w:r>
      <w:r w:rsidR="00DD3F35">
        <w:t>69</w:t>
      </w:r>
      <w:r>
        <w:fldChar w:fldCharType="end"/>
      </w:r>
    </w:p>
    <w:p w14:paraId="303EFFFB" w14:textId="0E9DA092" w:rsidR="00943D38" w:rsidRDefault="00943D38" w:rsidP="00101106">
      <w:pPr>
        <w:pStyle w:val="TOC3"/>
        <w:ind w:right="-40"/>
        <w:rPr>
          <w:rFonts w:eastAsiaTheme="minorEastAsia" w:cstheme="minorBidi"/>
          <w:i w:val="0"/>
          <w:noProof/>
          <w:color w:val="auto"/>
          <w:lang w:val="en-US" w:eastAsia="en-US"/>
        </w:rPr>
      </w:pPr>
      <w:r>
        <w:rPr>
          <w:noProof/>
        </w:rPr>
        <w:t>7.3.1.</w:t>
      </w:r>
      <w:r>
        <w:rPr>
          <w:rFonts w:eastAsiaTheme="minorEastAsia" w:cstheme="minorBidi"/>
          <w:i w:val="0"/>
          <w:noProof/>
          <w:color w:val="auto"/>
          <w:lang w:val="en-US" w:eastAsia="en-US"/>
        </w:rPr>
        <w:tab/>
      </w:r>
      <w:r>
        <w:rPr>
          <w:noProof/>
        </w:rPr>
        <w:t>Fire protection</w:t>
      </w:r>
      <w:r>
        <w:rPr>
          <w:noProof/>
        </w:rPr>
        <w:tab/>
      </w:r>
      <w:r>
        <w:rPr>
          <w:noProof/>
        </w:rPr>
        <w:fldChar w:fldCharType="begin"/>
      </w:r>
      <w:r>
        <w:rPr>
          <w:noProof/>
        </w:rPr>
        <w:instrText xml:space="preserve"> PAGEREF _Toc484164393 \h </w:instrText>
      </w:r>
      <w:r>
        <w:rPr>
          <w:noProof/>
        </w:rPr>
      </w:r>
      <w:r>
        <w:rPr>
          <w:noProof/>
        </w:rPr>
        <w:fldChar w:fldCharType="separate"/>
      </w:r>
      <w:r w:rsidR="00DD3F35">
        <w:rPr>
          <w:noProof/>
        </w:rPr>
        <w:t>69</w:t>
      </w:r>
      <w:r>
        <w:rPr>
          <w:noProof/>
        </w:rPr>
        <w:fldChar w:fldCharType="end"/>
      </w:r>
    </w:p>
    <w:p w14:paraId="7BEF00EB" w14:textId="5025CB5E" w:rsidR="00943D38" w:rsidRDefault="00943D38" w:rsidP="00101106">
      <w:pPr>
        <w:pStyle w:val="TOC3"/>
        <w:ind w:right="-40"/>
        <w:rPr>
          <w:rFonts w:eastAsiaTheme="minorEastAsia" w:cstheme="minorBidi"/>
          <w:i w:val="0"/>
          <w:noProof/>
          <w:color w:val="auto"/>
          <w:lang w:val="en-US" w:eastAsia="en-US"/>
        </w:rPr>
      </w:pPr>
      <w:r>
        <w:rPr>
          <w:noProof/>
        </w:rPr>
        <w:t>7.3.2.</w:t>
      </w:r>
      <w:r>
        <w:rPr>
          <w:rFonts w:eastAsiaTheme="minorEastAsia" w:cstheme="minorBidi"/>
          <w:i w:val="0"/>
          <w:noProof/>
          <w:color w:val="auto"/>
          <w:lang w:val="en-US" w:eastAsia="en-US"/>
        </w:rPr>
        <w:tab/>
      </w:r>
      <w:r>
        <w:rPr>
          <w:noProof/>
        </w:rPr>
        <w:t>Foams</w:t>
      </w:r>
      <w:r>
        <w:rPr>
          <w:noProof/>
        </w:rPr>
        <w:tab/>
      </w:r>
      <w:r>
        <w:rPr>
          <w:noProof/>
        </w:rPr>
        <w:fldChar w:fldCharType="begin"/>
      </w:r>
      <w:r>
        <w:rPr>
          <w:noProof/>
        </w:rPr>
        <w:instrText xml:space="preserve"> PAGEREF _Toc484164394 \h </w:instrText>
      </w:r>
      <w:r>
        <w:rPr>
          <w:noProof/>
        </w:rPr>
      </w:r>
      <w:r>
        <w:rPr>
          <w:noProof/>
        </w:rPr>
        <w:fldChar w:fldCharType="separate"/>
      </w:r>
      <w:r w:rsidR="00DD3F35">
        <w:rPr>
          <w:noProof/>
        </w:rPr>
        <w:t>69</w:t>
      </w:r>
      <w:r>
        <w:rPr>
          <w:noProof/>
        </w:rPr>
        <w:fldChar w:fldCharType="end"/>
      </w:r>
    </w:p>
    <w:p w14:paraId="1B03352E" w14:textId="54F7B62E" w:rsidR="00943D38" w:rsidRDefault="00943D38" w:rsidP="00101106">
      <w:pPr>
        <w:pStyle w:val="TOC3"/>
        <w:ind w:right="-40"/>
        <w:rPr>
          <w:rFonts w:eastAsiaTheme="minorEastAsia" w:cstheme="minorBidi"/>
          <w:i w:val="0"/>
          <w:noProof/>
          <w:color w:val="auto"/>
          <w:lang w:val="en-US" w:eastAsia="en-US"/>
        </w:rPr>
      </w:pPr>
      <w:r>
        <w:rPr>
          <w:noProof/>
        </w:rPr>
        <w:t>7.3.3.</w:t>
      </w:r>
      <w:r>
        <w:rPr>
          <w:rFonts w:eastAsiaTheme="minorEastAsia" w:cstheme="minorBidi"/>
          <w:i w:val="0"/>
          <w:noProof/>
          <w:color w:val="auto"/>
          <w:lang w:val="en-US" w:eastAsia="en-US"/>
        </w:rPr>
        <w:tab/>
      </w:r>
      <w:r>
        <w:rPr>
          <w:noProof/>
        </w:rPr>
        <w:t>RAC</w:t>
      </w:r>
      <w:r>
        <w:rPr>
          <w:noProof/>
        </w:rPr>
        <w:tab/>
      </w:r>
      <w:r>
        <w:rPr>
          <w:noProof/>
        </w:rPr>
        <w:fldChar w:fldCharType="begin"/>
      </w:r>
      <w:r>
        <w:rPr>
          <w:noProof/>
        </w:rPr>
        <w:instrText xml:space="preserve"> PAGEREF _Toc484164395 \h </w:instrText>
      </w:r>
      <w:r>
        <w:rPr>
          <w:noProof/>
        </w:rPr>
      </w:r>
      <w:r>
        <w:rPr>
          <w:noProof/>
        </w:rPr>
        <w:fldChar w:fldCharType="separate"/>
      </w:r>
      <w:r w:rsidR="00DD3F35">
        <w:rPr>
          <w:noProof/>
        </w:rPr>
        <w:t>69</w:t>
      </w:r>
      <w:r>
        <w:rPr>
          <w:noProof/>
        </w:rPr>
        <w:fldChar w:fldCharType="end"/>
      </w:r>
    </w:p>
    <w:p w14:paraId="651BD849" w14:textId="3E14E52B" w:rsidR="00943D38" w:rsidRDefault="00943D38" w:rsidP="00101106">
      <w:pPr>
        <w:pStyle w:val="TOC3"/>
        <w:ind w:right="-40"/>
        <w:rPr>
          <w:rFonts w:eastAsiaTheme="minorEastAsia" w:cstheme="minorBidi"/>
          <w:i w:val="0"/>
          <w:noProof/>
          <w:color w:val="auto"/>
          <w:lang w:val="en-US" w:eastAsia="en-US"/>
        </w:rPr>
      </w:pPr>
      <w:r>
        <w:rPr>
          <w:noProof/>
        </w:rPr>
        <w:t>7.3.4.</w:t>
      </w:r>
      <w:r>
        <w:rPr>
          <w:rFonts w:eastAsiaTheme="minorEastAsia" w:cstheme="minorBidi"/>
          <w:i w:val="0"/>
          <w:noProof/>
          <w:color w:val="auto"/>
          <w:lang w:val="en-US" w:eastAsia="en-US"/>
        </w:rPr>
        <w:tab/>
      </w:r>
      <w:r>
        <w:rPr>
          <w:noProof/>
        </w:rPr>
        <w:t>Medical applications and chemical sectors</w:t>
      </w:r>
      <w:r>
        <w:rPr>
          <w:noProof/>
        </w:rPr>
        <w:tab/>
      </w:r>
      <w:r>
        <w:rPr>
          <w:noProof/>
        </w:rPr>
        <w:fldChar w:fldCharType="begin"/>
      </w:r>
      <w:r>
        <w:rPr>
          <w:noProof/>
        </w:rPr>
        <w:instrText xml:space="preserve"> PAGEREF _Toc484164396 \h </w:instrText>
      </w:r>
      <w:r>
        <w:rPr>
          <w:noProof/>
        </w:rPr>
      </w:r>
      <w:r>
        <w:rPr>
          <w:noProof/>
        </w:rPr>
        <w:fldChar w:fldCharType="separate"/>
      </w:r>
      <w:r w:rsidR="00DD3F35">
        <w:rPr>
          <w:noProof/>
        </w:rPr>
        <w:t>70</w:t>
      </w:r>
      <w:r>
        <w:rPr>
          <w:noProof/>
        </w:rPr>
        <w:fldChar w:fldCharType="end"/>
      </w:r>
    </w:p>
    <w:p w14:paraId="784559A8" w14:textId="42A87006" w:rsidR="00943D38" w:rsidRDefault="00943D38" w:rsidP="00101106">
      <w:pPr>
        <w:pStyle w:val="TOC2"/>
        <w:tabs>
          <w:tab w:val="clear" w:pos="9015"/>
          <w:tab w:val="right" w:leader="dot" w:pos="9360"/>
        </w:tabs>
        <w:ind w:right="-40"/>
        <w:rPr>
          <w:rFonts w:eastAsiaTheme="minorEastAsia" w:cstheme="minorBidi"/>
          <w:b w:val="0"/>
          <w:smallCaps w:val="0"/>
          <w:color w:val="auto"/>
          <w:lang w:val="en-US" w:eastAsia="en-US"/>
        </w:rPr>
      </w:pPr>
      <w:r>
        <w:t>Annex 2:</w:t>
      </w:r>
      <w:r>
        <w:rPr>
          <w:rFonts w:eastAsiaTheme="minorEastAsia" w:cstheme="minorBidi"/>
          <w:b w:val="0"/>
          <w:smallCaps w:val="0"/>
          <w:color w:val="auto"/>
          <w:lang w:val="en-US" w:eastAsia="en-US"/>
        </w:rPr>
        <w:tab/>
      </w:r>
      <w:r>
        <w:t xml:space="preserve"> Parties’ submissions in response to Decision XXVIII/8</w:t>
      </w:r>
      <w:r>
        <w:tab/>
      </w:r>
      <w:r>
        <w:fldChar w:fldCharType="begin"/>
      </w:r>
      <w:r>
        <w:instrText xml:space="preserve"> PAGEREF _Toc484164397 \h </w:instrText>
      </w:r>
      <w:r>
        <w:fldChar w:fldCharType="separate"/>
      </w:r>
      <w:r w:rsidR="00DD3F35">
        <w:t>72</w:t>
      </w:r>
      <w:r>
        <w:fldChar w:fldCharType="end"/>
      </w:r>
    </w:p>
    <w:p w14:paraId="178D8CE0" w14:textId="52DE6202" w:rsidR="00943D38" w:rsidRDefault="00943D38" w:rsidP="00101106">
      <w:pPr>
        <w:pStyle w:val="TOC1"/>
        <w:tabs>
          <w:tab w:val="left" w:pos="1260"/>
          <w:tab w:val="right" w:leader="dot" w:pos="9360"/>
        </w:tabs>
        <w:ind w:right="-40"/>
        <w:rPr>
          <w:rFonts w:eastAsiaTheme="minorEastAsia" w:cstheme="minorBidi"/>
          <w:b w:val="0"/>
          <w:caps w:val="0"/>
          <w:noProof/>
          <w:color w:val="auto"/>
          <w:lang w:val="en-US" w:eastAsia="en-US"/>
        </w:rPr>
      </w:pPr>
      <w:r w:rsidRPr="00814FC6">
        <w:rPr>
          <w:noProof/>
        </w:rPr>
        <w:t xml:space="preserve">8 </w:t>
      </w:r>
      <w:r>
        <w:rPr>
          <w:rFonts w:eastAsiaTheme="minorEastAsia" w:cstheme="minorBidi"/>
          <w:b w:val="0"/>
          <w:caps w:val="0"/>
          <w:noProof/>
          <w:color w:val="auto"/>
          <w:lang w:val="en-US" w:eastAsia="en-US"/>
        </w:rPr>
        <w:tab/>
      </w:r>
      <w:r w:rsidRPr="00814FC6">
        <w:rPr>
          <w:noProof/>
        </w:rPr>
        <w:t>Other TEAP matters</w:t>
      </w:r>
      <w:r>
        <w:rPr>
          <w:noProof/>
        </w:rPr>
        <w:tab/>
      </w:r>
      <w:r>
        <w:rPr>
          <w:noProof/>
        </w:rPr>
        <w:fldChar w:fldCharType="begin"/>
      </w:r>
      <w:r>
        <w:rPr>
          <w:noProof/>
        </w:rPr>
        <w:instrText xml:space="preserve"> PAGEREF _Toc484164398 \h </w:instrText>
      </w:r>
      <w:r>
        <w:rPr>
          <w:noProof/>
        </w:rPr>
      </w:r>
      <w:r>
        <w:rPr>
          <w:noProof/>
        </w:rPr>
        <w:fldChar w:fldCharType="separate"/>
      </w:r>
      <w:r w:rsidR="00DD3F35">
        <w:rPr>
          <w:noProof/>
        </w:rPr>
        <w:t>73</w:t>
      </w:r>
      <w:r>
        <w:rPr>
          <w:noProof/>
        </w:rPr>
        <w:fldChar w:fldCharType="end"/>
      </w:r>
    </w:p>
    <w:p w14:paraId="2C62372E" w14:textId="3862B9AC" w:rsidR="00943D38" w:rsidRDefault="00943D38" w:rsidP="00101106">
      <w:pPr>
        <w:pStyle w:val="TOC2"/>
        <w:tabs>
          <w:tab w:val="clear" w:pos="9015"/>
          <w:tab w:val="right" w:leader="dot" w:pos="9360"/>
        </w:tabs>
        <w:ind w:right="-40"/>
        <w:rPr>
          <w:rFonts w:eastAsiaTheme="minorEastAsia" w:cstheme="minorBidi"/>
          <w:b w:val="0"/>
          <w:smallCaps w:val="0"/>
          <w:color w:val="auto"/>
          <w:lang w:val="en-US" w:eastAsia="en-US"/>
        </w:rPr>
      </w:pPr>
      <w:r>
        <w:t>8.1</w:t>
      </w:r>
      <w:r>
        <w:rPr>
          <w:rFonts w:eastAsiaTheme="minorEastAsia" w:cstheme="minorBidi"/>
          <w:b w:val="0"/>
          <w:smallCaps w:val="0"/>
          <w:color w:val="auto"/>
          <w:lang w:val="en-US" w:eastAsia="en-US"/>
        </w:rPr>
        <w:tab/>
      </w:r>
      <w:r>
        <w:t>TEAP and TOCs organisation</w:t>
      </w:r>
      <w:r>
        <w:tab/>
      </w:r>
      <w:r>
        <w:fldChar w:fldCharType="begin"/>
      </w:r>
      <w:r>
        <w:instrText xml:space="preserve"> PAGEREF _Toc484164399 \h </w:instrText>
      </w:r>
      <w:r>
        <w:fldChar w:fldCharType="separate"/>
      </w:r>
      <w:r w:rsidR="00DD3F35">
        <w:t>73</w:t>
      </w:r>
      <w:r>
        <w:fldChar w:fldCharType="end"/>
      </w:r>
    </w:p>
    <w:p w14:paraId="4EEBB654" w14:textId="3E79D83F" w:rsidR="00943D38" w:rsidRDefault="00943D38" w:rsidP="00101106">
      <w:pPr>
        <w:pStyle w:val="TOC3"/>
        <w:ind w:right="-40"/>
        <w:rPr>
          <w:rFonts w:eastAsiaTheme="minorEastAsia" w:cstheme="minorBidi"/>
          <w:i w:val="0"/>
          <w:noProof/>
          <w:color w:val="auto"/>
          <w:lang w:val="en-US" w:eastAsia="en-US"/>
        </w:rPr>
      </w:pPr>
      <w:r>
        <w:rPr>
          <w:noProof/>
        </w:rPr>
        <w:t>8.1.1</w:t>
      </w:r>
      <w:r>
        <w:rPr>
          <w:rFonts w:eastAsiaTheme="minorEastAsia" w:cstheme="minorBidi"/>
          <w:i w:val="0"/>
          <w:noProof/>
          <w:color w:val="auto"/>
          <w:lang w:val="en-US" w:eastAsia="en-US"/>
        </w:rPr>
        <w:tab/>
      </w:r>
      <w:r>
        <w:rPr>
          <w:noProof/>
        </w:rPr>
        <w:t>FTOC</w:t>
      </w:r>
      <w:r>
        <w:rPr>
          <w:noProof/>
        </w:rPr>
        <w:tab/>
      </w:r>
      <w:r>
        <w:rPr>
          <w:noProof/>
        </w:rPr>
        <w:fldChar w:fldCharType="begin"/>
      </w:r>
      <w:r>
        <w:rPr>
          <w:noProof/>
        </w:rPr>
        <w:instrText xml:space="preserve"> PAGEREF _Toc484164400 \h </w:instrText>
      </w:r>
      <w:r>
        <w:rPr>
          <w:noProof/>
        </w:rPr>
      </w:r>
      <w:r>
        <w:rPr>
          <w:noProof/>
        </w:rPr>
        <w:fldChar w:fldCharType="separate"/>
      </w:r>
      <w:r w:rsidR="00DD3F35">
        <w:rPr>
          <w:noProof/>
        </w:rPr>
        <w:t>73</w:t>
      </w:r>
      <w:r>
        <w:rPr>
          <w:noProof/>
        </w:rPr>
        <w:fldChar w:fldCharType="end"/>
      </w:r>
    </w:p>
    <w:p w14:paraId="43BE8D75" w14:textId="6369BDC7" w:rsidR="00943D38" w:rsidRDefault="00943D38" w:rsidP="00101106">
      <w:pPr>
        <w:pStyle w:val="TOC3"/>
        <w:ind w:right="-40"/>
        <w:rPr>
          <w:rFonts w:eastAsiaTheme="minorEastAsia" w:cstheme="minorBidi"/>
          <w:i w:val="0"/>
          <w:noProof/>
          <w:color w:val="auto"/>
          <w:lang w:val="en-US" w:eastAsia="en-US"/>
        </w:rPr>
      </w:pPr>
      <w:r>
        <w:rPr>
          <w:noProof/>
        </w:rPr>
        <w:t>8.1.2</w:t>
      </w:r>
      <w:r>
        <w:rPr>
          <w:rFonts w:eastAsiaTheme="minorEastAsia" w:cstheme="minorBidi"/>
          <w:i w:val="0"/>
          <w:noProof/>
          <w:color w:val="auto"/>
          <w:lang w:val="en-US" w:eastAsia="en-US"/>
        </w:rPr>
        <w:tab/>
      </w:r>
      <w:r>
        <w:rPr>
          <w:noProof/>
        </w:rPr>
        <w:t>HTOC</w:t>
      </w:r>
      <w:r>
        <w:rPr>
          <w:noProof/>
        </w:rPr>
        <w:tab/>
      </w:r>
      <w:r>
        <w:rPr>
          <w:noProof/>
        </w:rPr>
        <w:fldChar w:fldCharType="begin"/>
      </w:r>
      <w:r>
        <w:rPr>
          <w:noProof/>
        </w:rPr>
        <w:instrText xml:space="preserve"> PAGEREF _Toc484164401 \h </w:instrText>
      </w:r>
      <w:r>
        <w:rPr>
          <w:noProof/>
        </w:rPr>
      </w:r>
      <w:r>
        <w:rPr>
          <w:noProof/>
        </w:rPr>
        <w:fldChar w:fldCharType="separate"/>
      </w:r>
      <w:r w:rsidR="00DD3F35">
        <w:rPr>
          <w:noProof/>
        </w:rPr>
        <w:t>73</w:t>
      </w:r>
      <w:r>
        <w:rPr>
          <w:noProof/>
        </w:rPr>
        <w:fldChar w:fldCharType="end"/>
      </w:r>
    </w:p>
    <w:p w14:paraId="00458C49" w14:textId="6AA273C6" w:rsidR="00943D38" w:rsidRDefault="00943D38" w:rsidP="00101106">
      <w:pPr>
        <w:pStyle w:val="TOC3"/>
        <w:ind w:right="-40"/>
        <w:rPr>
          <w:rFonts w:eastAsiaTheme="minorEastAsia" w:cstheme="minorBidi"/>
          <w:i w:val="0"/>
          <w:noProof/>
          <w:color w:val="auto"/>
          <w:lang w:val="en-US" w:eastAsia="en-US"/>
        </w:rPr>
      </w:pPr>
      <w:r>
        <w:rPr>
          <w:noProof/>
        </w:rPr>
        <w:t>8.1.3</w:t>
      </w:r>
      <w:r>
        <w:rPr>
          <w:rFonts w:eastAsiaTheme="minorEastAsia" w:cstheme="minorBidi"/>
          <w:i w:val="0"/>
          <w:noProof/>
          <w:color w:val="auto"/>
          <w:lang w:val="en-US" w:eastAsia="en-US"/>
        </w:rPr>
        <w:tab/>
      </w:r>
      <w:r>
        <w:rPr>
          <w:noProof/>
        </w:rPr>
        <w:t>MBTOC</w:t>
      </w:r>
      <w:r>
        <w:rPr>
          <w:noProof/>
        </w:rPr>
        <w:tab/>
      </w:r>
      <w:r>
        <w:rPr>
          <w:noProof/>
        </w:rPr>
        <w:fldChar w:fldCharType="begin"/>
      </w:r>
      <w:r>
        <w:rPr>
          <w:noProof/>
        </w:rPr>
        <w:instrText xml:space="preserve"> PAGEREF _Toc484164402 \h </w:instrText>
      </w:r>
      <w:r>
        <w:rPr>
          <w:noProof/>
        </w:rPr>
      </w:r>
      <w:r>
        <w:rPr>
          <w:noProof/>
        </w:rPr>
        <w:fldChar w:fldCharType="separate"/>
      </w:r>
      <w:r w:rsidR="00DD3F35">
        <w:rPr>
          <w:noProof/>
        </w:rPr>
        <w:t>73</w:t>
      </w:r>
      <w:r>
        <w:rPr>
          <w:noProof/>
        </w:rPr>
        <w:fldChar w:fldCharType="end"/>
      </w:r>
    </w:p>
    <w:p w14:paraId="07238AA4" w14:textId="75407620" w:rsidR="00943D38" w:rsidRDefault="00943D38" w:rsidP="00101106">
      <w:pPr>
        <w:pStyle w:val="TOC3"/>
        <w:ind w:right="-40"/>
        <w:rPr>
          <w:rFonts w:eastAsiaTheme="minorEastAsia" w:cstheme="minorBidi"/>
          <w:i w:val="0"/>
          <w:noProof/>
          <w:color w:val="auto"/>
          <w:lang w:val="en-US" w:eastAsia="en-US"/>
        </w:rPr>
      </w:pPr>
      <w:r>
        <w:rPr>
          <w:noProof/>
        </w:rPr>
        <w:t>8.1.4</w:t>
      </w:r>
      <w:r>
        <w:rPr>
          <w:rFonts w:eastAsiaTheme="minorEastAsia" w:cstheme="minorBidi"/>
          <w:i w:val="0"/>
          <w:noProof/>
          <w:color w:val="auto"/>
          <w:lang w:val="en-US" w:eastAsia="en-US"/>
        </w:rPr>
        <w:tab/>
      </w:r>
      <w:r>
        <w:rPr>
          <w:noProof/>
        </w:rPr>
        <w:t>MCTOC</w:t>
      </w:r>
      <w:r>
        <w:rPr>
          <w:noProof/>
        </w:rPr>
        <w:tab/>
      </w:r>
      <w:r>
        <w:rPr>
          <w:noProof/>
        </w:rPr>
        <w:fldChar w:fldCharType="begin"/>
      </w:r>
      <w:r>
        <w:rPr>
          <w:noProof/>
        </w:rPr>
        <w:instrText xml:space="preserve"> PAGEREF _Toc484164403 \h </w:instrText>
      </w:r>
      <w:r>
        <w:rPr>
          <w:noProof/>
        </w:rPr>
      </w:r>
      <w:r>
        <w:rPr>
          <w:noProof/>
        </w:rPr>
        <w:fldChar w:fldCharType="separate"/>
      </w:r>
      <w:r w:rsidR="00DD3F35">
        <w:rPr>
          <w:noProof/>
        </w:rPr>
        <w:t>74</w:t>
      </w:r>
      <w:r>
        <w:rPr>
          <w:noProof/>
        </w:rPr>
        <w:fldChar w:fldCharType="end"/>
      </w:r>
    </w:p>
    <w:p w14:paraId="798A58F1" w14:textId="4500ABDA" w:rsidR="00943D38" w:rsidRDefault="00943D38" w:rsidP="00101106">
      <w:pPr>
        <w:pStyle w:val="TOC3"/>
        <w:ind w:right="-40"/>
        <w:rPr>
          <w:rFonts w:eastAsiaTheme="minorEastAsia" w:cstheme="minorBidi"/>
          <w:i w:val="0"/>
          <w:noProof/>
          <w:color w:val="auto"/>
          <w:lang w:val="en-US" w:eastAsia="en-US"/>
        </w:rPr>
      </w:pPr>
      <w:r>
        <w:rPr>
          <w:noProof/>
        </w:rPr>
        <w:t>8.1.5</w:t>
      </w:r>
      <w:r>
        <w:rPr>
          <w:rFonts w:eastAsiaTheme="minorEastAsia" w:cstheme="minorBidi"/>
          <w:i w:val="0"/>
          <w:noProof/>
          <w:color w:val="auto"/>
          <w:lang w:val="en-US" w:eastAsia="en-US"/>
        </w:rPr>
        <w:tab/>
      </w:r>
      <w:r>
        <w:rPr>
          <w:noProof/>
        </w:rPr>
        <w:t>RTOC</w:t>
      </w:r>
      <w:r>
        <w:rPr>
          <w:noProof/>
        </w:rPr>
        <w:tab/>
      </w:r>
      <w:r>
        <w:rPr>
          <w:noProof/>
        </w:rPr>
        <w:fldChar w:fldCharType="begin"/>
      </w:r>
      <w:r>
        <w:rPr>
          <w:noProof/>
        </w:rPr>
        <w:instrText xml:space="preserve"> PAGEREF _Toc484164404 \h </w:instrText>
      </w:r>
      <w:r>
        <w:rPr>
          <w:noProof/>
        </w:rPr>
      </w:r>
      <w:r>
        <w:rPr>
          <w:noProof/>
        </w:rPr>
        <w:fldChar w:fldCharType="separate"/>
      </w:r>
      <w:r w:rsidR="00DD3F35">
        <w:rPr>
          <w:noProof/>
        </w:rPr>
        <w:t>74</w:t>
      </w:r>
      <w:r>
        <w:rPr>
          <w:noProof/>
        </w:rPr>
        <w:fldChar w:fldCharType="end"/>
      </w:r>
    </w:p>
    <w:p w14:paraId="4B8319F0" w14:textId="45CD9832" w:rsidR="00943D38" w:rsidRDefault="00943D38" w:rsidP="00101106">
      <w:pPr>
        <w:pStyle w:val="TOC3"/>
        <w:ind w:right="-40"/>
        <w:rPr>
          <w:rFonts w:eastAsiaTheme="minorEastAsia" w:cstheme="minorBidi"/>
          <w:i w:val="0"/>
          <w:noProof/>
          <w:color w:val="auto"/>
          <w:lang w:val="en-US" w:eastAsia="en-US"/>
        </w:rPr>
      </w:pPr>
      <w:r>
        <w:rPr>
          <w:noProof/>
        </w:rPr>
        <w:t>8.1.6.</w:t>
      </w:r>
      <w:r>
        <w:rPr>
          <w:rFonts w:eastAsiaTheme="minorEastAsia" w:cstheme="minorBidi"/>
          <w:i w:val="0"/>
          <w:noProof/>
          <w:color w:val="auto"/>
          <w:lang w:val="en-US" w:eastAsia="en-US"/>
        </w:rPr>
        <w:tab/>
      </w:r>
      <w:r>
        <w:rPr>
          <w:noProof/>
        </w:rPr>
        <w:t>Senior Experts</w:t>
      </w:r>
      <w:r>
        <w:rPr>
          <w:noProof/>
        </w:rPr>
        <w:tab/>
      </w:r>
      <w:r>
        <w:rPr>
          <w:noProof/>
        </w:rPr>
        <w:fldChar w:fldCharType="begin"/>
      </w:r>
      <w:r>
        <w:rPr>
          <w:noProof/>
        </w:rPr>
        <w:instrText xml:space="preserve"> PAGEREF _Toc484164405 \h </w:instrText>
      </w:r>
      <w:r>
        <w:rPr>
          <w:noProof/>
        </w:rPr>
      </w:r>
      <w:r>
        <w:rPr>
          <w:noProof/>
        </w:rPr>
        <w:fldChar w:fldCharType="separate"/>
      </w:r>
      <w:r w:rsidR="00DD3F35">
        <w:rPr>
          <w:noProof/>
        </w:rPr>
        <w:t>74</w:t>
      </w:r>
      <w:r>
        <w:rPr>
          <w:noProof/>
        </w:rPr>
        <w:fldChar w:fldCharType="end"/>
      </w:r>
    </w:p>
    <w:p w14:paraId="7F86FB9A" w14:textId="7B54935F" w:rsidR="00943D38" w:rsidRDefault="00943D38" w:rsidP="00101106">
      <w:pPr>
        <w:pStyle w:val="TOC2"/>
        <w:tabs>
          <w:tab w:val="clear" w:pos="9015"/>
          <w:tab w:val="right" w:leader="dot" w:pos="9360"/>
        </w:tabs>
        <w:ind w:right="-40"/>
        <w:rPr>
          <w:rFonts w:eastAsiaTheme="minorEastAsia" w:cstheme="minorBidi"/>
          <w:b w:val="0"/>
          <w:smallCaps w:val="0"/>
          <w:color w:val="auto"/>
          <w:lang w:val="en-US" w:eastAsia="en-US"/>
        </w:rPr>
      </w:pPr>
      <w:r>
        <w:t>8.2</w:t>
      </w:r>
      <w:r>
        <w:rPr>
          <w:rFonts w:eastAsiaTheme="minorEastAsia" w:cstheme="minorBidi"/>
          <w:b w:val="0"/>
          <w:smallCaps w:val="0"/>
          <w:color w:val="auto"/>
          <w:lang w:val="en-US" w:eastAsia="en-US"/>
        </w:rPr>
        <w:tab/>
      </w:r>
      <w:r>
        <w:t>Continuing challenges</w:t>
      </w:r>
      <w:r>
        <w:tab/>
      </w:r>
      <w:r>
        <w:fldChar w:fldCharType="begin"/>
      </w:r>
      <w:r>
        <w:instrText xml:space="preserve"> PAGEREF _Toc484164406 \h </w:instrText>
      </w:r>
      <w:r>
        <w:fldChar w:fldCharType="separate"/>
      </w:r>
      <w:r w:rsidR="00DD3F35">
        <w:t>74</w:t>
      </w:r>
      <w:r>
        <w:fldChar w:fldCharType="end"/>
      </w:r>
    </w:p>
    <w:p w14:paraId="786F46F7" w14:textId="76A6A236" w:rsidR="00943D38" w:rsidRDefault="00943D38" w:rsidP="00101106">
      <w:pPr>
        <w:pStyle w:val="TOC2"/>
        <w:tabs>
          <w:tab w:val="clear" w:pos="9015"/>
          <w:tab w:val="right" w:leader="dot" w:pos="9360"/>
        </w:tabs>
        <w:ind w:right="-40"/>
        <w:rPr>
          <w:rFonts w:eastAsiaTheme="minorEastAsia" w:cstheme="minorBidi"/>
          <w:b w:val="0"/>
          <w:smallCaps w:val="0"/>
          <w:color w:val="auto"/>
          <w:lang w:val="en-US" w:eastAsia="en-US"/>
        </w:rPr>
      </w:pPr>
      <w:r>
        <w:t>Annex 3:</w:t>
      </w:r>
      <w:r>
        <w:rPr>
          <w:rFonts w:eastAsiaTheme="minorEastAsia" w:cstheme="minorBidi"/>
          <w:b w:val="0"/>
          <w:smallCaps w:val="0"/>
          <w:color w:val="auto"/>
          <w:lang w:val="en-US" w:eastAsia="en-US"/>
        </w:rPr>
        <w:tab/>
      </w:r>
      <w:r>
        <w:t xml:space="preserve"> TEAP and TOC membership and administration</w:t>
      </w:r>
      <w:r>
        <w:tab/>
      </w:r>
      <w:r>
        <w:fldChar w:fldCharType="begin"/>
      </w:r>
      <w:r>
        <w:instrText xml:space="preserve"> PAGEREF _Toc484164407 \h </w:instrText>
      </w:r>
      <w:r>
        <w:fldChar w:fldCharType="separate"/>
      </w:r>
      <w:r w:rsidR="00DD3F35">
        <w:t>76</w:t>
      </w:r>
      <w:r>
        <w:fldChar w:fldCharType="end"/>
      </w:r>
    </w:p>
    <w:p w14:paraId="600273E1" w14:textId="71A9F7D0" w:rsidR="00943D38" w:rsidRDefault="00943D38" w:rsidP="00101106">
      <w:pPr>
        <w:pStyle w:val="TOC2"/>
        <w:tabs>
          <w:tab w:val="clear" w:pos="9015"/>
          <w:tab w:val="right" w:leader="dot" w:pos="9360"/>
        </w:tabs>
        <w:ind w:right="-40"/>
        <w:rPr>
          <w:rFonts w:eastAsiaTheme="minorEastAsia" w:cstheme="minorBidi"/>
          <w:b w:val="0"/>
          <w:smallCaps w:val="0"/>
          <w:color w:val="auto"/>
          <w:lang w:val="en-US" w:eastAsia="en-US"/>
        </w:rPr>
      </w:pPr>
      <w:r>
        <w:t xml:space="preserve">1. </w:t>
      </w:r>
      <w:r>
        <w:rPr>
          <w:rFonts w:eastAsiaTheme="minorEastAsia" w:cstheme="minorBidi"/>
          <w:b w:val="0"/>
          <w:smallCaps w:val="0"/>
          <w:color w:val="auto"/>
          <w:lang w:val="en-US" w:eastAsia="en-US"/>
        </w:rPr>
        <w:tab/>
      </w:r>
      <w:r>
        <w:t>Technology and Economic Assessment Panel (TEAP) 2017</w:t>
      </w:r>
      <w:r>
        <w:tab/>
      </w:r>
      <w:r>
        <w:fldChar w:fldCharType="begin"/>
      </w:r>
      <w:r>
        <w:instrText xml:space="preserve"> PAGEREF _Toc484164408 \h </w:instrText>
      </w:r>
      <w:r>
        <w:fldChar w:fldCharType="separate"/>
      </w:r>
      <w:r w:rsidR="00DD3F35">
        <w:t>76</w:t>
      </w:r>
      <w:r>
        <w:fldChar w:fldCharType="end"/>
      </w:r>
    </w:p>
    <w:p w14:paraId="59246C35" w14:textId="2094CCB1" w:rsidR="00943D38" w:rsidRDefault="00943D38" w:rsidP="00101106">
      <w:pPr>
        <w:pStyle w:val="TOC2"/>
        <w:tabs>
          <w:tab w:val="clear" w:pos="9015"/>
          <w:tab w:val="right" w:leader="dot" w:pos="9360"/>
        </w:tabs>
        <w:ind w:right="-40"/>
        <w:rPr>
          <w:rFonts w:eastAsiaTheme="minorEastAsia" w:cstheme="minorBidi"/>
          <w:b w:val="0"/>
          <w:smallCaps w:val="0"/>
          <w:color w:val="auto"/>
          <w:lang w:val="en-US" w:eastAsia="en-US"/>
        </w:rPr>
      </w:pPr>
      <w:r>
        <w:t>2.</w:t>
      </w:r>
      <w:r>
        <w:rPr>
          <w:rFonts w:eastAsiaTheme="minorEastAsia" w:cstheme="minorBidi"/>
          <w:b w:val="0"/>
          <w:smallCaps w:val="0"/>
          <w:color w:val="auto"/>
          <w:lang w:val="en-US" w:eastAsia="en-US"/>
        </w:rPr>
        <w:tab/>
      </w:r>
      <w:r>
        <w:t>TEAP Flexible and Rigid Foams Technical Options Committee (FTOC)</w:t>
      </w:r>
      <w:r>
        <w:tab/>
      </w:r>
      <w:r>
        <w:fldChar w:fldCharType="begin"/>
      </w:r>
      <w:r>
        <w:instrText xml:space="preserve"> PAGEREF _Toc484164409 \h </w:instrText>
      </w:r>
      <w:r>
        <w:fldChar w:fldCharType="separate"/>
      </w:r>
      <w:r w:rsidR="00DD3F35">
        <w:t>77</w:t>
      </w:r>
      <w:r>
        <w:fldChar w:fldCharType="end"/>
      </w:r>
    </w:p>
    <w:p w14:paraId="6558158D" w14:textId="077D6BF6" w:rsidR="00943D38" w:rsidRDefault="00943D38" w:rsidP="00101106">
      <w:pPr>
        <w:pStyle w:val="TOC2"/>
        <w:tabs>
          <w:tab w:val="clear" w:pos="9015"/>
          <w:tab w:val="right" w:leader="dot" w:pos="9360"/>
        </w:tabs>
        <w:ind w:right="-40"/>
        <w:rPr>
          <w:rFonts w:eastAsiaTheme="minorEastAsia" w:cstheme="minorBidi"/>
          <w:b w:val="0"/>
          <w:smallCaps w:val="0"/>
          <w:color w:val="auto"/>
          <w:lang w:val="en-US" w:eastAsia="en-US"/>
        </w:rPr>
      </w:pPr>
      <w:r>
        <w:t>3.</w:t>
      </w:r>
      <w:r>
        <w:rPr>
          <w:rFonts w:eastAsiaTheme="minorEastAsia" w:cstheme="minorBidi"/>
          <w:b w:val="0"/>
          <w:smallCaps w:val="0"/>
          <w:color w:val="auto"/>
          <w:lang w:val="en-US" w:eastAsia="en-US"/>
        </w:rPr>
        <w:tab/>
      </w:r>
      <w:r>
        <w:t>TEAP Halons Technical Options Committee (HTOC)</w:t>
      </w:r>
      <w:r>
        <w:tab/>
      </w:r>
      <w:r>
        <w:fldChar w:fldCharType="begin"/>
      </w:r>
      <w:r>
        <w:instrText xml:space="preserve"> PAGEREF _Toc484164410 \h </w:instrText>
      </w:r>
      <w:r>
        <w:fldChar w:fldCharType="separate"/>
      </w:r>
      <w:r w:rsidR="00DD3F35">
        <w:t>78</w:t>
      </w:r>
      <w:r>
        <w:fldChar w:fldCharType="end"/>
      </w:r>
    </w:p>
    <w:p w14:paraId="7F3FBC6D" w14:textId="71A35EAF" w:rsidR="00943D38" w:rsidRDefault="00943D38" w:rsidP="00101106">
      <w:pPr>
        <w:pStyle w:val="TOC2"/>
        <w:tabs>
          <w:tab w:val="clear" w:pos="9015"/>
          <w:tab w:val="right" w:leader="dot" w:pos="9360"/>
        </w:tabs>
        <w:ind w:right="-40"/>
        <w:rPr>
          <w:rFonts w:eastAsiaTheme="minorEastAsia" w:cstheme="minorBidi"/>
          <w:b w:val="0"/>
          <w:smallCaps w:val="0"/>
          <w:color w:val="auto"/>
          <w:lang w:val="en-US" w:eastAsia="en-US"/>
        </w:rPr>
      </w:pPr>
      <w:r>
        <w:t>4.</w:t>
      </w:r>
      <w:r>
        <w:rPr>
          <w:rFonts w:eastAsiaTheme="minorEastAsia" w:cstheme="minorBidi"/>
          <w:b w:val="0"/>
          <w:smallCaps w:val="0"/>
          <w:color w:val="auto"/>
          <w:lang w:val="en-US" w:eastAsia="en-US"/>
        </w:rPr>
        <w:tab/>
      </w:r>
      <w:r>
        <w:t>TEAP Medical and Chemicals Technical Options Committee (MCTOC)</w:t>
      </w:r>
      <w:r>
        <w:tab/>
      </w:r>
      <w:r>
        <w:fldChar w:fldCharType="begin"/>
      </w:r>
      <w:r>
        <w:instrText xml:space="preserve"> PAGEREF _Toc484164411 \h </w:instrText>
      </w:r>
      <w:r>
        <w:fldChar w:fldCharType="separate"/>
      </w:r>
      <w:r w:rsidR="00DD3F35">
        <w:t>79</w:t>
      </w:r>
      <w:r>
        <w:fldChar w:fldCharType="end"/>
      </w:r>
    </w:p>
    <w:p w14:paraId="4B2CAB9D" w14:textId="237440C2" w:rsidR="00943D38" w:rsidRDefault="00943D38" w:rsidP="00101106">
      <w:pPr>
        <w:pStyle w:val="TOC2"/>
        <w:tabs>
          <w:tab w:val="clear" w:pos="9015"/>
          <w:tab w:val="right" w:leader="dot" w:pos="9360"/>
        </w:tabs>
        <w:ind w:right="-40"/>
        <w:rPr>
          <w:rFonts w:eastAsiaTheme="minorEastAsia" w:cstheme="minorBidi"/>
          <w:b w:val="0"/>
          <w:smallCaps w:val="0"/>
          <w:color w:val="auto"/>
          <w:lang w:val="en-US" w:eastAsia="en-US"/>
        </w:rPr>
      </w:pPr>
      <w:r>
        <w:t>5.</w:t>
      </w:r>
      <w:r>
        <w:rPr>
          <w:rFonts w:eastAsiaTheme="minorEastAsia" w:cstheme="minorBidi"/>
          <w:b w:val="0"/>
          <w:smallCaps w:val="0"/>
          <w:color w:val="auto"/>
          <w:lang w:val="en-US" w:eastAsia="en-US"/>
        </w:rPr>
        <w:tab/>
      </w:r>
      <w:r>
        <w:t>TEAP Methyl Bromide Technical Options Committee (MBTOC)</w:t>
      </w:r>
      <w:r>
        <w:tab/>
      </w:r>
      <w:r>
        <w:fldChar w:fldCharType="begin"/>
      </w:r>
      <w:r>
        <w:instrText xml:space="preserve"> PAGEREF _Toc484164412 \h </w:instrText>
      </w:r>
      <w:r>
        <w:fldChar w:fldCharType="separate"/>
      </w:r>
      <w:r w:rsidR="00DD3F35">
        <w:t>81</w:t>
      </w:r>
      <w:r>
        <w:fldChar w:fldCharType="end"/>
      </w:r>
    </w:p>
    <w:p w14:paraId="0BC09635" w14:textId="3DE51C95" w:rsidR="00943D38" w:rsidRDefault="00943D38" w:rsidP="00101106">
      <w:pPr>
        <w:pStyle w:val="TOC2"/>
        <w:tabs>
          <w:tab w:val="clear" w:pos="9015"/>
          <w:tab w:val="right" w:leader="dot" w:pos="9360"/>
        </w:tabs>
        <w:ind w:right="-40"/>
        <w:rPr>
          <w:rFonts w:eastAsiaTheme="minorEastAsia" w:cstheme="minorBidi"/>
          <w:b w:val="0"/>
          <w:smallCaps w:val="0"/>
          <w:color w:val="auto"/>
          <w:lang w:val="en-US" w:eastAsia="en-US"/>
        </w:rPr>
      </w:pPr>
      <w:r>
        <w:t>6.</w:t>
      </w:r>
      <w:r>
        <w:rPr>
          <w:rFonts w:eastAsiaTheme="minorEastAsia" w:cstheme="minorBidi"/>
          <w:b w:val="0"/>
          <w:smallCaps w:val="0"/>
          <w:color w:val="auto"/>
          <w:lang w:val="en-US" w:eastAsia="en-US"/>
        </w:rPr>
        <w:tab/>
      </w:r>
      <w:r>
        <w:t>TEAP Refrigeration, Air Conditioning and Heat Pumps Technical Options Committee (RTOC)</w:t>
      </w:r>
      <w:r>
        <w:tab/>
      </w:r>
      <w:r>
        <w:fldChar w:fldCharType="begin"/>
      </w:r>
      <w:r>
        <w:instrText xml:space="preserve"> PAGEREF _Toc484164413 \h </w:instrText>
      </w:r>
      <w:r>
        <w:fldChar w:fldCharType="separate"/>
      </w:r>
      <w:r w:rsidR="00DD3F35">
        <w:t>82</w:t>
      </w:r>
      <w:r>
        <w:fldChar w:fldCharType="end"/>
      </w:r>
    </w:p>
    <w:p w14:paraId="764F1F81" w14:textId="19864C42" w:rsidR="00943D38" w:rsidRDefault="00943D38" w:rsidP="00101106">
      <w:pPr>
        <w:pStyle w:val="TOC2"/>
        <w:tabs>
          <w:tab w:val="clear" w:pos="9015"/>
          <w:tab w:val="right" w:leader="dot" w:pos="9360"/>
        </w:tabs>
        <w:ind w:right="-40"/>
        <w:rPr>
          <w:rFonts w:eastAsiaTheme="minorEastAsia" w:cstheme="minorBidi"/>
          <w:b w:val="0"/>
          <w:smallCaps w:val="0"/>
          <w:color w:val="auto"/>
          <w:lang w:val="en-US" w:eastAsia="en-US"/>
        </w:rPr>
      </w:pPr>
      <w:r>
        <w:t>Annex 4:</w:t>
      </w:r>
      <w:r>
        <w:rPr>
          <w:rFonts w:eastAsiaTheme="minorEastAsia" w:cstheme="minorBidi"/>
          <w:b w:val="0"/>
          <w:smallCaps w:val="0"/>
          <w:color w:val="auto"/>
          <w:lang w:val="en-US" w:eastAsia="en-US"/>
        </w:rPr>
        <w:tab/>
      </w:r>
      <w:r>
        <w:t xml:space="preserve"> Matrix of needed expertise</w:t>
      </w:r>
      <w:r>
        <w:tab/>
      </w:r>
      <w:r>
        <w:fldChar w:fldCharType="begin"/>
      </w:r>
      <w:r>
        <w:instrText xml:space="preserve"> PAGEREF _Toc484164414 \h </w:instrText>
      </w:r>
      <w:r>
        <w:fldChar w:fldCharType="separate"/>
      </w:r>
      <w:r w:rsidR="00DD3F35">
        <w:t>83</w:t>
      </w:r>
      <w:r>
        <w:fldChar w:fldCharType="end"/>
      </w:r>
    </w:p>
    <w:p w14:paraId="1468ED56" w14:textId="6D8F645F" w:rsidR="00AD4B2A" w:rsidRPr="006E13B3" w:rsidRDefault="003F378F" w:rsidP="008D06EA">
      <w:pPr>
        <w:pStyle w:val="TOC1"/>
        <w:tabs>
          <w:tab w:val="left" w:pos="720"/>
          <w:tab w:val="right" w:leader="dot" w:pos="9360"/>
        </w:tabs>
        <w:ind w:left="720" w:right="-40" w:hanging="720"/>
        <w:rPr>
          <w:rFonts w:ascii="Times New Roman" w:hAnsi="Times New Roman"/>
        </w:rPr>
        <w:sectPr w:rsidR="00AD4B2A" w:rsidRPr="006E13B3" w:rsidSect="00C271CA">
          <w:headerReference w:type="even" r:id="rId26"/>
          <w:headerReference w:type="default" r:id="rId27"/>
          <w:footerReference w:type="even" r:id="rId28"/>
          <w:headerReference w:type="first" r:id="rId29"/>
          <w:footnotePr>
            <w:numRestart w:val="eachSect"/>
          </w:footnotePr>
          <w:type w:val="nextColumn"/>
          <w:pgSz w:w="11907" w:h="16839" w:code="9"/>
          <w:pgMar w:top="1440" w:right="1417" w:bottom="1526" w:left="1800" w:header="720" w:footer="792" w:gutter="0"/>
          <w:pgNumType w:fmt="lowerRoman"/>
          <w:cols w:space="720"/>
          <w:docGrid w:linePitch="299"/>
        </w:sectPr>
      </w:pPr>
      <w:r>
        <w:rPr>
          <w:rFonts w:ascii="Times New Roman" w:hAnsi="Times New Roman"/>
        </w:rPr>
        <w:fldChar w:fldCharType="end"/>
      </w:r>
    </w:p>
    <w:p w14:paraId="1865C18E" w14:textId="77777777" w:rsidR="00AD4B2A" w:rsidRPr="00FD4EE9" w:rsidRDefault="00591AA8" w:rsidP="00413E4A">
      <w:pPr>
        <w:pStyle w:val="Heading1"/>
        <w:rPr>
          <w:rStyle w:val="Heading1Char2"/>
          <w:rFonts w:ascii="Times New Roman" w:hAnsi="Times New Roman"/>
        </w:rPr>
      </w:pPr>
      <w:bookmarkStart w:id="10" w:name="_Toc388648327"/>
      <w:bookmarkStart w:id="11" w:name="_Toc295406111"/>
      <w:bookmarkStart w:id="12" w:name="_Toc484164308"/>
      <w:bookmarkStart w:id="13" w:name="OLE_LINK19"/>
      <w:bookmarkStart w:id="14" w:name="_Toc39573643"/>
      <w:bookmarkStart w:id="15" w:name="OLE_LINK23"/>
      <w:bookmarkStart w:id="16" w:name="OLE_LINK28"/>
      <w:r w:rsidRPr="00FD4EE9">
        <w:rPr>
          <w:rStyle w:val="Heading1Char2"/>
          <w:rFonts w:ascii="Times New Roman" w:hAnsi="Times New Roman"/>
        </w:rPr>
        <w:lastRenderedPageBreak/>
        <w:t>1</w:t>
      </w:r>
      <w:r w:rsidRPr="00FD4EE9">
        <w:rPr>
          <w:rStyle w:val="Heading1Char2"/>
          <w:rFonts w:ascii="Times New Roman" w:hAnsi="Times New Roman"/>
        </w:rPr>
        <w:tab/>
        <w:t>Introduction</w:t>
      </w:r>
      <w:bookmarkEnd w:id="10"/>
      <w:bookmarkEnd w:id="11"/>
      <w:bookmarkEnd w:id="12"/>
    </w:p>
    <w:p w14:paraId="12BF18BD" w14:textId="7DE9B3F6" w:rsidR="004654D3" w:rsidRPr="00FD4EE9" w:rsidRDefault="00591AA8" w:rsidP="00A140B1">
      <w:r w:rsidRPr="00FD4EE9">
        <w:t xml:space="preserve">This is volume 1 of </w:t>
      </w:r>
      <w:r w:rsidR="00A86901">
        <w:t>4</w:t>
      </w:r>
      <w:r w:rsidRPr="00FD4EE9">
        <w:t xml:space="preserve"> of the </w:t>
      </w:r>
      <w:r w:rsidR="004F10BF">
        <w:t>May</w:t>
      </w:r>
      <w:r w:rsidR="00C1629F" w:rsidRPr="00FD4EE9">
        <w:t xml:space="preserve"> 201</w:t>
      </w:r>
      <w:r w:rsidR="004F10BF">
        <w:t>7</w:t>
      </w:r>
      <w:r w:rsidRPr="00FD4EE9">
        <w:t xml:space="preserve"> TEAP Report and contains</w:t>
      </w:r>
      <w:r w:rsidR="00015FF3" w:rsidRPr="00FD4EE9">
        <w:t xml:space="preserve"> Progress Reports from the five Technical Options Committ</w:t>
      </w:r>
      <w:r w:rsidR="00C02CD6" w:rsidRPr="00FD4EE9">
        <w:t>ees (TOCs) composing the TEAP: t</w:t>
      </w:r>
      <w:r w:rsidR="00015FF3" w:rsidRPr="00FD4EE9">
        <w:t xml:space="preserve">he </w:t>
      </w:r>
      <w:r w:rsidR="00C02CD6" w:rsidRPr="00FD4EE9">
        <w:t xml:space="preserve">Flexible and Rigid </w:t>
      </w:r>
      <w:r w:rsidR="00015FF3" w:rsidRPr="00FD4EE9">
        <w:t>Foams TOC (FTOC), the Halons TOC (HTOC),</w:t>
      </w:r>
      <w:r w:rsidR="004654D3" w:rsidRPr="00FD4EE9">
        <w:t xml:space="preserve"> the Methyl Bromide TOC (MBTOC)</w:t>
      </w:r>
      <w:r w:rsidR="00015FF3" w:rsidRPr="00FD4EE9">
        <w:t>, the Medical and Chemical</w:t>
      </w:r>
      <w:r w:rsidR="00A86901">
        <w:t>s</w:t>
      </w:r>
      <w:r w:rsidR="00015FF3" w:rsidRPr="00FD4EE9">
        <w:t xml:space="preserve"> TOC (MCTOC) and the Refrigeration and Air Conditioning </w:t>
      </w:r>
      <w:r w:rsidR="00C02CD6" w:rsidRPr="00FD4EE9">
        <w:t xml:space="preserve">and Heat Pumps </w:t>
      </w:r>
      <w:r w:rsidR="00015FF3" w:rsidRPr="00FD4EE9">
        <w:t xml:space="preserve">TOC (RTOC). </w:t>
      </w:r>
    </w:p>
    <w:p w14:paraId="4824CE52" w14:textId="7D598C87" w:rsidR="00AD4B2A" w:rsidRPr="00064F81" w:rsidRDefault="00034252" w:rsidP="00A140B1">
      <w:r>
        <w:t>A</w:t>
      </w:r>
      <w:r w:rsidR="00A86901">
        <w:t>lso included in this volume is a</w:t>
      </w:r>
      <w:r w:rsidR="00FF50A3" w:rsidRPr="00FD4EE9">
        <w:t>n</w:t>
      </w:r>
      <w:r w:rsidR="004654D3" w:rsidRPr="00FD4EE9">
        <w:t xml:space="preserve"> evaluation of Essential Use Nominations with</w:t>
      </w:r>
      <w:r w:rsidR="00A86901">
        <w:t>in</w:t>
      </w:r>
      <w:r w:rsidR="004654D3" w:rsidRPr="00FD4EE9">
        <w:t xml:space="preserve"> MCTOC’s </w:t>
      </w:r>
      <w:r w:rsidR="00A86901">
        <w:t>Progress R</w:t>
      </w:r>
      <w:r w:rsidR="004654D3" w:rsidRPr="00FD4EE9">
        <w:t>eport</w:t>
      </w:r>
      <w:r w:rsidR="00A86901">
        <w:t xml:space="preserve"> in Chapter 5</w:t>
      </w:r>
      <w:r w:rsidR="004654D3" w:rsidRPr="00FD4EE9">
        <w:t>.</w:t>
      </w:r>
      <w:r>
        <w:t xml:space="preserve"> A response</w:t>
      </w:r>
      <w:r w:rsidR="00064F81">
        <w:t xml:space="preserve"> to </w:t>
      </w:r>
      <w:r w:rsidR="00064F81" w:rsidRPr="00A86901">
        <w:rPr>
          <w:szCs w:val="22"/>
        </w:rPr>
        <w:t>Decision XXVIII/8</w:t>
      </w:r>
      <w:r w:rsidR="00A86901">
        <w:rPr>
          <w:i/>
          <w:szCs w:val="22"/>
        </w:rPr>
        <w:t xml:space="preserve"> – Phaseout of hydrofluorocarbons</w:t>
      </w:r>
      <w:r w:rsidR="00064F81">
        <w:rPr>
          <w:i/>
          <w:szCs w:val="22"/>
        </w:rPr>
        <w:t xml:space="preserve"> </w:t>
      </w:r>
      <w:r w:rsidR="00064F81">
        <w:rPr>
          <w:szCs w:val="22"/>
        </w:rPr>
        <w:t>is presented in Chapter 7 of this report</w:t>
      </w:r>
      <w:r w:rsidR="00671FC9">
        <w:rPr>
          <w:szCs w:val="22"/>
        </w:rPr>
        <w:t xml:space="preserve"> with submissions by parties included in Annex 3 (pdf file separate to this report)</w:t>
      </w:r>
      <w:r w:rsidR="00064F81">
        <w:rPr>
          <w:szCs w:val="22"/>
        </w:rPr>
        <w:t>.</w:t>
      </w:r>
    </w:p>
    <w:p w14:paraId="470BFA74" w14:textId="7499E128" w:rsidR="006F33D8" w:rsidRPr="00FD4EE9" w:rsidRDefault="00271786" w:rsidP="00A140B1">
      <w:r>
        <w:t>T</w:t>
      </w:r>
      <w:r w:rsidR="007F78CB" w:rsidRPr="00FD4EE9">
        <w:t xml:space="preserve">he </w:t>
      </w:r>
      <w:r w:rsidR="00591AA8" w:rsidRPr="00FD4EE9">
        <w:t>TEAP and TOC membership list</w:t>
      </w:r>
      <w:r>
        <w:t>s</w:t>
      </w:r>
      <w:r w:rsidR="00591AA8" w:rsidRPr="00FD4EE9">
        <w:t xml:space="preserve">, </w:t>
      </w:r>
      <w:r w:rsidR="007F78CB" w:rsidRPr="00FD4EE9">
        <w:t>as at</w:t>
      </w:r>
      <w:r w:rsidR="00591AA8" w:rsidRPr="00FD4EE9">
        <w:t xml:space="preserve"> </w:t>
      </w:r>
      <w:r w:rsidR="00260C5C" w:rsidRPr="00FD4EE9">
        <w:t>31</w:t>
      </w:r>
      <w:r w:rsidR="00260C5C" w:rsidRPr="00FD4EE9">
        <w:rPr>
          <w:vertAlign w:val="superscript"/>
        </w:rPr>
        <w:t>st</w:t>
      </w:r>
      <w:r w:rsidR="00260C5C" w:rsidRPr="00FD4EE9">
        <w:t xml:space="preserve"> </w:t>
      </w:r>
      <w:r w:rsidR="009B0083" w:rsidRPr="00FD4EE9">
        <w:t>May</w:t>
      </w:r>
      <w:r w:rsidR="00591AA8" w:rsidRPr="00FD4EE9">
        <w:t xml:space="preserve"> 201</w:t>
      </w:r>
      <w:r w:rsidR="004F10BF">
        <w:t>7</w:t>
      </w:r>
      <w:r w:rsidR="00591AA8" w:rsidRPr="00FD4EE9">
        <w:t>, which includes</w:t>
      </w:r>
      <w:r w:rsidR="002D1FC6" w:rsidRPr="00FD4EE9">
        <w:t xml:space="preserve"> each member</w:t>
      </w:r>
      <w:r w:rsidR="006F33D8" w:rsidRPr="00FD4EE9">
        <w:t>’s</w:t>
      </w:r>
      <w:r w:rsidR="00591AA8" w:rsidRPr="00FD4EE9">
        <w:t xml:space="preserve"> terms for</w:t>
      </w:r>
      <w:r w:rsidR="007F78CB" w:rsidRPr="00FD4EE9">
        <w:t xml:space="preserve"> re-appointment</w:t>
      </w:r>
      <w:r w:rsidR="006F33D8" w:rsidRPr="00FD4EE9">
        <w:t xml:space="preserve"> and a matrix of needed expertise on the TEAP and its </w:t>
      </w:r>
      <w:proofErr w:type="gramStart"/>
      <w:r w:rsidR="006F33D8" w:rsidRPr="00FD4EE9">
        <w:t>TOCs</w:t>
      </w:r>
      <w:proofErr w:type="gramEnd"/>
      <w:r w:rsidR="004654D3" w:rsidRPr="00FD4EE9">
        <w:t xml:space="preserve"> appear</w:t>
      </w:r>
      <w:r>
        <w:t xml:space="preserve"> in annexe</w:t>
      </w:r>
      <w:r w:rsidR="00FF50A3" w:rsidRPr="00FD4EE9">
        <w:t>s</w:t>
      </w:r>
      <w:r w:rsidR="004654D3" w:rsidRPr="00FD4EE9">
        <w:t xml:space="preserve"> at the end of this document</w:t>
      </w:r>
      <w:r w:rsidR="006F33D8" w:rsidRPr="00FD4EE9">
        <w:t>.</w:t>
      </w:r>
      <w:r w:rsidR="004F10BF">
        <w:t xml:space="preserve"> Specific issues relating to each TOC are also discussed</w:t>
      </w:r>
      <w:r>
        <w:t xml:space="preserve"> in Chapter 8 and in the annexes</w:t>
      </w:r>
      <w:r w:rsidR="004F10BF">
        <w:t>.</w:t>
      </w:r>
    </w:p>
    <w:p w14:paraId="319405BD" w14:textId="584D0C84" w:rsidR="006F33D8" w:rsidRPr="00C271CA" w:rsidRDefault="004654D3" w:rsidP="00413E4A">
      <w:pPr>
        <w:pStyle w:val="Heading2"/>
      </w:pPr>
      <w:bookmarkStart w:id="17" w:name="_Toc484164309"/>
      <w:r w:rsidRPr="00C271CA">
        <w:t>1.1.</w:t>
      </w:r>
      <w:r w:rsidRPr="00C271CA">
        <w:tab/>
      </w:r>
      <w:r w:rsidR="00015FF3" w:rsidRPr="00C271CA">
        <w:t>Key</w:t>
      </w:r>
      <w:r w:rsidR="0001208A" w:rsidRPr="00C271CA">
        <w:t xml:space="preserve"> TEAP</w:t>
      </w:r>
      <w:r w:rsidR="00015FF3" w:rsidRPr="00C271CA">
        <w:t xml:space="preserve"> messages</w:t>
      </w:r>
      <w:bookmarkEnd w:id="17"/>
    </w:p>
    <w:p w14:paraId="16ACF616" w14:textId="029C2C03" w:rsidR="004654D3" w:rsidRPr="00FD4EE9" w:rsidRDefault="00271786" w:rsidP="00A140B1">
      <w:pPr>
        <w:rPr>
          <w:rFonts w:eastAsia="MS Mincho"/>
        </w:rPr>
      </w:pPr>
      <w:r w:rsidRPr="00FD4EE9">
        <w:rPr>
          <w:rFonts w:eastAsia="MS Mincho"/>
        </w:rPr>
        <w:t xml:space="preserve">TEAP presents the main findings contained in each of the TOC </w:t>
      </w:r>
      <w:r>
        <w:rPr>
          <w:rFonts w:eastAsia="MS Mincho"/>
        </w:rPr>
        <w:t xml:space="preserve">progress </w:t>
      </w:r>
      <w:r w:rsidRPr="00FD4EE9">
        <w:rPr>
          <w:rFonts w:eastAsia="MS Mincho"/>
        </w:rPr>
        <w:t xml:space="preserve">reports </w:t>
      </w:r>
      <w:r>
        <w:rPr>
          <w:rFonts w:eastAsia="MS Mincho"/>
        </w:rPr>
        <w:t>below</w:t>
      </w:r>
      <w:r w:rsidR="004654D3" w:rsidRPr="00FD4EE9">
        <w:rPr>
          <w:rFonts w:eastAsia="MS Mincho"/>
        </w:rPr>
        <w:t>.</w:t>
      </w:r>
    </w:p>
    <w:p w14:paraId="046955FB" w14:textId="77777777" w:rsidR="00015FF3" w:rsidRPr="00FD4EE9" w:rsidRDefault="004654D3" w:rsidP="00413E4A">
      <w:pPr>
        <w:pStyle w:val="Heading3"/>
      </w:pPr>
      <w:bookmarkStart w:id="18" w:name="_Toc484164310"/>
      <w:r w:rsidRPr="00FD4EE9">
        <w:t xml:space="preserve">1.1.1. </w:t>
      </w:r>
      <w:r w:rsidR="00015FF3" w:rsidRPr="00FD4EE9">
        <w:t>FTOC</w:t>
      </w:r>
      <w:bookmarkEnd w:id="18"/>
    </w:p>
    <w:p w14:paraId="43AFC740" w14:textId="20D268C1" w:rsidR="0088370B" w:rsidRPr="0088370B" w:rsidRDefault="0088370B" w:rsidP="00A140B1">
      <w:pPr>
        <w:contextualSpacing/>
        <w:textAlignment w:val="baseline"/>
        <w:rPr>
          <w:lang w:eastAsia="en-GB"/>
        </w:rPr>
      </w:pPr>
      <w:r w:rsidRPr="0088370B">
        <w:rPr>
          <w:lang w:eastAsia="en-GB"/>
        </w:rPr>
        <w:t>In non-A5 parties, fluorinated gas regulations now indicate precise dates for the phase-out of certain high</w:t>
      </w:r>
      <w:r w:rsidR="00271786">
        <w:rPr>
          <w:lang w:eastAsia="en-GB"/>
        </w:rPr>
        <w:t xml:space="preserve"> global warming potential</w:t>
      </w:r>
      <w:r w:rsidRPr="0088370B">
        <w:rPr>
          <w:lang w:eastAsia="en-GB"/>
        </w:rPr>
        <w:t xml:space="preserve"> </w:t>
      </w:r>
      <w:r w:rsidR="00271786">
        <w:rPr>
          <w:lang w:eastAsia="en-GB"/>
        </w:rPr>
        <w:t>(</w:t>
      </w:r>
      <w:r w:rsidRPr="0088370B">
        <w:rPr>
          <w:lang w:eastAsia="en-GB"/>
        </w:rPr>
        <w:t>GWP</w:t>
      </w:r>
      <w:r w:rsidR="00271786">
        <w:rPr>
          <w:lang w:eastAsia="en-GB"/>
        </w:rPr>
        <w:t>) hydrofluorocarbons</w:t>
      </w:r>
      <w:r w:rsidRPr="0088370B">
        <w:rPr>
          <w:lang w:eastAsia="en-GB"/>
        </w:rPr>
        <w:t xml:space="preserve"> </w:t>
      </w:r>
      <w:r w:rsidR="00271786">
        <w:rPr>
          <w:lang w:eastAsia="en-GB"/>
        </w:rPr>
        <w:t>(</w:t>
      </w:r>
      <w:r w:rsidRPr="0088370B">
        <w:rPr>
          <w:lang w:eastAsia="en-GB"/>
        </w:rPr>
        <w:t>HFCs</w:t>
      </w:r>
      <w:r w:rsidR="00271786">
        <w:rPr>
          <w:lang w:eastAsia="en-GB"/>
        </w:rPr>
        <w:t>)</w:t>
      </w:r>
      <w:r w:rsidRPr="0088370B">
        <w:rPr>
          <w:lang w:eastAsia="en-GB"/>
        </w:rPr>
        <w:t xml:space="preserve"> in foam manufacture.</w:t>
      </w:r>
    </w:p>
    <w:p w14:paraId="7A1AFCEC" w14:textId="77777777" w:rsidR="0088370B" w:rsidRDefault="0088370B" w:rsidP="00A140B1">
      <w:pPr>
        <w:contextualSpacing/>
        <w:textAlignment w:val="baseline"/>
        <w:rPr>
          <w:lang w:eastAsia="en-GB"/>
        </w:rPr>
      </w:pPr>
    </w:p>
    <w:p w14:paraId="497BB293" w14:textId="5F166CA4" w:rsidR="0088370B" w:rsidRPr="0088370B" w:rsidRDefault="0088370B" w:rsidP="00A140B1">
      <w:pPr>
        <w:contextualSpacing/>
        <w:textAlignment w:val="baseline"/>
        <w:rPr>
          <w:lang w:eastAsia="en-GB"/>
        </w:rPr>
      </w:pPr>
      <w:r w:rsidRPr="0088370B">
        <w:rPr>
          <w:lang w:eastAsia="en-GB"/>
        </w:rPr>
        <w:t>Article 5 parties face common challenges in phasing out remaining HCFCs while phasing down high</w:t>
      </w:r>
      <w:r w:rsidR="00271786">
        <w:rPr>
          <w:lang w:eastAsia="en-GB"/>
        </w:rPr>
        <w:t>-</w:t>
      </w:r>
      <w:r w:rsidRPr="0088370B">
        <w:rPr>
          <w:lang w:eastAsia="en-GB"/>
        </w:rPr>
        <w:t xml:space="preserve">GWP HFC blowing agents.  </w:t>
      </w:r>
    </w:p>
    <w:p w14:paraId="733C4E07" w14:textId="77777777" w:rsidR="0088370B" w:rsidRDefault="0088370B" w:rsidP="00A140B1">
      <w:pPr>
        <w:contextualSpacing/>
        <w:textAlignment w:val="baseline"/>
        <w:rPr>
          <w:lang w:eastAsia="en-GB"/>
        </w:rPr>
      </w:pPr>
    </w:p>
    <w:p w14:paraId="297E8074" w14:textId="390F1844" w:rsidR="0088370B" w:rsidRPr="0088370B" w:rsidRDefault="003E428B" w:rsidP="00A140B1">
      <w:pPr>
        <w:contextualSpacing/>
        <w:textAlignment w:val="baseline"/>
        <w:rPr>
          <w:lang w:eastAsia="en-GB"/>
        </w:rPr>
      </w:pPr>
      <w:r w:rsidRPr="0088370B">
        <w:rPr>
          <w:lang w:eastAsia="en-GB"/>
        </w:rPr>
        <w:t>High</w:t>
      </w:r>
      <w:r>
        <w:rPr>
          <w:lang w:eastAsia="en-GB"/>
        </w:rPr>
        <w:t>-</w:t>
      </w:r>
      <w:r w:rsidRPr="0088370B">
        <w:rPr>
          <w:lang w:eastAsia="en-GB"/>
        </w:rPr>
        <w:t xml:space="preserve">GWP </w:t>
      </w:r>
      <w:r w:rsidRPr="0088370B">
        <w:rPr>
          <w:color w:val="000000" w:themeColor="text1"/>
          <w:lang w:eastAsia="en-GB"/>
        </w:rPr>
        <w:t xml:space="preserve">HFCs and </w:t>
      </w:r>
      <w:r>
        <w:rPr>
          <w:color w:val="000000" w:themeColor="text1"/>
          <w:lang w:eastAsia="en-GB"/>
        </w:rPr>
        <w:t>hyrdrofluoro-olefins/hydrochlorofluoro-olefins (</w:t>
      </w:r>
      <w:r w:rsidRPr="0088370B">
        <w:rPr>
          <w:color w:val="000000" w:themeColor="text1"/>
          <w:lang w:eastAsia="en-GB"/>
        </w:rPr>
        <w:t>HFO</w:t>
      </w:r>
      <w:r>
        <w:rPr>
          <w:color w:val="000000" w:themeColor="text1"/>
          <w:lang w:eastAsia="en-GB"/>
        </w:rPr>
        <w:t>s</w:t>
      </w:r>
      <w:r w:rsidRPr="0088370B">
        <w:rPr>
          <w:color w:val="000000" w:themeColor="text1"/>
          <w:lang w:eastAsia="en-GB"/>
        </w:rPr>
        <w:t>/HCFOs</w:t>
      </w:r>
      <w:r>
        <w:rPr>
          <w:color w:val="000000" w:themeColor="text1"/>
          <w:lang w:eastAsia="en-GB"/>
        </w:rPr>
        <w:t>)</w:t>
      </w:r>
      <w:r w:rsidRPr="0088370B">
        <w:rPr>
          <w:color w:val="000000" w:themeColor="text1"/>
          <w:lang w:eastAsia="en-GB"/>
        </w:rPr>
        <w:t xml:space="preserve"> are</w:t>
      </w:r>
      <w:r>
        <w:rPr>
          <w:color w:val="000000" w:themeColor="text1"/>
          <w:lang w:eastAsia="en-GB"/>
        </w:rPr>
        <w:t xml:space="preserve"> currently</w:t>
      </w:r>
      <w:r w:rsidRPr="0088370B">
        <w:rPr>
          <w:color w:val="000000" w:themeColor="text1"/>
          <w:lang w:eastAsia="en-GB"/>
        </w:rPr>
        <w:t xml:space="preserve"> around 3 times as expensive as HCFCs. HFO/HCFO blown foams remain more expensive than high</w:t>
      </w:r>
      <w:r>
        <w:rPr>
          <w:color w:val="000000" w:themeColor="text1"/>
          <w:lang w:eastAsia="en-GB"/>
        </w:rPr>
        <w:t>-</w:t>
      </w:r>
      <w:r w:rsidRPr="0088370B">
        <w:rPr>
          <w:color w:val="000000" w:themeColor="text1"/>
          <w:lang w:eastAsia="en-GB"/>
        </w:rPr>
        <w:t>GWP HFC foams due to the pricing of the blowing agent and required additives</w:t>
      </w:r>
      <w:r w:rsidR="00271786" w:rsidRPr="0088370B">
        <w:rPr>
          <w:color w:val="000000" w:themeColor="text1"/>
          <w:lang w:eastAsia="en-GB"/>
        </w:rPr>
        <w:t xml:space="preserve">. </w:t>
      </w:r>
    </w:p>
    <w:p w14:paraId="231CA387" w14:textId="77777777" w:rsidR="0088370B" w:rsidRDefault="0088370B" w:rsidP="00A140B1">
      <w:pPr>
        <w:contextualSpacing/>
        <w:textAlignment w:val="baseline"/>
        <w:rPr>
          <w:color w:val="000000" w:themeColor="text1"/>
          <w:lang w:eastAsia="en-GB"/>
        </w:rPr>
      </w:pPr>
    </w:p>
    <w:p w14:paraId="75CCCB18" w14:textId="77777777" w:rsidR="005F5DCC" w:rsidRPr="0088370B" w:rsidRDefault="005F5DCC" w:rsidP="00A140B1">
      <w:pPr>
        <w:contextualSpacing/>
        <w:textAlignment w:val="baseline"/>
        <w:rPr>
          <w:lang w:eastAsia="en-GB"/>
        </w:rPr>
      </w:pPr>
      <w:r w:rsidRPr="0088370B">
        <w:rPr>
          <w:color w:val="000000" w:themeColor="text1"/>
          <w:lang w:eastAsia="en-GB"/>
        </w:rPr>
        <w:t xml:space="preserve">Decisions on transition may be delayed because the final formulations </w:t>
      </w:r>
      <w:r w:rsidRPr="0088370B">
        <w:rPr>
          <w:lang w:eastAsia="en-GB"/>
        </w:rPr>
        <w:t>to optimise performance and cost are still not clear for all applications and geographies, and because of the currently limited availability of some lowGWP blowing agents in some regions.</w:t>
      </w:r>
    </w:p>
    <w:p w14:paraId="68A3164C" w14:textId="4C984EC8" w:rsidR="0088370B" w:rsidRPr="0088370B" w:rsidRDefault="005F5DCC" w:rsidP="00A140B1">
      <w:r w:rsidRPr="0088370B">
        <w:t>Effective transitions will require continued communication between regulators, producers and users to facilitate capacity planning</w:t>
      </w:r>
      <w:r w:rsidR="0088370B" w:rsidRPr="0088370B">
        <w:t xml:space="preserve">.  </w:t>
      </w:r>
    </w:p>
    <w:p w14:paraId="17972B07" w14:textId="77777777" w:rsidR="004654D3" w:rsidRPr="00FD4EE9" w:rsidRDefault="004654D3" w:rsidP="00413E4A">
      <w:pPr>
        <w:pStyle w:val="Heading3"/>
      </w:pPr>
      <w:bookmarkStart w:id="19" w:name="_Toc484164311"/>
      <w:r w:rsidRPr="00FD4EE9">
        <w:t xml:space="preserve">1.1.2. </w:t>
      </w:r>
      <w:r w:rsidR="00015FF3" w:rsidRPr="00FD4EE9">
        <w:t>HTOC</w:t>
      </w:r>
      <w:bookmarkEnd w:id="19"/>
    </w:p>
    <w:p w14:paraId="315C7A35" w14:textId="77777777" w:rsidR="005F5DCC" w:rsidRDefault="005F5DCC" w:rsidP="00A140B1">
      <w:pPr>
        <w:rPr>
          <w:szCs w:val="22"/>
        </w:rPr>
      </w:pPr>
      <w:r w:rsidRPr="00917EE9">
        <w:rPr>
          <w:szCs w:val="22"/>
        </w:rPr>
        <w:t xml:space="preserve">The Decision XXVI/7 </w:t>
      </w:r>
      <w:r w:rsidRPr="004137C2">
        <w:rPr>
          <w:i/>
          <w:szCs w:val="22"/>
        </w:rPr>
        <w:t>Availability of recovered, recycled or reclaimed halons</w:t>
      </w:r>
      <w:r w:rsidRPr="000A5E73">
        <w:rPr>
          <w:szCs w:val="22"/>
        </w:rPr>
        <w:t xml:space="preserve"> </w:t>
      </w:r>
      <w:r w:rsidRPr="00917EE9">
        <w:rPr>
          <w:szCs w:val="22"/>
        </w:rPr>
        <w:t xml:space="preserve">working group </w:t>
      </w:r>
      <w:r>
        <w:rPr>
          <w:szCs w:val="22"/>
        </w:rPr>
        <w:t>conclusion</w:t>
      </w:r>
      <w:r w:rsidRPr="00917EE9">
        <w:rPr>
          <w:szCs w:val="22"/>
        </w:rPr>
        <w:t xml:space="preserve"> remains </w:t>
      </w:r>
      <w:r>
        <w:rPr>
          <w:szCs w:val="22"/>
        </w:rPr>
        <w:t xml:space="preserve">that it is </w:t>
      </w:r>
      <w:r w:rsidRPr="00917EE9">
        <w:rPr>
          <w:szCs w:val="22"/>
        </w:rPr>
        <w:t>nearly indisputable that the world’s supply of halon 1301 will be exhausted</w:t>
      </w:r>
      <w:r>
        <w:rPr>
          <w:szCs w:val="22"/>
        </w:rPr>
        <w:t xml:space="preserve"> well</w:t>
      </w:r>
      <w:r w:rsidRPr="00917EE9">
        <w:rPr>
          <w:szCs w:val="22"/>
        </w:rPr>
        <w:t xml:space="preserve"> before civil aviation completes the transition to an alternative</w:t>
      </w:r>
      <w:r>
        <w:rPr>
          <w:szCs w:val="22"/>
        </w:rPr>
        <w:t>. Also given</w:t>
      </w:r>
      <w:r w:rsidRPr="00917EE9">
        <w:rPr>
          <w:szCs w:val="22"/>
        </w:rPr>
        <w:t xml:space="preserve"> the lack of further progress by civil aviation to implement alternatives in the remaining halon 1301 applications, it becomes imperative to quantify more accurately the rate of increase of installed amounts and the resulting emissions from civil aviation.  </w:t>
      </w:r>
    </w:p>
    <w:p w14:paraId="43C915E6" w14:textId="77777777" w:rsidR="005F5DCC" w:rsidRDefault="005F5DCC" w:rsidP="00A140B1">
      <w:r w:rsidRPr="00917EE9">
        <w:rPr>
          <w:szCs w:val="22"/>
        </w:rPr>
        <w:t>While the Decision XXVI/7 work</w:t>
      </w:r>
      <w:r>
        <w:rPr>
          <w:szCs w:val="22"/>
        </w:rPr>
        <w:t>ing</w:t>
      </w:r>
      <w:r w:rsidRPr="00917EE9">
        <w:rPr>
          <w:szCs w:val="22"/>
        </w:rPr>
        <w:t xml:space="preserve"> group estimated this shortage to be in the 2035 timeframe, </w:t>
      </w:r>
      <w:r w:rsidRPr="00BF7512">
        <w:t xml:space="preserve">there are many unknowns that could change this date significantly, such as the rate </w:t>
      </w:r>
      <w:r w:rsidRPr="00BF7512">
        <w:lastRenderedPageBreak/>
        <w:t>of implementation of alternatives, the increase of installed amounts of halon as the global aircraft fleet increases, and the emissions from civil aviation.</w:t>
      </w:r>
    </w:p>
    <w:p w14:paraId="1459FFCF" w14:textId="73F5C204" w:rsidR="005F5DCC" w:rsidRPr="00B659FC" w:rsidRDefault="005F5DCC" w:rsidP="00A140B1">
      <w:r w:rsidRPr="00917EE9">
        <w:rPr>
          <w:szCs w:val="22"/>
        </w:rPr>
        <w:t xml:space="preserve">Therefore, the parties may wish to consider continuing </w:t>
      </w:r>
      <w:r w:rsidR="005676A4">
        <w:rPr>
          <w:szCs w:val="22"/>
        </w:rPr>
        <w:t>their</w:t>
      </w:r>
      <w:r w:rsidRPr="00917EE9">
        <w:rPr>
          <w:szCs w:val="22"/>
        </w:rPr>
        <w:t xml:space="preserve"> efforts to work with the International Civil Aviation Organization (ICAO)</w:t>
      </w:r>
      <w:r w:rsidR="005676A4">
        <w:rPr>
          <w:szCs w:val="22"/>
        </w:rPr>
        <w:t>,</w:t>
      </w:r>
      <w:r w:rsidRPr="00917EE9">
        <w:rPr>
          <w:szCs w:val="22"/>
        </w:rPr>
        <w:t xml:space="preserve"> and to request ICAO form a working group or similar body in conjunction with the H</w:t>
      </w:r>
      <w:r>
        <w:rPr>
          <w:szCs w:val="22"/>
        </w:rPr>
        <w:t>TOC</w:t>
      </w:r>
      <w:r w:rsidRPr="00917EE9">
        <w:rPr>
          <w:szCs w:val="22"/>
        </w:rPr>
        <w:t xml:space="preserve"> to better estimate current and future civil aviation ins</w:t>
      </w:r>
      <w:r w:rsidR="005676A4">
        <w:rPr>
          <w:szCs w:val="22"/>
        </w:rPr>
        <w:t>talled base and emissions and</w:t>
      </w:r>
      <w:r w:rsidRPr="00917EE9">
        <w:rPr>
          <w:szCs w:val="22"/>
        </w:rPr>
        <w:t xml:space="preserve"> report back at the 31</w:t>
      </w:r>
      <w:r w:rsidRPr="004137C2">
        <w:rPr>
          <w:szCs w:val="22"/>
          <w:vertAlign w:val="superscript"/>
        </w:rPr>
        <w:t>st</w:t>
      </w:r>
      <w:r>
        <w:rPr>
          <w:szCs w:val="22"/>
        </w:rPr>
        <w:t xml:space="preserve"> </w:t>
      </w:r>
      <w:r w:rsidRPr="00917EE9">
        <w:rPr>
          <w:szCs w:val="22"/>
        </w:rPr>
        <w:t>Meeting of the Parties</w:t>
      </w:r>
      <w:r w:rsidRPr="00B659FC">
        <w:t>.</w:t>
      </w:r>
    </w:p>
    <w:p w14:paraId="5BB76736" w14:textId="77777777" w:rsidR="005F5DCC" w:rsidRPr="00A81889" w:rsidRDefault="005F5DCC" w:rsidP="00A140B1">
      <w:pPr>
        <w:rPr>
          <w:szCs w:val="22"/>
        </w:rPr>
      </w:pPr>
      <w:r w:rsidRPr="00A81889">
        <w:rPr>
          <w:szCs w:val="22"/>
        </w:rPr>
        <w:t>At the ICAO 39</w:t>
      </w:r>
      <w:r w:rsidRPr="004137C2">
        <w:rPr>
          <w:szCs w:val="22"/>
          <w:vertAlign w:val="superscript"/>
        </w:rPr>
        <w:t>th</w:t>
      </w:r>
      <w:r w:rsidRPr="00A81889">
        <w:rPr>
          <w:szCs w:val="22"/>
        </w:rPr>
        <w:t xml:space="preserve"> Assembly in October 2016, Resolution 39-13 was approved that sets a date for the replacement of halons in the cargo compartments of newly designed aircraft in the 2024 timeframe. Owing to a delay in the commercialisation of 2-bromo-3,3,3-trifluoropropene (2-BTP) as an agent for use in hand-held extinguishers, an amendment was approved to Annex 6 of the Chicago Convention delaying the requirement for halon replacement in hand-held extinguishers on new production aircraft until </w:t>
      </w:r>
      <w:r>
        <w:rPr>
          <w:szCs w:val="22"/>
        </w:rPr>
        <w:t xml:space="preserve">31 </w:t>
      </w:r>
      <w:r w:rsidRPr="00A81889">
        <w:rPr>
          <w:szCs w:val="22"/>
        </w:rPr>
        <w:t>December 2018.</w:t>
      </w:r>
    </w:p>
    <w:p w14:paraId="1D5A7AAB" w14:textId="0FE8DEA8" w:rsidR="00015FF3" w:rsidRPr="00FD4EE9" w:rsidRDefault="005F5DCC" w:rsidP="00A140B1">
      <w:pPr>
        <w:rPr>
          <w:rFonts w:eastAsia="MS Mincho"/>
        </w:rPr>
      </w:pPr>
      <w:r w:rsidRPr="00A81889">
        <w:rPr>
          <w:szCs w:val="22"/>
        </w:rPr>
        <w:t>A low</w:t>
      </w:r>
      <w:r>
        <w:rPr>
          <w:szCs w:val="22"/>
        </w:rPr>
        <w:t>-</w:t>
      </w:r>
      <w:r w:rsidRPr="00A81889">
        <w:rPr>
          <w:szCs w:val="22"/>
        </w:rPr>
        <w:t>GWP chemical being commercialised for solvent, foam-blowing and refrigerant applications, HCFO-</w:t>
      </w:r>
      <w:proofErr w:type="gramStart"/>
      <w:r w:rsidRPr="00A81889">
        <w:rPr>
          <w:szCs w:val="22"/>
        </w:rPr>
        <w:t>1233zd(</w:t>
      </w:r>
      <w:proofErr w:type="gramEnd"/>
      <w:r w:rsidRPr="00A81889">
        <w:rPr>
          <w:szCs w:val="22"/>
        </w:rPr>
        <w:t>E), was submitted by the manufacturer and has received US Environmental Protection Agency (EPA) Significant New Alternatives Policy (SNAP)</w:t>
      </w:r>
      <w:r>
        <w:rPr>
          <w:szCs w:val="22"/>
        </w:rPr>
        <w:t xml:space="preserve"> program listing as acceptable</w:t>
      </w:r>
      <w:r w:rsidRPr="00A81889">
        <w:rPr>
          <w:szCs w:val="22"/>
        </w:rPr>
        <w:t xml:space="preserve"> for fire protection in total flooding applications in 2016. However, the manufacturer has subsequently decided not to proceed further with its listing as a total flooding agent in the International Organization for Standardi</w:t>
      </w:r>
      <w:r>
        <w:rPr>
          <w:szCs w:val="22"/>
        </w:rPr>
        <w:t>s</w:t>
      </w:r>
      <w:r w:rsidRPr="00A81889">
        <w:rPr>
          <w:szCs w:val="22"/>
        </w:rPr>
        <w:t xml:space="preserve">ation (ISO) and the National Fire Protection Association standards, which would have been required prior to its use in this application in countries (e.g., Australia, EU, </w:t>
      </w:r>
      <w:r w:rsidR="005676A4" w:rsidRPr="00A81889">
        <w:rPr>
          <w:szCs w:val="22"/>
        </w:rPr>
        <w:t>South Africa</w:t>
      </w:r>
      <w:r w:rsidR="005676A4">
        <w:rPr>
          <w:szCs w:val="22"/>
        </w:rPr>
        <w:t>,</w:t>
      </w:r>
      <w:r w:rsidR="005676A4" w:rsidRPr="00A81889">
        <w:rPr>
          <w:szCs w:val="22"/>
        </w:rPr>
        <w:t xml:space="preserve"> </w:t>
      </w:r>
      <w:r w:rsidRPr="00A81889">
        <w:rPr>
          <w:szCs w:val="22"/>
        </w:rPr>
        <w:t>US, etc.) that adopt such standards</w:t>
      </w:r>
      <w:r w:rsidR="00A81889" w:rsidRPr="00A81889">
        <w:rPr>
          <w:szCs w:val="22"/>
        </w:rPr>
        <w:t>.</w:t>
      </w:r>
    </w:p>
    <w:p w14:paraId="3320C4C5" w14:textId="77777777" w:rsidR="00313318" w:rsidRPr="00FD4EE9" w:rsidRDefault="004654D3" w:rsidP="00413E4A">
      <w:pPr>
        <w:pStyle w:val="Heading3"/>
      </w:pPr>
      <w:bookmarkStart w:id="20" w:name="_Toc484164312"/>
      <w:r w:rsidRPr="00FD4EE9">
        <w:t xml:space="preserve">1.1.3. </w:t>
      </w:r>
      <w:r w:rsidR="00015FF3" w:rsidRPr="00FD4EE9">
        <w:t>MBTOC</w:t>
      </w:r>
      <w:bookmarkEnd w:id="20"/>
    </w:p>
    <w:p w14:paraId="6AD579C0" w14:textId="77777777" w:rsidR="000D6BA0" w:rsidRDefault="000D6BA0" w:rsidP="00A140B1">
      <w:pPr>
        <w:shd w:val="clear" w:color="auto" w:fill="FFFFFF"/>
        <w:spacing w:after="0"/>
        <w:rPr>
          <w:szCs w:val="22"/>
          <w:lang w:val="en-US" w:eastAsia="en-US"/>
        </w:rPr>
      </w:pPr>
      <w:r w:rsidRPr="000D6BA0">
        <w:rPr>
          <w:szCs w:val="22"/>
          <w:lang w:val="en-US" w:eastAsia="en-US"/>
        </w:rPr>
        <w:t>Article 7 data indicate that 99% of controlled uses have been phased out, and Critical Use Nomination (CUN) amounts of MB requested in 2017 have decreased to about 300 tonnes. However, MBTOC has identified a discrepancy of around 15,000 tonnes between top-down and bottom-up comparisons of emissions and production/consumption. Parties may wish to consider investigating this apparent discrepancy.</w:t>
      </w:r>
    </w:p>
    <w:p w14:paraId="514B9985" w14:textId="77777777" w:rsidR="004F10BF" w:rsidRDefault="004F10BF" w:rsidP="00A140B1">
      <w:pPr>
        <w:shd w:val="clear" w:color="auto" w:fill="FFFFFF"/>
        <w:spacing w:after="0"/>
        <w:rPr>
          <w:szCs w:val="22"/>
          <w:lang w:val="en-US" w:eastAsia="en-US"/>
        </w:rPr>
      </w:pPr>
    </w:p>
    <w:p w14:paraId="5C4D53F0" w14:textId="77777777" w:rsidR="004F10BF" w:rsidRPr="004F10BF" w:rsidRDefault="004F10BF" w:rsidP="00A140B1">
      <w:pPr>
        <w:shd w:val="clear" w:color="auto" w:fill="FFFFFF"/>
        <w:spacing w:after="0"/>
        <w:rPr>
          <w:rFonts w:ascii="Helvetica Neue" w:hAnsi="Helvetica Neue"/>
          <w:szCs w:val="22"/>
          <w:lang w:val="en-US" w:eastAsia="en-US"/>
        </w:rPr>
      </w:pPr>
      <w:r w:rsidRPr="004F10BF">
        <w:rPr>
          <w:szCs w:val="22"/>
          <w:lang w:val="en-US" w:eastAsia="en-US"/>
        </w:rPr>
        <w:t>Some parties have expressed concerns over difficulties in interpreting the categories of MB uses between controlled and exempt uses. Parties may wish to consider requesting MBTOC to provide clear examples of the allocation of MB between controlled and exempt uses under the provisions of the Montreal Protocol.  Subsequently parties may wish to consider providing assistance.</w:t>
      </w:r>
    </w:p>
    <w:p w14:paraId="1D9A091D" w14:textId="77777777" w:rsidR="004F10BF" w:rsidRDefault="004F10BF" w:rsidP="00A140B1">
      <w:pPr>
        <w:shd w:val="clear" w:color="auto" w:fill="FFFFFF"/>
        <w:spacing w:after="0"/>
        <w:rPr>
          <w:szCs w:val="22"/>
          <w:lang w:val="en-US" w:eastAsia="en-US"/>
        </w:rPr>
      </w:pPr>
    </w:p>
    <w:p w14:paraId="26C4C471" w14:textId="3E9468CD" w:rsidR="004F10BF" w:rsidRPr="004F10BF" w:rsidRDefault="004F10BF" w:rsidP="00A140B1">
      <w:pPr>
        <w:shd w:val="clear" w:color="auto" w:fill="FFFFFF"/>
        <w:spacing w:after="0"/>
        <w:rPr>
          <w:rFonts w:ascii="Helvetica Neue" w:hAnsi="Helvetica Neue"/>
          <w:szCs w:val="22"/>
          <w:lang w:val="en-US" w:eastAsia="en-US"/>
        </w:rPr>
      </w:pPr>
      <w:r w:rsidRPr="004F10BF">
        <w:rPr>
          <w:szCs w:val="22"/>
          <w:lang w:val="en-US" w:eastAsia="en-US"/>
        </w:rPr>
        <w:t xml:space="preserve">MBTOC is concerned that the official reporting of stocks under the present Decisions is only a requirement for those parties </w:t>
      </w:r>
      <w:r w:rsidR="00064F81">
        <w:rPr>
          <w:szCs w:val="22"/>
          <w:lang w:val="en-US" w:eastAsia="en-US"/>
        </w:rPr>
        <w:t>that</w:t>
      </w:r>
      <w:r w:rsidRPr="004F10BF">
        <w:rPr>
          <w:szCs w:val="22"/>
          <w:lang w:val="en-US" w:eastAsia="en-US"/>
        </w:rPr>
        <w:t xml:space="preserve"> submit CUNs and thus an unknown amount of stocks may be held</w:t>
      </w:r>
      <w:r w:rsidR="00064F81">
        <w:rPr>
          <w:szCs w:val="22"/>
          <w:lang w:val="en-US" w:eastAsia="en-US"/>
        </w:rPr>
        <w:t xml:space="preserve"> and</w:t>
      </w:r>
      <w:r w:rsidRPr="004F10BF">
        <w:rPr>
          <w:szCs w:val="22"/>
          <w:lang w:val="en-US" w:eastAsia="en-US"/>
        </w:rPr>
        <w:t>/</w:t>
      </w:r>
      <w:r w:rsidR="00064F81">
        <w:rPr>
          <w:szCs w:val="22"/>
          <w:lang w:val="en-US" w:eastAsia="en-US"/>
        </w:rPr>
        <w:t xml:space="preserve">or </w:t>
      </w:r>
      <w:r w:rsidRPr="004F10BF">
        <w:rPr>
          <w:szCs w:val="22"/>
          <w:lang w:val="en-US" w:eastAsia="en-US"/>
        </w:rPr>
        <w:t>used by parties who do not submit a CUN.  MBTOC is</w:t>
      </w:r>
      <w:r w:rsidR="00064F81">
        <w:rPr>
          <w:szCs w:val="22"/>
          <w:lang w:val="en-US" w:eastAsia="en-US"/>
        </w:rPr>
        <w:t xml:space="preserve"> further</w:t>
      </w:r>
      <w:r w:rsidRPr="004F10BF">
        <w:rPr>
          <w:szCs w:val="22"/>
          <w:lang w:val="en-US" w:eastAsia="en-US"/>
        </w:rPr>
        <w:t xml:space="preserve"> concerned that the continuous granting of exemptions over many years for strawberry runners </w:t>
      </w:r>
      <w:r w:rsidR="005F5DCC">
        <w:rPr>
          <w:szCs w:val="22"/>
          <w:lang w:val="en-US" w:eastAsia="en-US"/>
        </w:rPr>
        <w:t xml:space="preserve">may, in and of itself, </w:t>
      </w:r>
      <w:r w:rsidR="005F5DCC" w:rsidRPr="004F10BF">
        <w:rPr>
          <w:szCs w:val="22"/>
          <w:lang w:val="en-US" w:eastAsia="en-US"/>
        </w:rPr>
        <w:t>becom</w:t>
      </w:r>
      <w:r w:rsidR="005F5DCC">
        <w:rPr>
          <w:szCs w:val="22"/>
          <w:lang w:val="en-US" w:eastAsia="en-US"/>
        </w:rPr>
        <w:t>e</w:t>
      </w:r>
      <w:r w:rsidR="005F5DCC" w:rsidRPr="004F10BF">
        <w:rPr>
          <w:szCs w:val="22"/>
          <w:lang w:val="en-US" w:eastAsia="en-US"/>
        </w:rPr>
        <w:t xml:space="preserve"> a </w:t>
      </w:r>
      <w:r w:rsidR="005F5DCC">
        <w:rPr>
          <w:szCs w:val="22"/>
          <w:lang w:val="en-US" w:eastAsia="en-US"/>
        </w:rPr>
        <w:t xml:space="preserve">potential </w:t>
      </w:r>
      <w:r w:rsidR="005F5DCC" w:rsidRPr="004F10BF">
        <w:rPr>
          <w:szCs w:val="22"/>
          <w:lang w:val="en-US" w:eastAsia="en-US"/>
        </w:rPr>
        <w:t>barrier for the adoption of technically and economically feasible alternatives</w:t>
      </w:r>
      <w:r w:rsidRPr="004F10BF">
        <w:rPr>
          <w:szCs w:val="22"/>
          <w:lang w:val="en-US" w:eastAsia="en-US"/>
        </w:rPr>
        <w:t>.</w:t>
      </w:r>
    </w:p>
    <w:p w14:paraId="65B0F9F7" w14:textId="77777777" w:rsidR="004F10BF" w:rsidRDefault="004F10BF" w:rsidP="00A140B1">
      <w:pPr>
        <w:shd w:val="clear" w:color="auto" w:fill="FFFFFF"/>
        <w:spacing w:after="0"/>
        <w:rPr>
          <w:szCs w:val="22"/>
          <w:lang w:val="en-US" w:eastAsia="en-US"/>
        </w:rPr>
      </w:pPr>
    </w:p>
    <w:p w14:paraId="51726D8B" w14:textId="6E39A38E" w:rsidR="004F10BF" w:rsidRPr="004F10BF" w:rsidRDefault="004F10BF" w:rsidP="00A140B1">
      <w:pPr>
        <w:shd w:val="clear" w:color="auto" w:fill="FFFFFF"/>
        <w:spacing w:after="0"/>
        <w:rPr>
          <w:rFonts w:ascii="Helvetica Neue" w:hAnsi="Helvetica Neue"/>
          <w:szCs w:val="22"/>
          <w:lang w:val="en-US" w:eastAsia="en-US"/>
        </w:rPr>
      </w:pPr>
      <w:r w:rsidRPr="004F10BF">
        <w:rPr>
          <w:szCs w:val="22"/>
          <w:lang w:val="en-US" w:eastAsia="en-US"/>
        </w:rPr>
        <w:t>Nearly all the MB used for</w:t>
      </w:r>
      <w:r w:rsidR="005F5DCC">
        <w:rPr>
          <w:szCs w:val="22"/>
          <w:lang w:val="en-US" w:eastAsia="en-US"/>
        </w:rPr>
        <w:t xml:space="preserve"> quarantine and pre-shipment</w:t>
      </w:r>
      <w:r w:rsidRPr="004F10BF">
        <w:rPr>
          <w:szCs w:val="22"/>
          <w:lang w:val="en-US" w:eastAsia="en-US"/>
        </w:rPr>
        <w:t xml:space="preserve"> </w:t>
      </w:r>
      <w:r w:rsidR="005F5DCC">
        <w:rPr>
          <w:szCs w:val="22"/>
          <w:lang w:val="en-US" w:eastAsia="en-US"/>
        </w:rPr>
        <w:t>(</w:t>
      </w:r>
      <w:r w:rsidRPr="004F10BF">
        <w:rPr>
          <w:szCs w:val="22"/>
          <w:lang w:val="en-US" w:eastAsia="en-US"/>
        </w:rPr>
        <w:t>QPS</w:t>
      </w:r>
      <w:r w:rsidR="005F5DCC">
        <w:rPr>
          <w:szCs w:val="22"/>
          <w:lang w:val="en-US" w:eastAsia="en-US"/>
        </w:rPr>
        <w:t>)</w:t>
      </w:r>
      <w:r w:rsidRPr="004F10BF">
        <w:rPr>
          <w:szCs w:val="22"/>
          <w:lang w:val="en-US" w:eastAsia="en-US"/>
        </w:rPr>
        <w:t xml:space="preserve"> is emitted to the atmosphere as recapture systems are either impractical or not being used. This is offsetting the benefit gained by </w:t>
      </w:r>
      <w:r w:rsidR="0001208A">
        <w:rPr>
          <w:szCs w:val="22"/>
          <w:lang w:val="en-US" w:eastAsia="en-US"/>
        </w:rPr>
        <w:t xml:space="preserve">the </w:t>
      </w:r>
      <w:r w:rsidRPr="004F10BF">
        <w:rPr>
          <w:szCs w:val="22"/>
          <w:lang w:val="en-US" w:eastAsia="en-US"/>
        </w:rPr>
        <w:t>phasing out</w:t>
      </w:r>
      <w:r w:rsidR="0001208A">
        <w:rPr>
          <w:szCs w:val="22"/>
          <w:lang w:val="en-US" w:eastAsia="en-US"/>
        </w:rPr>
        <w:t xml:space="preserve"> of</w:t>
      </w:r>
      <w:r w:rsidRPr="004F10BF">
        <w:rPr>
          <w:szCs w:val="22"/>
          <w:lang w:val="en-US" w:eastAsia="en-US"/>
        </w:rPr>
        <w:t xml:space="preserve"> controlled uses. Parties may wish to consider controlling the use of MB for those uses of QPS for which proven alternatives are available.  </w:t>
      </w:r>
    </w:p>
    <w:p w14:paraId="2DE14E28" w14:textId="77777777" w:rsidR="004F10BF" w:rsidRPr="004F10BF" w:rsidRDefault="004F10BF" w:rsidP="00A140B1">
      <w:pPr>
        <w:spacing w:after="0"/>
        <w:rPr>
          <w:rFonts w:ascii="Times" w:hAnsi="Times"/>
          <w:color w:val="auto"/>
          <w:sz w:val="20"/>
          <w:lang w:val="en-US" w:eastAsia="en-US"/>
        </w:rPr>
      </w:pPr>
    </w:p>
    <w:p w14:paraId="37801425" w14:textId="77777777" w:rsidR="001D3775" w:rsidRDefault="004654D3" w:rsidP="00413E4A">
      <w:pPr>
        <w:pStyle w:val="Heading3"/>
      </w:pPr>
      <w:bookmarkStart w:id="21" w:name="_Toc484164313"/>
      <w:r w:rsidRPr="00FD4EE9">
        <w:lastRenderedPageBreak/>
        <w:t xml:space="preserve">1.1.4. </w:t>
      </w:r>
      <w:r w:rsidR="00015FF3" w:rsidRPr="00FD4EE9">
        <w:t>MCTOC</w:t>
      </w:r>
      <w:bookmarkEnd w:id="21"/>
    </w:p>
    <w:p w14:paraId="14D126FD" w14:textId="389A2D79" w:rsidR="00656E7D" w:rsidRDefault="00656E7D" w:rsidP="00A140B1">
      <w:r w:rsidRPr="00C65261">
        <w:t>The global transition away from chlorofluorocarbon (CFC) metered dose inhalers (MDIs) is almost complete</w:t>
      </w:r>
      <w:r w:rsidR="0010207A">
        <w:t>d</w:t>
      </w:r>
      <w:r w:rsidRPr="00C65261">
        <w:t>.</w:t>
      </w:r>
    </w:p>
    <w:p w14:paraId="1BD4FDD8" w14:textId="34447174" w:rsidR="00656E7D" w:rsidRPr="00D82748" w:rsidRDefault="00656E7D" w:rsidP="00A140B1">
      <w:r w:rsidRPr="008B0D02">
        <w:t>Based on the information reported</w:t>
      </w:r>
      <w:r w:rsidRPr="002F5146">
        <w:t xml:space="preserve"> </w:t>
      </w:r>
      <w:r>
        <w:t>by p</w:t>
      </w:r>
      <w:r w:rsidRPr="008B0D02">
        <w:t xml:space="preserve">arties on </w:t>
      </w:r>
      <w:r>
        <w:t xml:space="preserve">the use of controlled substances under exemptions as </w:t>
      </w:r>
      <w:r w:rsidRPr="008B0D02">
        <w:t>process agent</w:t>
      </w:r>
      <w:r>
        <w:t>s</w:t>
      </w:r>
      <w:r w:rsidRPr="008B0D02">
        <w:t xml:space="preserve">, </w:t>
      </w:r>
      <w:r>
        <w:t>p</w:t>
      </w:r>
      <w:r w:rsidRPr="008B0D02">
        <w:t xml:space="preserve">arties </w:t>
      </w:r>
      <w:r>
        <w:t xml:space="preserve">may wish to </w:t>
      </w:r>
      <w:r w:rsidRPr="008B0D02">
        <w:t>consider changes to Tables A and B of Decision XXII/7</w:t>
      </w:r>
      <w:r>
        <w:t>, and</w:t>
      </w:r>
      <w:r w:rsidRPr="008B0D02">
        <w:t xml:space="preserve"> </w:t>
      </w:r>
      <w:r>
        <w:t xml:space="preserve">that additional </w:t>
      </w:r>
      <w:r w:rsidRPr="008B0D02">
        <w:t xml:space="preserve">information </w:t>
      </w:r>
      <w:proofErr w:type="gramStart"/>
      <w:r>
        <w:t>be</w:t>
      </w:r>
      <w:proofErr w:type="gramEnd"/>
      <w:r>
        <w:t xml:space="preserve"> provided by p</w:t>
      </w:r>
      <w:r w:rsidRPr="008B0D02">
        <w:t>arties.</w:t>
      </w:r>
    </w:p>
    <w:p w14:paraId="551B152B" w14:textId="77777777" w:rsidR="00656E7D" w:rsidRDefault="00656E7D" w:rsidP="00A140B1">
      <w:pPr>
        <w:rPr>
          <w:iCs/>
        </w:rPr>
      </w:pPr>
      <w:r>
        <w:rPr>
          <w:iCs/>
        </w:rPr>
        <w:t>In 2015</w:t>
      </w:r>
      <w:r w:rsidRPr="00B90DA4">
        <w:rPr>
          <w:iCs/>
        </w:rPr>
        <w:t xml:space="preserve">, total production </w:t>
      </w:r>
      <w:r>
        <w:rPr>
          <w:iCs/>
        </w:rPr>
        <w:t xml:space="preserve">of ODS for feedstock uses </w:t>
      </w:r>
      <w:r w:rsidRPr="00B90DA4">
        <w:rPr>
          <w:iCs/>
        </w:rPr>
        <w:t xml:space="preserve">was </w:t>
      </w:r>
      <w:r>
        <w:t>1,084,101</w:t>
      </w:r>
      <w:r w:rsidRPr="00210126">
        <w:rPr>
          <w:iCs/>
        </w:rPr>
        <w:t xml:space="preserve"> tonnes, representing a total of </w:t>
      </w:r>
      <w:r>
        <w:t>375,488</w:t>
      </w:r>
      <w:r w:rsidRPr="00210126">
        <w:rPr>
          <w:iCs/>
        </w:rPr>
        <w:t xml:space="preserve"> ODP tonnes</w:t>
      </w:r>
      <w:r w:rsidRPr="00B90DA4">
        <w:rPr>
          <w:iCs/>
        </w:rPr>
        <w:t xml:space="preserve">. </w:t>
      </w:r>
      <w:r>
        <w:rPr>
          <w:iCs/>
        </w:rPr>
        <w:t>T</w:t>
      </w:r>
      <w:r w:rsidRPr="00E047FB">
        <w:rPr>
          <w:iCs/>
        </w:rPr>
        <w:t xml:space="preserve">he range of </w:t>
      </w:r>
      <w:r>
        <w:rPr>
          <w:iCs/>
        </w:rPr>
        <w:t xml:space="preserve">ODS </w:t>
      </w:r>
      <w:r w:rsidRPr="00E047FB">
        <w:rPr>
          <w:iCs/>
        </w:rPr>
        <w:t xml:space="preserve">emissions from feedstock uses </w:t>
      </w:r>
      <w:r>
        <w:rPr>
          <w:iCs/>
        </w:rPr>
        <w:t>is</w:t>
      </w:r>
      <w:r w:rsidRPr="00E047FB">
        <w:rPr>
          <w:iCs/>
        </w:rPr>
        <w:t xml:space="preserve"> estimated as 5,421 to 21,682 tonnes, or 1,877 to 7,510 ODP tonnes</w:t>
      </w:r>
      <w:r w:rsidRPr="00B008B4">
        <w:rPr>
          <w:iCs/>
        </w:rPr>
        <w:t xml:space="preserve"> </w:t>
      </w:r>
      <w:r w:rsidRPr="00E047FB">
        <w:rPr>
          <w:iCs/>
        </w:rPr>
        <w:t xml:space="preserve">for 2015. </w:t>
      </w:r>
    </w:p>
    <w:p w14:paraId="0B07FA53" w14:textId="77777777" w:rsidR="00656E7D" w:rsidRPr="0099438A" w:rsidRDefault="00656E7D" w:rsidP="00A140B1">
      <w:pPr>
        <w:rPr>
          <w:iCs/>
        </w:rPr>
      </w:pPr>
      <w:r w:rsidRPr="00603A46">
        <w:t xml:space="preserve">Parties may wish to consider providing MCTOC with production data for </w:t>
      </w:r>
      <w:r w:rsidRPr="00603A46">
        <w:rPr>
          <w:i/>
        </w:rPr>
        <w:t>n</w:t>
      </w:r>
      <w:r w:rsidRPr="00603A46">
        <w:t>-propyl bromide in order that global production quantities could be collated and reported.</w:t>
      </w:r>
    </w:p>
    <w:p w14:paraId="4C1B049D" w14:textId="77777777" w:rsidR="00656E7D" w:rsidRDefault="00656E7D" w:rsidP="00A140B1">
      <w:r>
        <w:t>There is a</w:t>
      </w:r>
      <w:r w:rsidRPr="00776963">
        <w:t xml:space="preserve"> wide range of alternatives available </w:t>
      </w:r>
      <w:r>
        <w:t xml:space="preserve">for </w:t>
      </w:r>
      <w:r w:rsidRPr="00776963">
        <w:t>methyl bromid</w:t>
      </w:r>
      <w:r>
        <w:t>e when used as a methylating agent, and an insignificant volume</w:t>
      </w:r>
      <w:r w:rsidRPr="006E6AE0">
        <w:rPr>
          <w:iCs/>
          <w:lang w:val="en-AU"/>
        </w:rPr>
        <w:t xml:space="preserve"> of methyl bromide</w:t>
      </w:r>
      <w:r>
        <w:rPr>
          <w:iCs/>
          <w:lang w:val="en-AU"/>
        </w:rPr>
        <w:t xml:space="preserve"> used in this and other laboratory and analytical applications</w:t>
      </w:r>
      <w:r>
        <w:t>.</w:t>
      </w:r>
      <w:r w:rsidRPr="00776963">
        <w:t xml:space="preserve"> </w:t>
      </w:r>
      <w:r w:rsidRPr="00603A46">
        <w:t xml:space="preserve">TEAP </w:t>
      </w:r>
      <w:r>
        <w:t>plans to</w:t>
      </w:r>
      <w:r w:rsidRPr="00603A46">
        <w:t xml:space="preserve"> report further on this topic if and when parties make available new and different information</w:t>
      </w:r>
      <w:r w:rsidRPr="00776963">
        <w:t>.</w:t>
      </w:r>
    </w:p>
    <w:p w14:paraId="1BFB5AA5" w14:textId="0D78FF6C" w:rsidR="00656E7D" w:rsidRPr="00656E7D" w:rsidRDefault="00656E7D" w:rsidP="00A140B1">
      <w:pPr>
        <w:rPr>
          <w:lang w:val="en-US"/>
        </w:rPr>
      </w:pPr>
      <w:r w:rsidRPr="00536ED8">
        <w:rPr>
          <w:lang w:val="en-US"/>
        </w:rPr>
        <w:t>Parties may wish to consider nominating experts</w:t>
      </w:r>
      <w:r>
        <w:rPr>
          <w:lang w:val="en-US"/>
        </w:rPr>
        <w:t xml:space="preserve"> to MCTOC, in particular for destruction technologies and laboratory and analytical uses</w:t>
      </w:r>
      <w:r w:rsidRPr="00536ED8">
        <w:rPr>
          <w:lang w:val="en-US"/>
        </w:rPr>
        <w:t>.</w:t>
      </w:r>
      <w:r>
        <w:rPr>
          <w:lang w:val="en-US"/>
        </w:rPr>
        <w:t xml:space="preserve"> </w:t>
      </w:r>
      <w:r w:rsidRPr="00536ED8">
        <w:rPr>
          <w:lang w:val="en-US"/>
        </w:rPr>
        <w:t xml:space="preserve">In addition, parties </w:t>
      </w:r>
      <w:r>
        <w:rPr>
          <w:lang w:val="en-US"/>
        </w:rPr>
        <w:t>may wish to consider providing</w:t>
      </w:r>
      <w:r w:rsidRPr="00536ED8">
        <w:rPr>
          <w:lang w:val="en-US"/>
        </w:rPr>
        <w:t xml:space="preserve"> </w:t>
      </w:r>
      <w:r>
        <w:rPr>
          <w:lang w:val="en-US"/>
        </w:rPr>
        <w:t xml:space="preserve">any </w:t>
      </w:r>
      <w:r w:rsidRPr="00536ED8">
        <w:rPr>
          <w:lang w:val="en-US"/>
        </w:rPr>
        <w:t>relevant new information on destruction technologies.</w:t>
      </w:r>
    </w:p>
    <w:p w14:paraId="4791B173" w14:textId="354EE7F6" w:rsidR="00015FF3" w:rsidRPr="00FD4EE9" w:rsidRDefault="004654D3" w:rsidP="00413E4A">
      <w:pPr>
        <w:pStyle w:val="Heading3"/>
      </w:pPr>
      <w:bookmarkStart w:id="22" w:name="_Toc484164314"/>
      <w:r w:rsidRPr="00FD4EE9">
        <w:t xml:space="preserve">1.1.5. </w:t>
      </w:r>
      <w:r w:rsidR="00015FF3" w:rsidRPr="00FD4EE9">
        <w:t>RTOC</w:t>
      </w:r>
      <w:bookmarkEnd w:id="22"/>
    </w:p>
    <w:p w14:paraId="78F79660" w14:textId="77777777" w:rsidR="005F5DCC" w:rsidRPr="00FD1E75" w:rsidRDefault="005F5DCC" w:rsidP="00A140B1">
      <w:r w:rsidRPr="00FD1E75">
        <w:t>R</w:t>
      </w:r>
      <w:r>
        <w:t>esearch and development</w:t>
      </w:r>
      <w:r w:rsidRPr="00FD1E75">
        <w:t xml:space="preserve"> to improve the performance of </w:t>
      </w:r>
      <w:r>
        <w:t>refrigeration and air conditioning (</w:t>
      </w:r>
      <w:r w:rsidRPr="00FD1E75">
        <w:t>RAC</w:t>
      </w:r>
      <w:r>
        <w:t>) equipment</w:t>
      </w:r>
      <w:r w:rsidRPr="00FD1E75">
        <w:t xml:space="preserve"> containing low</w:t>
      </w:r>
      <w:r>
        <w:t>-</w:t>
      </w:r>
      <w:r w:rsidRPr="00FD1E75">
        <w:t>GWP and zero</w:t>
      </w:r>
      <w:r>
        <w:t>-ozone depletion potential (</w:t>
      </w:r>
      <w:r w:rsidRPr="00FD1E75">
        <w:t>ODP</w:t>
      </w:r>
      <w:r>
        <w:t>)</w:t>
      </w:r>
      <w:r w:rsidRPr="00FD1E75">
        <w:t xml:space="preserve"> refrigerants continues to make strong progress.</w:t>
      </w:r>
    </w:p>
    <w:p w14:paraId="4D50CB6C" w14:textId="77777777" w:rsidR="005F5DCC" w:rsidRPr="00FD1E75" w:rsidRDefault="005F5DCC" w:rsidP="00A140B1">
      <w:r w:rsidRPr="00FD1E75">
        <w:t xml:space="preserve">The charge limit of flammable refrigerants in </w:t>
      </w:r>
      <w:r>
        <w:t xml:space="preserve">the </w:t>
      </w:r>
      <w:r w:rsidRPr="00FD1E75">
        <w:t xml:space="preserve">US has increased from 57 to 150 g. Use of HC-600a for </w:t>
      </w:r>
      <w:proofErr w:type="gramStart"/>
      <w:r w:rsidRPr="00FD1E75">
        <w:t>new domestic appliances continues</w:t>
      </w:r>
      <w:proofErr w:type="gramEnd"/>
      <w:r w:rsidRPr="00FD1E75">
        <w:t xml:space="preserve"> to grow. </w:t>
      </w:r>
    </w:p>
    <w:p w14:paraId="2F98D377" w14:textId="77777777" w:rsidR="005F5DCC" w:rsidRPr="00FD1E75" w:rsidRDefault="005F5DCC" w:rsidP="00A140B1">
      <w:r w:rsidRPr="00FD1E75">
        <w:t xml:space="preserve">Transcritical </w:t>
      </w:r>
      <w:r>
        <w:t>carbon dioxide (</w:t>
      </w:r>
      <w:r w:rsidRPr="00FD1E75">
        <w:t>CO</w:t>
      </w:r>
      <w:r w:rsidRPr="00FD1E75">
        <w:rPr>
          <w:vertAlign w:val="subscript"/>
        </w:rPr>
        <w:t>2</w:t>
      </w:r>
      <w:r>
        <w:t xml:space="preserve">) </w:t>
      </w:r>
      <w:r w:rsidRPr="00FD1E75">
        <w:t>systems using technical improvements such as ejector, sub</w:t>
      </w:r>
      <w:r>
        <w:t>-</w:t>
      </w:r>
      <w:r w:rsidRPr="00FD1E75">
        <w:t>cooling and parallel compression have started to be installed in supermarkets to increase energy efficiency</w:t>
      </w:r>
      <w:r>
        <w:t>.</w:t>
      </w:r>
    </w:p>
    <w:p w14:paraId="14F53EEB" w14:textId="74B2215C" w:rsidR="005F5DCC" w:rsidRPr="00FD1E75" w:rsidRDefault="005F5DCC" w:rsidP="00A140B1">
      <w:r w:rsidRPr="00FD1E75">
        <w:t>The production of HFC-32 air-to-air conditioners continues in</w:t>
      </w:r>
      <w:r w:rsidR="00357734">
        <w:t xml:space="preserve"> Japan,</w:t>
      </w:r>
      <w:r w:rsidRPr="00FD1E75">
        <w:t xml:space="preserve"> South</w:t>
      </w:r>
      <w:r>
        <w:t>e</w:t>
      </w:r>
      <w:r w:rsidRPr="00FD1E75">
        <w:t>ast Asia and Australia and is beginning in Europe. In India</w:t>
      </w:r>
      <w:r>
        <w:t>,</w:t>
      </w:r>
      <w:r w:rsidRPr="00FD1E75">
        <w:t xml:space="preserve"> production of HC-290 split air conditioners continues, and in China production lines are being converted to HC-290.</w:t>
      </w:r>
    </w:p>
    <w:p w14:paraId="1F7B8A2D" w14:textId="77777777" w:rsidR="005F5DCC" w:rsidRPr="00FD1E75" w:rsidRDefault="005F5DCC" w:rsidP="00A140B1">
      <w:r w:rsidRPr="00FD1E75">
        <w:t>HFO-1234yf has been identified as main HFC-134a replacement</w:t>
      </w:r>
      <w:r>
        <w:t xml:space="preserve"> </w:t>
      </w:r>
      <w:r w:rsidRPr="00FD1E75">
        <w:t xml:space="preserve">for </w:t>
      </w:r>
      <w:r>
        <w:t>mobile air conditioning systems</w:t>
      </w:r>
      <w:r w:rsidRPr="00FD1E75">
        <w:t xml:space="preserve">. R-744 is also an alternative, which is under evaluation for heat pumps on pure electric vehicles. </w:t>
      </w:r>
    </w:p>
    <w:p w14:paraId="3B5152BB" w14:textId="6D5CDC5F" w:rsidR="00015FF3" w:rsidRPr="00FD1E75" w:rsidRDefault="005F5DCC" w:rsidP="00A140B1">
      <w:r w:rsidRPr="00FD1E75">
        <w:t>Considering</w:t>
      </w:r>
      <w:r>
        <w:t xml:space="preserve"> not-in-kind</w:t>
      </w:r>
      <w:r w:rsidRPr="00FD1E75">
        <w:t xml:space="preserve"> </w:t>
      </w:r>
      <w:r>
        <w:t>(</w:t>
      </w:r>
      <w:r w:rsidRPr="00FD1E75">
        <w:t>NIK</w:t>
      </w:r>
      <w:r>
        <w:t>)</w:t>
      </w:r>
      <w:r w:rsidRPr="00FD1E75">
        <w:t xml:space="preserve"> technologies, units using magnetocaloric refrigeration are</w:t>
      </w:r>
      <w:r>
        <w:t xml:space="preserve"> in beta testing at three sites</w:t>
      </w:r>
      <w:r w:rsidR="00FD1E75" w:rsidRPr="00FD1E75">
        <w:t>.</w:t>
      </w:r>
    </w:p>
    <w:p w14:paraId="4418B665" w14:textId="77777777" w:rsidR="007E5803" w:rsidRDefault="007E5803" w:rsidP="00413E4A">
      <w:pPr>
        <w:pStyle w:val="Heading1"/>
        <w:sectPr w:rsidR="007E5803" w:rsidSect="00C271CA">
          <w:headerReference w:type="even" r:id="rId30"/>
          <w:headerReference w:type="default" r:id="rId31"/>
          <w:footerReference w:type="even" r:id="rId32"/>
          <w:headerReference w:type="first" r:id="rId33"/>
          <w:footnotePr>
            <w:numRestart w:val="eachSect"/>
          </w:footnotePr>
          <w:pgSz w:w="11907" w:h="16839" w:code="9"/>
          <w:pgMar w:top="1440" w:right="1797" w:bottom="1525" w:left="1797" w:header="720" w:footer="794" w:gutter="0"/>
          <w:pgNumType w:start="1"/>
          <w:cols w:space="720"/>
          <w:docGrid w:linePitch="299"/>
        </w:sectPr>
      </w:pPr>
    </w:p>
    <w:p w14:paraId="39DFB47D" w14:textId="4901375D" w:rsidR="00AD4B2A" w:rsidRPr="00FD4EE9" w:rsidRDefault="00591AA8" w:rsidP="00413E4A">
      <w:pPr>
        <w:pStyle w:val="Heading1"/>
        <w:rPr>
          <w:rStyle w:val="Heading1Char2"/>
          <w:rFonts w:ascii="Times New Roman" w:hAnsi="Times New Roman"/>
        </w:rPr>
      </w:pPr>
      <w:bookmarkStart w:id="23" w:name="_Toc388648328"/>
      <w:bookmarkStart w:id="24" w:name="_Toc295406112"/>
      <w:bookmarkStart w:id="25" w:name="_Toc484164315"/>
      <w:r w:rsidRPr="00FD4EE9">
        <w:rPr>
          <w:rStyle w:val="Heading1Char2"/>
          <w:rFonts w:ascii="Times New Roman" w:hAnsi="Times New Roman"/>
        </w:rPr>
        <w:lastRenderedPageBreak/>
        <w:t>2</w:t>
      </w:r>
      <w:r w:rsidRPr="00FD4EE9">
        <w:rPr>
          <w:rStyle w:val="Heading1Char2"/>
          <w:rFonts w:ascii="Times New Roman" w:hAnsi="Times New Roman"/>
        </w:rPr>
        <w:tab/>
      </w:r>
      <w:bookmarkStart w:id="26" w:name="_Toc388648338"/>
      <w:bookmarkStart w:id="27" w:name="_Toc295406119"/>
      <w:bookmarkStart w:id="28" w:name="_Toc293834601"/>
      <w:bookmarkStart w:id="29" w:name="OLE_LINK34"/>
      <w:bookmarkStart w:id="30" w:name="OLE_LINK35"/>
      <w:bookmarkEnd w:id="13"/>
      <w:bookmarkEnd w:id="14"/>
      <w:bookmarkEnd w:id="15"/>
      <w:bookmarkEnd w:id="16"/>
      <w:bookmarkEnd w:id="23"/>
      <w:bookmarkEnd w:id="24"/>
      <w:r w:rsidR="00C02CD6" w:rsidRPr="00B81731">
        <w:rPr>
          <w:rStyle w:val="Heading1Char2"/>
        </w:rPr>
        <w:t>Flexible</w:t>
      </w:r>
      <w:r w:rsidR="00C02CD6" w:rsidRPr="00FD4EE9">
        <w:rPr>
          <w:rStyle w:val="Heading1Char2"/>
          <w:rFonts w:ascii="Times New Roman" w:hAnsi="Times New Roman"/>
        </w:rPr>
        <w:t xml:space="preserve"> and Rigid </w:t>
      </w:r>
      <w:r w:rsidRPr="00FD4EE9">
        <w:rPr>
          <w:rStyle w:val="Heading1Char2"/>
          <w:rFonts w:ascii="Times New Roman" w:hAnsi="Times New Roman"/>
        </w:rPr>
        <w:t>Foams TOC (FTOC) Progress Report</w:t>
      </w:r>
      <w:bookmarkEnd w:id="25"/>
      <w:bookmarkEnd w:id="26"/>
      <w:bookmarkEnd w:id="27"/>
      <w:r w:rsidRPr="00FD4EE9">
        <w:rPr>
          <w:rStyle w:val="Heading1Char2"/>
          <w:rFonts w:ascii="Times New Roman" w:hAnsi="Times New Roman"/>
        </w:rPr>
        <w:t xml:space="preserve"> </w:t>
      </w:r>
    </w:p>
    <w:p w14:paraId="70249ABC" w14:textId="07C19CD4" w:rsidR="00260E9A" w:rsidRPr="00674B20" w:rsidRDefault="00260E9A" w:rsidP="00413E4A">
      <w:pPr>
        <w:pStyle w:val="Heading2"/>
      </w:pPr>
      <w:bookmarkStart w:id="31" w:name="_Toc326400865"/>
      <w:bookmarkStart w:id="32" w:name="_Toc484164316"/>
      <w:r w:rsidRPr="00674B20">
        <w:t>Executive Summary</w:t>
      </w:r>
      <w:bookmarkEnd w:id="31"/>
      <w:bookmarkEnd w:id="32"/>
      <w:r w:rsidRPr="00674B20">
        <w:t xml:space="preserve">   </w:t>
      </w:r>
    </w:p>
    <w:p w14:paraId="47511B6D" w14:textId="77777777" w:rsidR="00260E9A" w:rsidRDefault="00260E9A" w:rsidP="00A140B1">
      <w:pPr>
        <w:spacing w:after="0"/>
        <w:contextualSpacing/>
        <w:textAlignment w:val="baseline"/>
        <w:rPr>
          <w:szCs w:val="22"/>
          <w:lang w:eastAsia="en-US"/>
        </w:rPr>
      </w:pPr>
      <w:r w:rsidRPr="005B5267">
        <w:rPr>
          <w:szCs w:val="22"/>
          <w:lang w:eastAsia="en-US"/>
        </w:rPr>
        <w:t>Total global production of polymeric foams continues to grow by 4.1 % per year, from an estimated 22.9 million tonnes in 2015 to 28.0 million tonnes by 2020. Production of foams used for insulation is expected to grow in line with global construction and continued development of refrigerated food processing, transportation and storage (cold chain).  </w:t>
      </w:r>
    </w:p>
    <w:p w14:paraId="5EA9BC39" w14:textId="77777777" w:rsidR="00394A7A" w:rsidRPr="007837AB" w:rsidRDefault="00394A7A" w:rsidP="00A140B1">
      <w:pPr>
        <w:spacing w:after="0"/>
        <w:contextualSpacing/>
        <w:textAlignment w:val="baseline"/>
        <w:rPr>
          <w:color w:val="000000" w:themeColor="text1"/>
          <w:lang w:val="en-US"/>
        </w:rPr>
      </w:pPr>
    </w:p>
    <w:p w14:paraId="0D960BA1" w14:textId="0D05205B" w:rsidR="00260E9A" w:rsidRPr="00394A7A" w:rsidRDefault="00260E9A" w:rsidP="00A140B1">
      <w:pPr>
        <w:rPr>
          <w:lang w:eastAsia="en-GB"/>
        </w:rPr>
      </w:pPr>
      <w:r w:rsidRPr="00394A7A">
        <w:rPr>
          <w:lang w:eastAsia="en-GB"/>
        </w:rPr>
        <w:t xml:space="preserve">Article 5 </w:t>
      </w:r>
      <w:r w:rsidR="00806A8C" w:rsidRPr="00394A7A">
        <w:rPr>
          <w:lang w:eastAsia="en-GB"/>
        </w:rPr>
        <w:t>parties</w:t>
      </w:r>
      <w:r w:rsidRPr="00394A7A">
        <w:rPr>
          <w:lang w:eastAsia="en-GB"/>
        </w:rPr>
        <w:t xml:space="preserve"> face common challenges in phasing out HCFC and phasing down high</w:t>
      </w:r>
      <w:r w:rsidR="005F5DCC">
        <w:rPr>
          <w:lang w:eastAsia="en-GB"/>
        </w:rPr>
        <w:t>-</w:t>
      </w:r>
      <w:r w:rsidRPr="00394A7A">
        <w:rPr>
          <w:lang w:eastAsia="en-GB"/>
        </w:rPr>
        <w:t xml:space="preserve">GWP HFC blowing agents.  </w:t>
      </w:r>
    </w:p>
    <w:p w14:paraId="5048C999" w14:textId="03254B1C" w:rsidR="00260E9A" w:rsidRPr="003C70F8" w:rsidRDefault="00260E9A" w:rsidP="00A140B1">
      <w:pPr>
        <w:pStyle w:val="ListParagraph"/>
        <w:numPr>
          <w:ilvl w:val="0"/>
          <w:numId w:val="55"/>
        </w:numPr>
        <w:ind w:firstLineChars="0"/>
        <w:jc w:val="left"/>
        <w:rPr>
          <w:rFonts w:ascii="Times New Roman" w:eastAsia="Times New Roman" w:hAnsi="Times New Roman"/>
          <w:sz w:val="22"/>
          <w:lang w:eastAsia="en-GB"/>
        </w:rPr>
      </w:pPr>
      <w:r w:rsidRPr="00817313">
        <w:rPr>
          <w:rFonts w:ascii="Times New Roman" w:hAnsi="Times New Roman"/>
          <w:sz w:val="22"/>
          <w:lang w:eastAsia="en-GB"/>
        </w:rPr>
        <w:t>In general, HCFCs are ~30% of the cost of high</w:t>
      </w:r>
      <w:r w:rsidR="0048044D">
        <w:rPr>
          <w:rFonts w:ascii="Times New Roman" w:hAnsi="Times New Roman"/>
          <w:sz w:val="22"/>
          <w:lang w:eastAsia="en-GB"/>
        </w:rPr>
        <w:t>-</w:t>
      </w:r>
      <w:r w:rsidRPr="00817313">
        <w:rPr>
          <w:rFonts w:ascii="Times New Roman" w:hAnsi="Times New Roman"/>
          <w:sz w:val="22"/>
          <w:lang w:eastAsia="en-GB"/>
        </w:rPr>
        <w:t xml:space="preserve">GWP </w:t>
      </w:r>
      <w:r w:rsidRPr="00817313">
        <w:rPr>
          <w:rFonts w:ascii="Times New Roman" w:hAnsi="Times New Roman"/>
          <w:color w:val="000000" w:themeColor="text1"/>
          <w:sz w:val="22"/>
          <w:lang w:eastAsia="en-GB"/>
        </w:rPr>
        <w:t>HFCs</w:t>
      </w:r>
      <w:r>
        <w:rPr>
          <w:rFonts w:ascii="Times New Roman" w:hAnsi="Times New Roman"/>
          <w:color w:val="000000" w:themeColor="text1"/>
          <w:sz w:val="22"/>
          <w:lang w:eastAsia="en-GB"/>
        </w:rPr>
        <w:t xml:space="preserve"> and HFO/HCFOs</w:t>
      </w:r>
      <w:r w:rsidRPr="00817313">
        <w:rPr>
          <w:rFonts w:ascii="Times New Roman" w:hAnsi="Times New Roman"/>
          <w:color w:val="000000" w:themeColor="text1"/>
          <w:sz w:val="22"/>
          <w:lang w:eastAsia="en-GB"/>
        </w:rPr>
        <w:t>. HFO</w:t>
      </w:r>
      <w:r>
        <w:rPr>
          <w:rFonts w:ascii="Times New Roman" w:hAnsi="Times New Roman"/>
          <w:color w:val="000000" w:themeColor="text1"/>
          <w:sz w:val="22"/>
          <w:lang w:eastAsia="en-GB"/>
        </w:rPr>
        <w:t>/</w:t>
      </w:r>
      <w:r w:rsidRPr="00817313">
        <w:rPr>
          <w:rFonts w:ascii="Times New Roman" w:hAnsi="Times New Roman"/>
          <w:color w:val="000000" w:themeColor="text1"/>
          <w:sz w:val="22"/>
          <w:lang w:eastAsia="en-GB"/>
        </w:rPr>
        <w:t xml:space="preserve">HCFO blown foams </w:t>
      </w:r>
      <w:r>
        <w:rPr>
          <w:rFonts w:ascii="Times New Roman" w:hAnsi="Times New Roman"/>
          <w:color w:val="000000" w:themeColor="text1"/>
          <w:sz w:val="22"/>
          <w:lang w:eastAsia="en-GB"/>
        </w:rPr>
        <w:t>remains more</w:t>
      </w:r>
      <w:r w:rsidRPr="00817313">
        <w:rPr>
          <w:rFonts w:ascii="Times New Roman" w:hAnsi="Times New Roman"/>
          <w:color w:val="000000" w:themeColor="text1"/>
          <w:sz w:val="22"/>
          <w:lang w:eastAsia="en-GB"/>
        </w:rPr>
        <w:t xml:space="preserve"> </w:t>
      </w:r>
      <w:r>
        <w:rPr>
          <w:rFonts w:ascii="Times New Roman" w:hAnsi="Times New Roman"/>
          <w:color w:val="000000" w:themeColor="text1"/>
          <w:sz w:val="22"/>
          <w:lang w:eastAsia="en-GB"/>
        </w:rPr>
        <w:t xml:space="preserve">expensive </w:t>
      </w:r>
      <w:r w:rsidRPr="00817313">
        <w:rPr>
          <w:rFonts w:ascii="Times New Roman" w:hAnsi="Times New Roman"/>
          <w:color w:val="000000" w:themeColor="text1"/>
          <w:sz w:val="22"/>
          <w:lang w:eastAsia="en-GB"/>
        </w:rPr>
        <w:t xml:space="preserve">than HFC foams due to </w:t>
      </w:r>
      <w:r>
        <w:rPr>
          <w:rFonts w:ascii="Times New Roman" w:hAnsi="Times New Roman"/>
          <w:color w:val="000000" w:themeColor="text1"/>
          <w:sz w:val="22"/>
          <w:lang w:eastAsia="en-GB"/>
        </w:rPr>
        <w:t xml:space="preserve">the </w:t>
      </w:r>
      <w:r w:rsidRPr="00817313">
        <w:rPr>
          <w:rFonts w:ascii="Times New Roman" w:hAnsi="Times New Roman"/>
          <w:color w:val="000000" w:themeColor="text1"/>
          <w:sz w:val="22"/>
          <w:lang w:eastAsia="en-GB"/>
        </w:rPr>
        <w:t xml:space="preserve">pricing of the blowing agent and </w:t>
      </w:r>
      <w:r>
        <w:rPr>
          <w:rFonts w:ascii="Times New Roman" w:hAnsi="Times New Roman"/>
          <w:color w:val="000000" w:themeColor="text1"/>
          <w:sz w:val="22"/>
          <w:lang w:eastAsia="en-GB"/>
        </w:rPr>
        <w:t xml:space="preserve">required </w:t>
      </w:r>
      <w:r w:rsidRPr="00817313">
        <w:rPr>
          <w:rFonts w:ascii="Times New Roman" w:hAnsi="Times New Roman"/>
          <w:color w:val="000000" w:themeColor="text1"/>
          <w:sz w:val="22"/>
          <w:lang w:eastAsia="en-GB"/>
        </w:rPr>
        <w:t xml:space="preserve">additives. </w:t>
      </w:r>
    </w:p>
    <w:p w14:paraId="136ACF92" w14:textId="77777777" w:rsidR="00260E9A" w:rsidRDefault="00260E9A" w:rsidP="00A140B1">
      <w:pPr>
        <w:numPr>
          <w:ilvl w:val="0"/>
          <w:numId w:val="55"/>
        </w:numPr>
        <w:spacing w:after="0"/>
        <w:contextualSpacing/>
        <w:textAlignment w:val="baseline"/>
        <w:rPr>
          <w:color w:val="000000" w:themeColor="text1"/>
          <w:lang w:val="en-US"/>
        </w:rPr>
      </w:pPr>
      <w:r>
        <w:t>The timing of regulations for HFCs in non-A5 parties is enabling the planning of</w:t>
      </w:r>
      <w:r w:rsidRPr="00674B20">
        <w:t xml:space="preserve"> </w:t>
      </w:r>
      <w:r>
        <w:t>HFO/HCFO manufacturing capacity to meet demand</w:t>
      </w:r>
      <w:r w:rsidRPr="00674B20">
        <w:rPr>
          <w:color w:val="000000" w:themeColor="text1"/>
          <w:lang w:val="en-US"/>
        </w:rPr>
        <w:t xml:space="preserve">. </w:t>
      </w:r>
      <w:r>
        <w:rPr>
          <w:color w:val="000000" w:themeColor="text1"/>
          <w:lang w:val="en-US"/>
        </w:rPr>
        <w:t xml:space="preserve">Many </w:t>
      </w:r>
      <w:r w:rsidRPr="00674B20">
        <w:rPr>
          <w:color w:val="000000" w:themeColor="text1"/>
          <w:lang w:val="en-US"/>
        </w:rPr>
        <w:t xml:space="preserve">A5 </w:t>
      </w:r>
      <w:r>
        <w:rPr>
          <w:color w:val="000000" w:themeColor="text1"/>
          <w:lang w:val="en-US"/>
        </w:rPr>
        <w:t>parties</w:t>
      </w:r>
      <w:r w:rsidRPr="00674B20">
        <w:rPr>
          <w:color w:val="000000" w:themeColor="text1"/>
          <w:lang w:val="en-US"/>
        </w:rPr>
        <w:t xml:space="preserve"> </w:t>
      </w:r>
      <w:r>
        <w:rPr>
          <w:color w:val="000000" w:themeColor="text1"/>
          <w:lang w:val="en-US"/>
        </w:rPr>
        <w:t>will need</w:t>
      </w:r>
      <w:r w:rsidRPr="00674B20">
        <w:rPr>
          <w:color w:val="000000" w:themeColor="text1"/>
          <w:lang w:val="en-US"/>
        </w:rPr>
        <w:t xml:space="preserve"> </w:t>
      </w:r>
      <w:r>
        <w:rPr>
          <w:color w:val="000000" w:themeColor="text1"/>
          <w:lang w:val="en-US"/>
        </w:rPr>
        <w:t>small quantities of HFOs/HCFOs, so coordination could</w:t>
      </w:r>
      <w:r w:rsidRPr="00674B20">
        <w:rPr>
          <w:color w:val="000000" w:themeColor="text1"/>
          <w:lang w:val="en-US"/>
        </w:rPr>
        <w:t xml:space="preserve"> be helpful </w:t>
      </w:r>
      <w:r>
        <w:rPr>
          <w:color w:val="000000" w:themeColor="text1"/>
          <w:lang w:val="en-US"/>
        </w:rPr>
        <w:t>to manage capacity and ensure that</w:t>
      </w:r>
      <w:r w:rsidRPr="00674B20">
        <w:rPr>
          <w:color w:val="000000" w:themeColor="text1"/>
          <w:lang w:val="en-US"/>
        </w:rPr>
        <w:t xml:space="preserve"> supply will be available for transitions.  </w:t>
      </w:r>
    </w:p>
    <w:p w14:paraId="03A9D77B" w14:textId="77777777" w:rsidR="00260E9A" w:rsidRPr="00636739" w:rsidRDefault="00260E9A" w:rsidP="00A140B1">
      <w:pPr>
        <w:pStyle w:val="ListParagraph"/>
        <w:numPr>
          <w:ilvl w:val="0"/>
          <w:numId w:val="55"/>
        </w:numPr>
        <w:ind w:firstLineChars="0"/>
        <w:jc w:val="left"/>
        <w:rPr>
          <w:rFonts w:ascii="Times New Roman" w:eastAsia="Times New Roman" w:hAnsi="Times New Roman"/>
          <w:sz w:val="22"/>
          <w:lang w:eastAsia="en-GB"/>
        </w:rPr>
      </w:pPr>
      <w:r>
        <w:rPr>
          <w:rFonts w:ascii="Times New Roman" w:hAnsi="Times New Roman"/>
          <w:color w:val="000000" w:themeColor="text1"/>
          <w:sz w:val="22"/>
          <w:lang w:eastAsia="en-GB"/>
        </w:rPr>
        <w:t xml:space="preserve">There are high initial </w:t>
      </w:r>
      <w:r w:rsidRPr="00636739">
        <w:rPr>
          <w:rFonts w:ascii="Times New Roman" w:hAnsi="Times New Roman"/>
          <w:sz w:val="22"/>
        </w:rPr>
        <w:t xml:space="preserve">investment costs </w:t>
      </w:r>
      <w:r>
        <w:rPr>
          <w:rFonts w:ascii="Times New Roman" w:hAnsi="Times New Roman"/>
          <w:sz w:val="22"/>
        </w:rPr>
        <w:t xml:space="preserve">to address safety concerns </w:t>
      </w:r>
      <w:r w:rsidRPr="00636739">
        <w:rPr>
          <w:rFonts w:ascii="Times New Roman" w:hAnsi="Times New Roman"/>
          <w:sz w:val="22"/>
        </w:rPr>
        <w:t>for</w:t>
      </w:r>
      <w:r>
        <w:rPr>
          <w:rFonts w:ascii="Times New Roman" w:hAnsi="Times New Roman"/>
          <w:sz w:val="22"/>
        </w:rPr>
        <w:t xml:space="preserve"> the use of hydrocarbons by</w:t>
      </w:r>
      <w:r w:rsidRPr="00636739">
        <w:rPr>
          <w:rFonts w:ascii="Times New Roman" w:hAnsi="Times New Roman"/>
          <w:sz w:val="22"/>
        </w:rPr>
        <w:t xml:space="preserve"> </w:t>
      </w:r>
      <w:r>
        <w:rPr>
          <w:rFonts w:ascii="Times New Roman" w:hAnsi="Times New Roman"/>
          <w:sz w:val="22"/>
        </w:rPr>
        <w:t xml:space="preserve">many </w:t>
      </w:r>
      <w:r w:rsidRPr="00636739">
        <w:rPr>
          <w:rFonts w:ascii="Times New Roman" w:hAnsi="Times New Roman"/>
          <w:sz w:val="22"/>
        </w:rPr>
        <w:t>Small and Medium Enterprises (SMEs)</w:t>
      </w:r>
      <w:r>
        <w:rPr>
          <w:rFonts w:ascii="Times New Roman" w:hAnsi="Times New Roman"/>
          <w:sz w:val="22"/>
        </w:rPr>
        <w:t>.</w:t>
      </w:r>
    </w:p>
    <w:p w14:paraId="25BC2915" w14:textId="77777777" w:rsidR="00260E9A" w:rsidRPr="007837AB" w:rsidRDefault="00260E9A" w:rsidP="00A140B1">
      <w:pPr>
        <w:pStyle w:val="ListParagraph"/>
        <w:numPr>
          <w:ilvl w:val="0"/>
          <w:numId w:val="55"/>
        </w:numPr>
        <w:ind w:firstLineChars="0"/>
        <w:contextualSpacing/>
        <w:jc w:val="left"/>
        <w:textAlignment w:val="baseline"/>
        <w:rPr>
          <w:rFonts w:ascii="Times New Roman" w:hAnsi="Times New Roman"/>
          <w:sz w:val="22"/>
        </w:rPr>
      </w:pPr>
      <w:r w:rsidRPr="00817313">
        <w:rPr>
          <w:rFonts w:ascii="Times New Roman" w:eastAsia="Times New Roman" w:hAnsi="Times New Roman"/>
          <w:color w:val="000000" w:themeColor="text1"/>
          <w:kern w:val="0"/>
          <w:sz w:val="22"/>
          <w:lang w:val="en-US"/>
        </w:rPr>
        <w:t xml:space="preserve">In some A5 </w:t>
      </w:r>
      <w:r>
        <w:rPr>
          <w:rFonts w:ascii="Times New Roman" w:eastAsia="Times New Roman" w:hAnsi="Times New Roman"/>
          <w:color w:val="000000" w:themeColor="text1"/>
          <w:kern w:val="0"/>
          <w:sz w:val="22"/>
          <w:lang w:val="en-US"/>
        </w:rPr>
        <w:t>parties</w:t>
      </w:r>
      <w:r w:rsidRPr="00817313">
        <w:rPr>
          <w:rFonts w:ascii="Times New Roman" w:eastAsia="Times New Roman" w:hAnsi="Times New Roman"/>
          <w:color w:val="000000" w:themeColor="text1"/>
          <w:kern w:val="0"/>
          <w:sz w:val="22"/>
          <w:lang w:val="en-US"/>
        </w:rPr>
        <w:t xml:space="preserve">, import of HCFC-141b itself is restricted or under license, but polyols containing HCFC-141b can be imported without restriction. Some A5 </w:t>
      </w:r>
      <w:r>
        <w:rPr>
          <w:rFonts w:ascii="Times New Roman" w:eastAsia="Times New Roman" w:hAnsi="Times New Roman"/>
          <w:color w:val="000000" w:themeColor="text1"/>
          <w:kern w:val="0"/>
          <w:sz w:val="22"/>
          <w:lang w:val="en-US"/>
        </w:rPr>
        <w:t xml:space="preserve">parties </w:t>
      </w:r>
      <w:r w:rsidRPr="00817313">
        <w:rPr>
          <w:rFonts w:ascii="Times New Roman" w:eastAsia="Times New Roman" w:hAnsi="Times New Roman"/>
          <w:color w:val="000000" w:themeColor="text1"/>
          <w:kern w:val="0"/>
          <w:sz w:val="22"/>
          <w:lang w:val="en-US"/>
        </w:rPr>
        <w:t>are contemplating regulations that would ban or restrict import of HCFC-containing polyol systems.</w:t>
      </w:r>
    </w:p>
    <w:p w14:paraId="3E80C23A" w14:textId="77777777" w:rsidR="00260E9A" w:rsidRPr="003C70F8" w:rsidRDefault="00260E9A" w:rsidP="00A140B1">
      <w:pPr>
        <w:pStyle w:val="ListParagraph"/>
        <w:numPr>
          <w:ilvl w:val="0"/>
          <w:numId w:val="55"/>
        </w:numPr>
        <w:ind w:firstLineChars="0"/>
        <w:jc w:val="left"/>
        <w:rPr>
          <w:rFonts w:ascii="Times New Roman" w:eastAsia="Times New Roman" w:hAnsi="Times New Roman"/>
          <w:sz w:val="22"/>
          <w:lang w:eastAsia="en-GB"/>
        </w:rPr>
      </w:pPr>
      <w:r>
        <w:rPr>
          <w:rFonts w:ascii="Times New Roman" w:hAnsi="Times New Roman"/>
          <w:color w:val="000000" w:themeColor="text1"/>
          <w:sz w:val="22"/>
          <w:lang w:eastAsia="en-GB"/>
        </w:rPr>
        <w:t>T</w:t>
      </w:r>
      <w:r w:rsidRPr="003C70F8">
        <w:rPr>
          <w:rFonts w:ascii="Times New Roman" w:hAnsi="Times New Roman"/>
          <w:color w:val="000000" w:themeColor="text1"/>
          <w:sz w:val="22"/>
          <w:lang w:eastAsia="en-GB"/>
        </w:rPr>
        <w:t>ransition</w:t>
      </w:r>
      <w:r>
        <w:rPr>
          <w:rFonts w:ascii="Times New Roman" w:hAnsi="Times New Roman"/>
          <w:color w:val="000000" w:themeColor="text1"/>
          <w:sz w:val="22"/>
          <w:lang w:eastAsia="en-GB"/>
        </w:rPr>
        <w:t xml:space="preserve"> decisions</w:t>
      </w:r>
      <w:r w:rsidRPr="003C70F8">
        <w:rPr>
          <w:rFonts w:ascii="Times New Roman" w:hAnsi="Times New Roman"/>
          <w:color w:val="000000" w:themeColor="text1"/>
          <w:sz w:val="22"/>
          <w:lang w:eastAsia="en-GB"/>
        </w:rPr>
        <w:t xml:space="preserve"> may be delayed </w:t>
      </w:r>
      <w:r>
        <w:rPr>
          <w:rFonts w:ascii="Times New Roman" w:hAnsi="Times New Roman"/>
          <w:color w:val="000000" w:themeColor="text1"/>
          <w:sz w:val="22"/>
          <w:lang w:eastAsia="en-GB"/>
        </w:rPr>
        <w:t xml:space="preserve">for some foam applications, while </w:t>
      </w:r>
      <w:r w:rsidRPr="003C70F8">
        <w:rPr>
          <w:rFonts w:ascii="Times New Roman" w:hAnsi="Times New Roman"/>
          <w:color w:val="000000" w:themeColor="text1"/>
          <w:sz w:val="22"/>
          <w:lang w:eastAsia="en-GB"/>
        </w:rPr>
        <w:t xml:space="preserve">formulations </w:t>
      </w:r>
      <w:r>
        <w:rPr>
          <w:rFonts w:ascii="Times New Roman" w:hAnsi="Times New Roman"/>
          <w:sz w:val="22"/>
          <w:lang w:eastAsia="en-GB"/>
        </w:rPr>
        <w:t>that</w:t>
      </w:r>
      <w:r w:rsidRPr="003C70F8">
        <w:rPr>
          <w:rFonts w:ascii="Times New Roman" w:hAnsi="Times New Roman"/>
          <w:sz w:val="22"/>
          <w:lang w:eastAsia="en-GB"/>
        </w:rPr>
        <w:t xml:space="preserve"> optimise performance and cost are </w:t>
      </w:r>
      <w:r>
        <w:rPr>
          <w:rFonts w:ascii="Times New Roman" w:hAnsi="Times New Roman"/>
          <w:sz w:val="22"/>
          <w:lang w:eastAsia="en-GB"/>
        </w:rPr>
        <w:t>developed</w:t>
      </w:r>
      <w:r w:rsidRPr="003C70F8">
        <w:rPr>
          <w:rFonts w:ascii="Times New Roman" w:hAnsi="Times New Roman"/>
          <w:sz w:val="22"/>
          <w:lang w:eastAsia="en-GB"/>
        </w:rPr>
        <w:t xml:space="preserve">, and because of the currently limited availability of some low GWP </w:t>
      </w:r>
      <w:r>
        <w:rPr>
          <w:rFonts w:ascii="Times New Roman" w:hAnsi="Times New Roman"/>
          <w:sz w:val="22"/>
          <w:lang w:eastAsia="en-GB"/>
        </w:rPr>
        <w:t xml:space="preserve">blowing </w:t>
      </w:r>
      <w:r w:rsidRPr="003C70F8">
        <w:rPr>
          <w:rFonts w:ascii="Times New Roman" w:hAnsi="Times New Roman"/>
          <w:sz w:val="22"/>
          <w:lang w:eastAsia="en-GB"/>
        </w:rPr>
        <w:t>agents in some regions.</w:t>
      </w:r>
    </w:p>
    <w:p w14:paraId="59FBFF13" w14:textId="77777777" w:rsidR="00394A7A" w:rsidRDefault="00394A7A" w:rsidP="00A140B1">
      <w:r>
        <w:br/>
      </w:r>
      <w:r w:rsidR="00260E9A" w:rsidRPr="00394A7A">
        <w:t xml:space="preserve">Capacity planning for alternatives will require continued communication between regulators, producers and users to ensure smooth transitions.  </w:t>
      </w:r>
      <w:bookmarkStart w:id="33" w:name="_Toc326400866"/>
    </w:p>
    <w:p w14:paraId="395AA509" w14:textId="4E5FAFF8" w:rsidR="00260E9A" w:rsidRPr="00394A7A" w:rsidRDefault="00260E9A" w:rsidP="00A140B1">
      <w:r w:rsidRPr="00394A7A">
        <w:t>The FTOC had a successful meeting in Manchester UK on</w:t>
      </w:r>
      <w:r w:rsidR="00394A7A" w:rsidRPr="00394A7A">
        <w:t xml:space="preserve"> March 1-3 2017, attended by 17 </w:t>
      </w:r>
      <w:r w:rsidRPr="00394A7A">
        <w:t>members, including new co-chair Pa</w:t>
      </w:r>
      <w:r w:rsidR="0048044D">
        <w:t>u</w:t>
      </w:r>
      <w:r w:rsidRPr="00394A7A">
        <w:t>lo Altoe</w:t>
      </w:r>
      <w:r w:rsidR="0070607D">
        <w:t>.</w:t>
      </w:r>
    </w:p>
    <w:p w14:paraId="1A57D161" w14:textId="7CA90593" w:rsidR="00260E9A" w:rsidRPr="00674B20" w:rsidRDefault="00260E9A" w:rsidP="00413E4A">
      <w:pPr>
        <w:pStyle w:val="Heading2"/>
      </w:pPr>
      <w:bookmarkStart w:id="34" w:name="_Toc484164317"/>
      <w:r w:rsidRPr="00674B20">
        <w:t>2.</w:t>
      </w:r>
      <w:r w:rsidR="00F941D9">
        <w:t>1</w:t>
      </w:r>
      <w:r w:rsidRPr="00674B20">
        <w:t>.</w:t>
      </w:r>
      <w:r w:rsidRPr="00674B20">
        <w:tab/>
        <w:t>Global drivers of foam production</w:t>
      </w:r>
      <w:bookmarkEnd w:id="33"/>
      <w:bookmarkEnd w:id="34"/>
    </w:p>
    <w:p w14:paraId="36084164" w14:textId="77777777" w:rsidR="00260E9A" w:rsidRPr="00394A7A" w:rsidRDefault="00260E9A" w:rsidP="00A140B1">
      <w:pPr>
        <w:spacing w:after="0"/>
        <w:rPr>
          <w:szCs w:val="22"/>
          <w:lang w:eastAsia="en-US"/>
        </w:rPr>
      </w:pPr>
      <w:r w:rsidRPr="00394A7A">
        <w:rPr>
          <w:szCs w:val="22"/>
          <w:lang w:eastAsia="en-US"/>
        </w:rPr>
        <w:t>The global production of major types of polymeric foams produced using a blowing agent is estimated to grow by 22 % between 2015 and 2020. The majority of flexible polyurethane foam uses water and carbon dioxide</w:t>
      </w:r>
      <w:r w:rsidRPr="00394A7A">
        <w:rPr>
          <w:szCs w:val="22"/>
          <w:vertAlign w:val="subscript"/>
          <w:lang w:eastAsia="en-US"/>
        </w:rPr>
        <w:t xml:space="preserve"> </w:t>
      </w:r>
      <w:r w:rsidRPr="00394A7A">
        <w:rPr>
          <w:szCs w:val="22"/>
          <w:lang w:eastAsia="en-US"/>
        </w:rPr>
        <w:t>as blowing agents, along with some limited use of methylene chloride. Rigid polyurethane, EPS, XPS, and other types of foam use a variety of blowing agents including; HCFCs, HFCs, HFO/HCFOs, water, DME, ethanol, carbon dioxide</w:t>
      </w:r>
      <w:r w:rsidRPr="00394A7A">
        <w:rPr>
          <w:szCs w:val="22"/>
          <w:vertAlign w:val="subscript"/>
          <w:lang w:eastAsia="en-US"/>
        </w:rPr>
        <w:t xml:space="preserve">, </w:t>
      </w:r>
      <w:r w:rsidRPr="00394A7A">
        <w:rPr>
          <w:szCs w:val="22"/>
          <w:lang w:eastAsia="en-US"/>
        </w:rPr>
        <w:t>methyl formate, and hydrocarbons. These foam types are used in construction and throughout the cold chain in hot and cold climates. They substantially reduce energy consumption and carbon dioxide emissions due to their thermal insulation properties.</w:t>
      </w:r>
    </w:p>
    <w:p w14:paraId="75C17A48" w14:textId="77777777" w:rsidR="00260E9A" w:rsidRDefault="00260E9A" w:rsidP="00260E9A">
      <w:pPr>
        <w:spacing w:after="0"/>
        <w:rPr>
          <w:sz w:val="24"/>
          <w:szCs w:val="24"/>
          <w:lang w:eastAsia="en-US"/>
        </w:rPr>
      </w:pPr>
      <w:r w:rsidRPr="00674B20">
        <w:rPr>
          <w:sz w:val="24"/>
          <w:szCs w:val="24"/>
          <w:lang w:eastAsia="en-US"/>
        </w:rPr>
        <w:t> </w:t>
      </w:r>
    </w:p>
    <w:p w14:paraId="3789CA16" w14:textId="77777777" w:rsidR="00366BC6" w:rsidRDefault="00366BC6" w:rsidP="00260E9A">
      <w:pPr>
        <w:spacing w:after="0"/>
        <w:rPr>
          <w:b/>
          <w:i/>
          <w:sz w:val="24"/>
          <w:szCs w:val="24"/>
          <w:lang w:eastAsia="en-US"/>
        </w:rPr>
      </w:pPr>
    </w:p>
    <w:p w14:paraId="3C1A8463" w14:textId="77777777" w:rsidR="00366BC6" w:rsidRDefault="00366BC6" w:rsidP="00260E9A">
      <w:pPr>
        <w:spacing w:after="0"/>
        <w:rPr>
          <w:b/>
          <w:i/>
          <w:sz w:val="24"/>
          <w:szCs w:val="24"/>
          <w:lang w:eastAsia="en-US"/>
        </w:rPr>
      </w:pPr>
    </w:p>
    <w:p w14:paraId="60558E00" w14:textId="77777777" w:rsidR="00366BC6" w:rsidRDefault="00366BC6" w:rsidP="00260E9A">
      <w:pPr>
        <w:spacing w:after="0"/>
        <w:rPr>
          <w:b/>
          <w:i/>
          <w:sz w:val="24"/>
          <w:szCs w:val="24"/>
          <w:lang w:eastAsia="en-US"/>
        </w:rPr>
      </w:pPr>
    </w:p>
    <w:p w14:paraId="4D356D24" w14:textId="77777777" w:rsidR="00366BC6" w:rsidRDefault="00366BC6" w:rsidP="00260E9A">
      <w:pPr>
        <w:spacing w:after="0"/>
        <w:rPr>
          <w:b/>
          <w:i/>
          <w:sz w:val="24"/>
          <w:szCs w:val="24"/>
          <w:lang w:eastAsia="en-US"/>
        </w:rPr>
      </w:pPr>
    </w:p>
    <w:p w14:paraId="15A8E170" w14:textId="77777777" w:rsidR="00366BC6" w:rsidRDefault="00366BC6" w:rsidP="00260E9A">
      <w:pPr>
        <w:spacing w:after="0"/>
        <w:rPr>
          <w:b/>
          <w:i/>
          <w:sz w:val="24"/>
          <w:szCs w:val="24"/>
          <w:lang w:eastAsia="en-US"/>
        </w:rPr>
      </w:pPr>
    </w:p>
    <w:p w14:paraId="13D4236E" w14:textId="77777777" w:rsidR="00C271CA" w:rsidRDefault="00C271CA" w:rsidP="00260E9A">
      <w:pPr>
        <w:spacing w:after="0"/>
        <w:rPr>
          <w:b/>
          <w:i/>
          <w:sz w:val="24"/>
          <w:szCs w:val="24"/>
          <w:lang w:eastAsia="en-US"/>
        </w:rPr>
      </w:pPr>
      <w:r>
        <w:rPr>
          <w:b/>
          <w:i/>
          <w:sz w:val="24"/>
          <w:szCs w:val="24"/>
          <w:lang w:eastAsia="en-US"/>
        </w:rPr>
        <w:br w:type="page"/>
      </w:r>
    </w:p>
    <w:p w14:paraId="152556FA" w14:textId="4B6243E9" w:rsidR="00394A7A" w:rsidRPr="00394A7A" w:rsidRDefault="00394A7A" w:rsidP="00260E9A">
      <w:pPr>
        <w:spacing w:after="0"/>
        <w:rPr>
          <w:b/>
          <w:i/>
          <w:sz w:val="24"/>
          <w:szCs w:val="24"/>
          <w:lang w:eastAsia="en-US"/>
        </w:rPr>
      </w:pPr>
      <w:r w:rsidRPr="00394A7A">
        <w:rPr>
          <w:b/>
          <w:i/>
          <w:sz w:val="24"/>
          <w:szCs w:val="24"/>
          <w:lang w:eastAsia="en-US"/>
        </w:rPr>
        <w:lastRenderedPageBreak/>
        <w:t xml:space="preserve">Table 2.1 Estimated </w:t>
      </w:r>
      <w:r w:rsidR="00FB50B1">
        <w:rPr>
          <w:b/>
          <w:i/>
          <w:sz w:val="24"/>
          <w:szCs w:val="24"/>
          <w:lang w:eastAsia="en-US"/>
        </w:rPr>
        <w:t>g</w:t>
      </w:r>
      <w:r w:rsidRPr="00394A7A">
        <w:rPr>
          <w:b/>
          <w:i/>
          <w:sz w:val="24"/>
          <w:szCs w:val="24"/>
          <w:lang w:eastAsia="en-US"/>
        </w:rPr>
        <w:t xml:space="preserve">lobal </w:t>
      </w:r>
      <w:r w:rsidR="00FB50B1">
        <w:rPr>
          <w:b/>
          <w:i/>
          <w:sz w:val="24"/>
          <w:szCs w:val="24"/>
          <w:lang w:eastAsia="en-US"/>
        </w:rPr>
        <w:t>p</w:t>
      </w:r>
      <w:r w:rsidRPr="00394A7A">
        <w:rPr>
          <w:b/>
          <w:i/>
          <w:sz w:val="24"/>
          <w:szCs w:val="24"/>
          <w:lang w:eastAsia="en-US"/>
        </w:rPr>
        <w:t xml:space="preserve">olymer </w:t>
      </w:r>
      <w:r w:rsidR="00FB50B1">
        <w:rPr>
          <w:b/>
          <w:i/>
          <w:sz w:val="24"/>
          <w:szCs w:val="24"/>
          <w:lang w:eastAsia="en-US"/>
        </w:rPr>
        <w:t>f</w:t>
      </w:r>
      <w:r w:rsidRPr="00394A7A">
        <w:rPr>
          <w:b/>
          <w:i/>
          <w:sz w:val="24"/>
          <w:szCs w:val="24"/>
          <w:lang w:eastAsia="en-US"/>
        </w:rPr>
        <w:t xml:space="preserve">oam </w:t>
      </w:r>
      <w:r w:rsidR="00FB50B1">
        <w:rPr>
          <w:b/>
          <w:i/>
          <w:sz w:val="24"/>
          <w:szCs w:val="24"/>
          <w:lang w:eastAsia="en-US"/>
        </w:rPr>
        <w:t>p</w:t>
      </w:r>
      <w:r w:rsidRPr="00394A7A">
        <w:rPr>
          <w:b/>
          <w:i/>
          <w:sz w:val="24"/>
          <w:szCs w:val="24"/>
          <w:lang w:eastAsia="en-US"/>
        </w:rPr>
        <w:t>roduction</w:t>
      </w:r>
    </w:p>
    <w:p w14:paraId="4E53AF66" w14:textId="77777777" w:rsidR="00394A7A" w:rsidRPr="00674B20" w:rsidRDefault="00394A7A" w:rsidP="00260E9A">
      <w:pPr>
        <w:spacing w:after="0"/>
        <w:rPr>
          <w:sz w:val="24"/>
          <w:szCs w:val="24"/>
          <w:lang w:eastAsia="en-US"/>
        </w:rPr>
      </w:pPr>
    </w:p>
    <w:tbl>
      <w:tblPr>
        <w:tblStyle w:val="TableGrid"/>
        <w:tblW w:w="8568" w:type="dxa"/>
        <w:shd w:val="clear" w:color="auto" w:fill="E5B8B7" w:themeFill="accent2" w:themeFillTint="66"/>
        <w:tblLayout w:type="fixed"/>
        <w:tblLook w:val="04A0" w:firstRow="1" w:lastRow="0" w:firstColumn="1" w:lastColumn="0" w:noHBand="0" w:noVBand="1"/>
      </w:tblPr>
      <w:tblGrid>
        <w:gridCol w:w="3227"/>
        <w:gridCol w:w="1797"/>
        <w:gridCol w:w="1701"/>
        <w:gridCol w:w="1843"/>
      </w:tblGrid>
      <w:tr w:rsidR="00260E9A" w:rsidRPr="00674B20" w14:paraId="3F599D4C" w14:textId="77777777" w:rsidTr="0015746F">
        <w:trPr>
          <w:trHeight w:val="259"/>
        </w:trPr>
        <w:tc>
          <w:tcPr>
            <w:tcW w:w="3227" w:type="dxa"/>
            <w:shd w:val="clear" w:color="auto" w:fill="EEECE1" w:themeFill="background2"/>
            <w:noWrap/>
            <w:vAlign w:val="center"/>
            <w:hideMark/>
          </w:tcPr>
          <w:p w14:paraId="6EB3B692" w14:textId="77777777" w:rsidR="00260E9A" w:rsidRPr="00394A7A" w:rsidRDefault="00260E9A" w:rsidP="0015746F">
            <w:pPr>
              <w:spacing w:after="0"/>
              <w:jc w:val="center"/>
              <w:rPr>
                <w:color w:val="auto"/>
                <w:sz w:val="20"/>
                <w:szCs w:val="20"/>
                <w:lang w:eastAsia="en-GB"/>
              </w:rPr>
            </w:pPr>
          </w:p>
        </w:tc>
        <w:tc>
          <w:tcPr>
            <w:tcW w:w="1797" w:type="dxa"/>
            <w:shd w:val="clear" w:color="auto" w:fill="EEECE1" w:themeFill="background2"/>
            <w:noWrap/>
            <w:vAlign w:val="center"/>
            <w:hideMark/>
          </w:tcPr>
          <w:p w14:paraId="7F6FF7BF" w14:textId="77777777" w:rsidR="00260E9A" w:rsidRPr="00394A7A" w:rsidRDefault="00260E9A" w:rsidP="0015746F">
            <w:pPr>
              <w:spacing w:after="0"/>
              <w:jc w:val="center"/>
              <w:rPr>
                <w:b/>
                <w:bCs/>
                <w:color w:val="auto"/>
                <w:sz w:val="20"/>
                <w:szCs w:val="20"/>
                <w:lang w:eastAsia="en-GB"/>
              </w:rPr>
            </w:pPr>
            <w:r w:rsidRPr="00394A7A">
              <w:rPr>
                <w:b/>
                <w:bCs/>
                <w:color w:val="auto"/>
                <w:sz w:val="20"/>
                <w:szCs w:val="20"/>
                <w:lang w:eastAsia="en-GB"/>
              </w:rPr>
              <w:t>2015</w:t>
            </w:r>
          </w:p>
        </w:tc>
        <w:tc>
          <w:tcPr>
            <w:tcW w:w="1701" w:type="dxa"/>
            <w:shd w:val="clear" w:color="auto" w:fill="EEECE1" w:themeFill="background2"/>
            <w:noWrap/>
            <w:vAlign w:val="center"/>
            <w:hideMark/>
          </w:tcPr>
          <w:p w14:paraId="05804C35" w14:textId="77777777" w:rsidR="00260E9A" w:rsidRPr="00394A7A" w:rsidRDefault="00260E9A" w:rsidP="0015746F">
            <w:pPr>
              <w:spacing w:after="0"/>
              <w:jc w:val="center"/>
              <w:rPr>
                <w:b/>
                <w:bCs/>
                <w:color w:val="auto"/>
                <w:sz w:val="20"/>
                <w:szCs w:val="20"/>
                <w:lang w:eastAsia="en-GB"/>
              </w:rPr>
            </w:pPr>
            <w:r w:rsidRPr="00394A7A">
              <w:rPr>
                <w:b/>
                <w:bCs/>
                <w:color w:val="auto"/>
                <w:sz w:val="20"/>
                <w:szCs w:val="20"/>
                <w:lang w:eastAsia="en-GB"/>
              </w:rPr>
              <w:t>2020</w:t>
            </w:r>
          </w:p>
        </w:tc>
        <w:tc>
          <w:tcPr>
            <w:tcW w:w="1843" w:type="dxa"/>
            <w:shd w:val="clear" w:color="auto" w:fill="EEECE1" w:themeFill="background2"/>
            <w:noWrap/>
            <w:vAlign w:val="center"/>
            <w:hideMark/>
          </w:tcPr>
          <w:p w14:paraId="25F83D6F" w14:textId="4E0B94A1" w:rsidR="00260E9A" w:rsidRPr="00394A7A" w:rsidRDefault="00260E9A" w:rsidP="0015746F">
            <w:pPr>
              <w:spacing w:after="0"/>
              <w:jc w:val="center"/>
              <w:rPr>
                <w:b/>
                <w:bCs/>
                <w:color w:val="auto"/>
                <w:sz w:val="20"/>
                <w:szCs w:val="20"/>
                <w:lang w:eastAsia="en-GB"/>
              </w:rPr>
            </w:pPr>
            <w:r w:rsidRPr="00394A7A">
              <w:rPr>
                <w:b/>
                <w:bCs/>
                <w:color w:val="auto"/>
                <w:sz w:val="20"/>
                <w:szCs w:val="20"/>
                <w:lang w:eastAsia="en-GB"/>
              </w:rPr>
              <w:t>Compound Annual Growth Rate</w:t>
            </w:r>
          </w:p>
        </w:tc>
      </w:tr>
      <w:tr w:rsidR="00260E9A" w:rsidRPr="00674B20" w14:paraId="133F43B7" w14:textId="77777777" w:rsidTr="0015746F">
        <w:trPr>
          <w:trHeight w:val="259"/>
        </w:trPr>
        <w:tc>
          <w:tcPr>
            <w:tcW w:w="3227" w:type="dxa"/>
            <w:shd w:val="clear" w:color="auto" w:fill="FFFFFF" w:themeFill="background1"/>
            <w:noWrap/>
            <w:hideMark/>
          </w:tcPr>
          <w:p w14:paraId="6BF43B82" w14:textId="77777777" w:rsidR="00260E9A" w:rsidRPr="00394A7A" w:rsidRDefault="00260E9A" w:rsidP="00F75FC5">
            <w:pPr>
              <w:spacing w:after="0"/>
              <w:rPr>
                <w:color w:val="auto"/>
                <w:sz w:val="20"/>
                <w:szCs w:val="20"/>
                <w:lang w:eastAsia="en-GB"/>
              </w:rPr>
            </w:pPr>
            <w:r w:rsidRPr="00394A7A">
              <w:rPr>
                <w:color w:val="auto"/>
                <w:sz w:val="20"/>
                <w:szCs w:val="20"/>
                <w:lang w:eastAsia="en-GB"/>
              </w:rPr>
              <w:t>Polyurethane</w:t>
            </w:r>
          </w:p>
        </w:tc>
        <w:tc>
          <w:tcPr>
            <w:tcW w:w="1797" w:type="dxa"/>
            <w:shd w:val="clear" w:color="auto" w:fill="FFFFFF" w:themeFill="background1"/>
            <w:noWrap/>
            <w:vAlign w:val="center"/>
            <w:hideMark/>
          </w:tcPr>
          <w:p w14:paraId="139BCE55" w14:textId="77777777" w:rsidR="00260E9A" w:rsidRPr="00394A7A" w:rsidRDefault="00260E9A" w:rsidP="0015746F">
            <w:pPr>
              <w:spacing w:after="0"/>
              <w:jc w:val="center"/>
              <w:rPr>
                <w:color w:val="auto"/>
                <w:sz w:val="20"/>
                <w:szCs w:val="20"/>
                <w:lang w:eastAsia="en-GB"/>
              </w:rPr>
            </w:pPr>
            <w:r w:rsidRPr="00394A7A">
              <w:rPr>
                <w:color w:val="auto"/>
                <w:sz w:val="20"/>
                <w:szCs w:val="20"/>
                <w:lang w:eastAsia="en-GB"/>
              </w:rPr>
              <w:t>Tonnes</w:t>
            </w:r>
          </w:p>
        </w:tc>
        <w:tc>
          <w:tcPr>
            <w:tcW w:w="1701" w:type="dxa"/>
            <w:shd w:val="clear" w:color="auto" w:fill="FFFFFF" w:themeFill="background1"/>
            <w:noWrap/>
            <w:vAlign w:val="center"/>
            <w:hideMark/>
          </w:tcPr>
          <w:p w14:paraId="5B476021" w14:textId="77777777" w:rsidR="00260E9A" w:rsidRPr="00394A7A" w:rsidRDefault="00260E9A" w:rsidP="0015746F">
            <w:pPr>
              <w:spacing w:after="0"/>
              <w:jc w:val="center"/>
              <w:rPr>
                <w:color w:val="auto"/>
                <w:sz w:val="20"/>
                <w:szCs w:val="20"/>
                <w:lang w:eastAsia="en-GB"/>
              </w:rPr>
            </w:pPr>
            <w:r w:rsidRPr="00394A7A">
              <w:rPr>
                <w:color w:val="auto"/>
                <w:sz w:val="20"/>
                <w:szCs w:val="20"/>
                <w:lang w:eastAsia="en-GB"/>
              </w:rPr>
              <w:t>Tonnes</w:t>
            </w:r>
          </w:p>
        </w:tc>
        <w:tc>
          <w:tcPr>
            <w:tcW w:w="1843" w:type="dxa"/>
            <w:shd w:val="clear" w:color="auto" w:fill="FFFFFF" w:themeFill="background1"/>
            <w:noWrap/>
            <w:hideMark/>
          </w:tcPr>
          <w:p w14:paraId="5C3FB63E" w14:textId="77777777" w:rsidR="00260E9A" w:rsidRPr="00394A7A" w:rsidRDefault="00260E9A" w:rsidP="00F75FC5">
            <w:pPr>
              <w:spacing w:after="0"/>
              <w:rPr>
                <w:color w:val="auto"/>
                <w:sz w:val="20"/>
                <w:szCs w:val="20"/>
                <w:lang w:eastAsia="en-GB"/>
              </w:rPr>
            </w:pPr>
          </w:p>
        </w:tc>
      </w:tr>
      <w:tr w:rsidR="00260E9A" w:rsidRPr="00674B20" w14:paraId="6155CF75" w14:textId="77777777" w:rsidTr="00394A7A">
        <w:trPr>
          <w:trHeight w:val="259"/>
        </w:trPr>
        <w:tc>
          <w:tcPr>
            <w:tcW w:w="3227" w:type="dxa"/>
            <w:shd w:val="clear" w:color="auto" w:fill="FFFFFF" w:themeFill="background1"/>
            <w:noWrap/>
            <w:hideMark/>
          </w:tcPr>
          <w:p w14:paraId="7D157920" w14:textId="77777777" w:rsidR="00260E9A" w:rsidRPr="00394A7A" w:rsidRDefault="00260E9A" w:rsidP="00F75FC5">
            <w:pPr>
              <w:spacing w:after="0"/>
              <w:rPr>
                <w:color w:val="auto"/>
                <w:sz w:val="20"/>
                <w:szCs w:val="20"/>
                <w:lang w:eastAsia="en-GB"/>
              </w:rPr>
            </w:pPr>
            <w:r w:rsidRPr="00394A7A">
              <w:rPr>
                <w:color w:val="auto"/>
                <w:sz w:val="20"/>
                <w:szCs w:val="20"/>
                <w:lang w:eastAsia="en-GB"/>
              </w:rPr>
              <w:t>Rigid</w:t>
            </w:r>
          </w:p>
        </w:tc>
        <w:tc>
          <w:tcPr>
            <w:tcW w:w="1797" w:type="dxa"/>
            <w:shd w:val="clear" w:color="auto" w:fill="FFFFFF" w:themeFill="background1"/>
            <w:noWrap/>
            <w:hideMark/>
          </w:tcPr>
          <w:p w14:paraId="3BD4C2ED" w14:textId="77777777" w:rsidR="00260E9A" w:rsidRPr="00394A7A" w:rsidRDefault="00260E9A" w:rsidP="00F75FC5">
            <w:pPr>
              <w:spacing w:after="0"/>
              <w:jc w:val="center"/>
              <w:rPr>
                <w:color w:val="auto"/>
                <w:sz w:val="20"/>
                <w:szCs w:val="20"/>
                <w:lang w:eastAsia="en-GB"/>
              </w:rPr>
            </w:pPr>
            <w:r w:rsidRPr="00394A7A">
              <w:rPr>
                <w:color w:val="auto"/>
                <w:sz w:val="20"/>
                <w:szCs w:val="20"/>
                <w:lang w:eastAsia="en-GB"/>
              </w:rPr>
              <w:t>5,836,000</w:t>
            </w:r>
          </w:p>
        </w:tc>
        <w:tc>
          <w:tcPr>
            <w:tcW w:w="1701" w:type="dxa"/>
            <w:shd w:val="clear" w:color="auto" w:fill="FFFFFF" w:themeFill="background1"/>
            <w:noWrap/>
            <w:hideMark/>
          </w:tcPr>
          <w:p w14:paraId="6C46D324" w14:textId="77777777" w:rsidR="00260E9A" w:rsidRPr="00394A7A" w:rsidRDefault="00260E9A" w:rsidP="00F75FC5">
            <w:pPr>
              <w:spacing w:after="0"/>
              <w:jc w:val="center"/>
              <w:rPr>
                <w:color w:val="auto"/>
                <w:sz w:val="20"/>
                <w:szCs w:val="20"/>
                <w:lang w:eastAsia="en-GB"/>
              </w:rPr>
            </w:pPr>
            <w:r w:rsidRPr="00394A7A">
              <w:rPr>
                <w:color w:val="auto"/>
                <w:sz w:val="20"/>
                <w:szCs w:val="20"/>
                <w:lang w:eastAsia="en-GB"/>
              </w:rPr>
              <w:t>7,322,230</w:t>
            </w:r>
          </w:p>
        </w:tc>
        <w:tc>
          <w:tcPr>
            <w:tcW w:w="1843" w:type="dxa"/>
            <w:shd w:val="clear" w:color="auto" w:fill="FFFFFF" w:themeFill="background1"/>
            <w:noWrap/>
            <w:hideMark/>
          </w:tcPr>
          <w:p w14:paraId="741EEC22" w14:textId="77777777" w:rsidR="00260E9A" w:rsidRPr="00394A7A" w:rsidRDefault="00260E9A" w:rsidP="00F75FC5">
            <w:pPr>
              <w:spacing w:after="0"/>
              <w:jc w:val="center"/>
              <w:rPr>
                <w:color w:val="auto"/>
                <w:sz w:val="20"/>
                <w:szCs w:val="20"/>
                <w:lang w:eastAsia="en-GB"/>
              </w:rPr>
            </w:pPr>
            <w:r w:rsidRPr="00394A7A">
              <w:rPr>
                <w:color w:val="auto"/>
                <w:sz w:val="20"/>
                <w:szCs w:val="20"/>
                <w:lang w:eastAsia="en-GB"/>
              </w:rPr>
              <w:t>4.6%</w:t>
            </w:r>
          </w:p>
        </w:tc>
      </w:tr>
      <w:tr w:rsidR="00260E9A" w:rsidRPr="00674B20" w14:paraId="53E51632" w14:textId="77777777" w:rsidTr="00394A7A">
        <w:trPr>
          <w:trHeight w:val="259"/>
        </w:trPr>
        <w:tc>
          <w:tcPr>
            <w:tcW w:w="3227" w:type="dxa"/>
            <w:shd w:val="clear" w:color="auto" w:fill="FFFFFF" w:themeFill="background1"/>
            <w:noWrap/>
            <w:hideMark/>
          </w:tcPr>
          <w:p w14:paraId="3404A621" w14:textId="77777777" w:rsidR="00260E9A" w:rsidRPr="00394A7A" w:rsidRDefault="00260E9A" w:rsidP="00F75FC5">
            <w:pPr>
              <w:spacing w:after="0"/>
              <w:rPr>
                <w:color w:val="auto"/>
                <w:sz w:val="20"/>
                <w:szCs w:val="20"/>
                <w:lang w:eastAsia="en-GB"/>
              </w:rPr>
            </w:pPr>
            <w:r w:rsidRPr="00394A7A">
              <w:rPr>
                <w:color w:val="auto"/>
                <w:sz w:val="20"/>
                <w:szCs w:val="20"/>
                <w:lang w:eastAsia="en-GB"/>
              </w:rPr>
              <w:t>Flexible</w:t>
            </w:r>
          </w:p>
        </w:tc>
        <w:tc>
          <w:tcPr>
            <w:tcW w:w="1797" w:type="dxa"/>
            <w:shd w:val="clear" w:color="auto" w:fill="FFFFFF" w:themeFill="background1"/>
            <w:noWrap/>
            <w:hideMark/>
          </w:tcPr>
          <w:p w14:paraId="316605AC" w14:textId="77777777" w:rsidR="00260E9A" w:rsidRPr="00394A7A" w:rsidRDefault="00260E9A" w:rsidP="00F75FC5">
            <w:pPr>
              <w:spacing w:after="0"/>
              <w:jc w:val="center"/>
              <w:rPr>
                <w:color w:val="auto"/>
                <w:sz w:val="20"/>
                <w:szCs w:val="20"/>
                <w:lang w:eastAsia="en-GB"/>
              </w:rPr>
            </w:pPr>
            <w:r w:rsidRPr="00394A7A">
              <w:rPr>
                <w:color w:val="auto"/>
                <w:sz w:val="20"/>
                <w:szCs w:val="20"/>
                <w:lang w:eastAsia="en-GB"/>
              </w:rPr>
              <w:t>5,865,670</w:t>
            </w:r>
          </w:p>
        </w:tc>
        <w:tc>
          <w:tcPr>
            <w:tcW w:w="1701" w:type="dxa"/>
            <w:shd w:val="clear" w:color="auto" w:fill="FFFFFF" w:themeFill="background1"/>
            <w:noWrap/>
            <w:hideMark/>
          </w:tcPr>
          <w:p w14:paraId="31F46E7A" w14:textId="77777777" w:rsidR="00260E9A" w:rsidRPr="00394A7A" w:rsidRDefault="00260E9A" w:rsidP="00F75FC5">
            <w:pPr>
              <w:spacing w:after="0"/>
              <w:jc w:val="center"/>
              <w:rPr>
                <w:color w:val="auto"/>
                <w:sz w:val="20"/>
                <w:szCs w:val="20"/>
                <w:lang w:eastAsia="en-GB"/>
              </w:rPr>
            </w:pPr>
            <w:r w:rsidRPr="00394A7A">
              <w:rPr>
                <w:color w:val="auto"/>
                <w:sz w:val="20"/>
                <w:szCs w:val="20"/>
                <w:lang w:eastAsia="en-GB"/>
              </w:rPr>
              <w:t>7,101,070</w:t>
            </w:r>
          </w:p>
        </w:tc>
        <w:tc>
          <w:tcPr>
            <w:tcW w:w="1843" w:type="dxa"/>
            <w:shd w:val="clear" w:color="auto" w:fill="FFFFFF" w:themeFill="background1"/>
            <w:noWrap/>
            <w:hideMark/>
          </w:tcPr>
          <w:p w14:paraId="093F13BE" w14:textId="77777777" w:rsidR="00260E9A" w:rsidRPr="00394A7A" w:rsidRDefault="00260E9A" w:rsidP="00F75FC5">
            <w:pPr>
              <w:spacing w:after="0"/>
              <w:jc w:val="center"/>
              <w:rPr>
                <w:color w:val="auto"/>
                <w:sz w:val="20"/>
                <w:szCs w:val="20"/>
                <w:lang w:eastAsia="en-GB"/>
              </w:rPr>
            </w:pPr>
            <w:r w:rsidRPr="00394A7A">
              <w:rPr>
                <w:color w:val="auto"/>
                <w:sz w:val="20"/>
                <w:szCs w:val="20"/>
                <w:lang w:eastAsia="en-GB"/>
              </w:rPr>
              <w:t>3.9%</w:t>
            </w:r>
          </w:p>
        </w:tc>
      </w:tr>
      <w:tr w:rsidR="00260E9A" w:rsidRPr="00674B20" w14:paraId="32226B36" w14:textId="77777777" w:rsidTr="00394A7A">
        <w:trPr>
          <w:trHeight w:val="259"/>
        </w:trPr>
        <w:tc>
          <w:tcPr>
            <w:tcW w:w="3227" w:type="dxa"/>
            <w:shd w:val="clear" w:color="auto" w:fill="FFFFFF" w:themeFill="background1"/>
            <w:noWrap/>
            <w:hideMark/>
          </w:tcPr>
          <w:p w14:paraId="16916285" w14:textId="77777777" w:rsidR="00260E9A" w:rsidRPr="00394A7A" w:rsidRDefault="00260E9A" w:rsidP="00F75FC5">
            <w:pPr>
              <w:spacing w:after="0"/>
              <w:rPr>
                <w:b/>
                <w:bCs/>
                <w:color w:val="auto"/>
                <w:sz w:val="20"/>
                <w:szCs w:val="20"/>
                <w:lang w:eastAsia="en-GB"/>
              </w:rPr>
            </w:pPr>
            <w:r w:rsidRPr="00394A7A">
              <w:rPr>
                <w:b/>
                <w:bCs/>
                <w:color w:val="auto"/>
                <w:sz w:val="20"/>
                <w:szCs w:val="20"/>
                <w:lang w:eastAsia="en-GB"/>
              </w:rPr>
              <w:t>Total PU Foam Production</w:t>
            </w:r>
          </w:p>
        </w:tc>
        <w:tc>
          <w:tcPr>
            <w:tcW w:w="1797" w:type="dxa"/>
            <w:shd w:val="clear" w:color="auto" w:fill="FFFFFF" w:themeFill="background1"/>
            <w:noWrap/>
            <w:hideMark/>
          </w:tcPr>
          <w:p w14:paraId="627D4070" w14:textId="77777777" w:rsidR="00260E9A" w:rsidRPr="00394A7A" w:rsidRDefault="00260E9A" w:rsidP="00F75FC5">
            <w:pPr>
              <w:spacing w:after="0"/>
              <w:jc w:val="center"/>
              <w:rPr>
                <w:b/>
                <w:bCs/>
                <w:color w:val="auto"/>
                <w:sz w:val="20"/>
                <w:szCs w:val="20"/>
                <w:lang w:eastAsia="en-GB"/>
              </w:rPr>
            </w:pPr>
            <w:r w:rsidRPr="00394A7A">
              <w:rPr>
                <w:b/>
                <w:bCs/>
                <w:color w:val="auto"/>
                <w:sz w:val="20"/>
                <w:szCs w:val="20"/>
                <w:lang w:eastAsia="en-GB"/>
              </w:rPr>
              <w:t>11,701,670</w:t>
            </w:r>
          </w:p>
        </w:tc>
        <w:tc>
          <w:tcPr>
            <w:tcW w:w="1701" w:type="dxa"/>
            <w:shd w:val="clear" w:color="auto" w:fill="FFFFFF" w:themeFill="background1"/>
            <w:noWrap/>
            <w:hideMark/>
          </w:tcPr>
          <w:p w14:paraId="7A1DE466" w14:textId="77777777" w:rsidR="00260E9A" w:rsidRPr="00394A7A" w:rsidRDefault="00260E9A" w:rsidP="00F75FC5">
            <w:pPr>
              <w:spacing w:after="0"/>
              <w:jc w:val="center"/>
              <w:rPr>
                <w:b/>
                <w:bCs/>
                <w:color w:val="auto"/>
                <w:sz w:val="20"/>
                <w:szCs w:val="20"/>
                <w:lang w:eastAsia="en-GB"/>
              </w:rPr>
            </w:pPr>
            <w:r w:rsidRPr="00394A7A">
              <w:rPr>
                <w:b/>
                <w:bCs/>
                <w:color w:val="auto"/>
                <w:sz w:val="20"/>
                <w:szCs w:val="20"/>
                <w:lang w:eastAsia="en-GB"/>
              </w:rPr>
              <w:t>14,423,300</w:t>
            </w:r>
          </w:p>
        </w:tc>
        <w:tc>
          <w:tcPr>
            <w:tcW w:w="1843" w:type="dxa"/>
            <w:shd w:val="clear" w:color="auto" w:fill="FFFFFF" w:themeFill="background1"/>
            <w:noWrap/>
            <w:hideMark/>
          </w:tcPr>
          <w:p w14:paraId="67D0037B" w14:textId="77777777" w:rsidR="00260E9A" w:rsidRPr="00394A7A" w:rsidRDefault="00260E9A" w:rsidP="00F75FC5">
            <w:pPr>
              <w:spacing w:after="0"/>
              <w:jc w:val="center"/>
              <w:rPr>
                <w:b/>
                <w:bCs/>
                <w:color w:val="auto"/>
                <w:sz w:val="20"/>
                <w:szCs w:val="20"/>
                <w:lang w:eastAsia="en-GB"/>
              </w:rPr>
            </w:pPr>
            <w:r w:rsidRPr="00394A7A">
              <w:rPr>
                <w:b/>
                <w:bCs/>
                <w:color w:val="auto"/>
                <w:sz w:val="20"/>
                <w:szCs w:val="20"/>
                <w:lang w:eastAsia="en-GB"/>
              </w:rPr>
              <w:t>4.3%</w:t>
            </w:r>
          </w:p>
        </w:tc>
      </w:tr>
      <w:tr w:rsidR="00260E9A" w:rsidRPr="00674B20" w14:paraId="04FFFB5C" w14:textId="77777777" w:rsidTr="00394A7A">
        <w:trPr>
          <w:trHeight w:val="259"/>
        </w:trPr>
        <w:tc>
          <w:tcPr>
            <w:tcW w:w="3227" w:type="dxa"/>
            <w:shd w:val="clear" w:color="auto" w:fill="FFFFFF" w:themeFill="background1"/>
            <w:noWrap/>
            <w:hideMark/>
          </w:tcPr>
          <w:p w14:paraId="6D77D52D" w14:textId="77777777" w:rsidR="00260E9A" w:rsidRPr="00394A7A" w:rsidRDefault="00260E9A" w:rsidP="00F75FC5">
            <w:pPr>
              <w:spacing w:after="0"/>
              <w:rPr>
                <w:color w:val="auto"/>
                <w:sz w:val="20"/>
                <w:szCs w:val="20"/>
                <w:lang w:eastAsia="en-GB"/>
              </w:rPr>
            </w:pPr>
            <w:r w:rsidRPr="00394A7A">
              <w:rPr>
                <w:color w:val="auto"/>
                <w:sz w:val="20"/>
                <w:szCs w:val="20"/>
                <w:lang w:eastAsia="en-GB"/>
              </w:rPr>
              <w:t>Polystyrene</w:t>
            </w:r>
          </w:p>
        </w:tc>
        <w:tc>
          <w:tcPr>
            <w:tcW w:w="1797" w:type="dxa"/>
            <w:shd w:val="clear" w:color="auto" w:fill="FFFFFF" w:themeFill="background1"/>
            <w:noWrap/>
            <w:hideMark/>
          </w:tcPr>
          <w:p w14:paraId="293A0208" w14:textId="77777777" w:rsidR="00260E9A" w:rsidRPr="00394A7A" w:rsidRDefault="00260E9A" w:rsidP="00F75FC5">
            <w:pPr>
              <w:spacing w:after="0"/>
              <w:jc w:val="center"/>
              <w:rPr>
                <w:color w:val="auto"/>
                <w:sz w:val="20"/>
                <w:szCs w:val="20"/>
                <w:lang w:eastAsia="en-GB"/>
              </w:rPr>
            </w:pPr>
          </w:p>
        </w:tc>
        <w:tc>
          <w:tcPr>
            <w:tcW w:w="1701" w:type="dxa"/>
            <w:shd w:val="clear" w:color="auto" w:fill="FFFFFF" w:themeFill="background1"/>
            <w:noWrap/>
            <w:hideMark/>
          </w:tcPr>
          <w:p w14:paraId="316CA8ED" w14:textId="77777777" w:rsidR="00260E9A" w:rsidRPr="00394A7A" w:rsidRDefault="00260E9A" w:rsidP="00F75FC5">
            <w:pPr>
              <w:spacing w:after="0"/>
              <w:jc w:val="center"/>
              <w:rPr>
                <w:color w:val="auto"/>
                <w:sz w:val="20"/>
                <w:szCs w:val="20"/>
                <w:lang w:eastAsia="en-GB"/>
              </w:rPr>
            </w:pPr>
          </w:p>
        </w:tc>
        <w:tc>
          <w:tcPr>
            <w:tcW w:w="1843" w:type="dxa"/>
            <w:shd w:val="clear" w:color="auto" w:fill="FFFFFF" w:themeFill="background1"/>
            <w:noWrap/>
            <w:hideMark/>
          </w:tcPr>
          <w:p w14:paraId="30995288" w14:textId="77777777" w:rsidR="00260E9A" w:rsidRPr="00394A7A" w:rsidRDefault="00260E9A" w:rsidP="00F75FC5">
            <w:pPr>
              <w:spacing w:after="0"/>
              <w:jc w:val="center"/>
              <w:rPr>
                <w:color w:val="auto"/>
                <w:sz w:val="20"/>
                <w:szCs w:val="20"/>
                <w:lang w:eastAsia="en-GB"/>
              </w:rPr>
            </w:pPr>
          </w:p>
        </w:tc>
      </w:tr>
      <w:tr w:rsidR="00260E9A" w:rsidRPr="00674B20" w14:paraId="2B98FE92" w14:textId="77777777" w:rsidTr="00394A7A">
        <w:trPr>
          <w:trHeight w:val="259"/>
        </w:trPr>
        <w:tc>
          <w:tcPr>
            <w:tcW w:w="3227" w:type="dxa"/>
            <w:shd w:val="clear" w:color="auto" w:fill="FFFFFF" w:themeFill="background1"/>
            <w:noWrap/>
            <w:hideMark/>
          </w:tcPr>
          <w:p w14:paraId="6B5AA4A1" w14:textId="77777777" w:rsidR="00260E9A" w:rsidRPr="00394A7A" w:rsidRDefault="00260E9A" w:rsidP="00F75FC5">
            <w:pPr>
              <w:spacing w:after="0"/>
              <w:rPr>
                <w:color w:val="auto"/>
                <w:sz w:val="20"/>
                <w:szCs w:val="20"/>
                <w:lang w:eastAsia="en-GB"/>
              </w:rPr>
            </w:pPr>
            <w:r w:rsidRPr="00394A7A">
              <w:rPr>
                <w:color w:val="auto"/>
                <w:sz w:val="20"/>
                <w:szCs w:val="20"/>
                <w:lang w:eastAsia="en-GB"/>
              </w:rPr>
              <w:t>EPS</w:t>
            </w:r>
          </w:p>
        </w:tc>
        <w:tc>
          <w:tcPr>
            <w:tcW w:w="1797" w:type="dxa"/>
            <w:shd w:val="clear" w:color="auto" w:fill="FFFFFF" w:themeFill="background1"/>
            <w:noWrap/>
            <w:hideMark/>
          </w:tcPr>
          <w:p w14:paraId="0F6A94C6" w14:textId="77777777" w:rsidR="00260E9A" w:rsidRPr="00394A7A" w:rsidRDefault="00260E9A" w:rsidP="00F75FC5">
            <w:pPr>
              <w:spacing w:after="0"/>
              <w:jc w:val="center"/>
              <w:rPr>
                <w:color w:val="auto"/>
                <w:sz w:val="20"/>
                <w:szCs w:val="20"/>
                <w:lang w:eastAsia="en-GB"/>
              </w:rPr>
            </w:pPr>
            <w:r w:rsidRPr="00394A7A">
              <w:rPr>
                <w:color w:val="auto"/>
                <w:sz w:val="20"/>
                <w:szCs w:val="20"/>
                <w:lang w:eastAsia="en-GB"/>
              </w:rPr>
              <w:t>8,151,000</w:t>
            </w:r>
          </w:p>
        </w:tc>
        <w:tc>
          <w:tcPr>
            <w:tcW w:w="1701" w:type="dxa"/>
            <w:shd w:val="clear" w:color="auto" w:fill="FFFFFF" w:themeFill="background1"/>
            <w:noWrap/>
            <w:hideMark/>
          </w:tcPr>
          <w:p w14:paraId="06DA3325" w14:textId="77777777" w:rsidR="00260E9A" w:rsidRPr="00394A7A" w:rsidRDefault="00260E9A" w:rsidP="00F75FC5">
            <w:pPr>
              <w:spacing w:after="0"/>
              <w:jc w:val="center"/>
              <w:rPr>
                <w:color w:val="auto"/>
                <w:sz w:val="20"/>
                <w:szCs w:val="20"/>
                <w:lang w:eastAsia="en-GB"/>
              </w:rPr>
            </w:pPr>
            <w:r w:rsidRPr="00394A7A">
              <w:rPr>
                <w:color w:val="auto"/>
                <w:sz w:val="20"/>
                <w:szCs w:val="20"/>
                <w:lang w:eastAsia="en-GB"/>
              </w:rPr>
              <w:t>10,050,000</w:t>
            </w:r>
          </w:p>
        </w:tc>
        <w:tc>
          <w:tcPr>
            <w:tcW w:w="1843" w:type="dxa"/>
            <w:shd w:val="clear" w:color="auto" w:fill="FFFFFF" w:themeFill="background1"/>
            <w:noWrap/>
            <w:hideMark/>
          </w:tcPr>
          <w:p w14:paraId="7BE8C34B" w14:textId="77777777" w:rsidR="00260E9A" w:rsidRPr="00394A7A" w:rsidRDefault="00260E9A" w:rsidP="00F75FC5">
            <w:pPr>
              <w:spacing w:after="0"/>
              <w:jc w:val="center"/>
              <w:rPr>
                <w:color w:val="auto"/>
                <w:sz w:val="20"/>
                <w:szCs w:val="20"/>
                <w:lang w:eastAsia="en-GB"/>
              </w:rPr>
            </w:pPr>
            <w:r w:rsidRPr="00394A7A">
              <w:rPr>
                <w:color w:val="auto"/>
                <w:sz w:val="20"/>
                <w:szCs w:val="20"/>
                <w:lang w:eastAsia="en-GB"/>
              </w:rPr>
              <w:t>4.3%</w:t>
            </w:r>
          </w:p>
        </w:tc>
      </w:tr>
      <w:tr w:rsidR="00260E9A" w:rsidRPr="00674B20" w14:paraId="303EDE29" w14:textId="77777777" w:rsidTr="00394A7A">
        <w:trPr>
          <w:trHeight w:val="259"/>
        </w:trPr>
        <w:tc>
          <w:tcPr>
            <w:tcW w:w="3227" w:type="dxa"/>
            <w:shd w:val="clear" w:color="auto" w:fill="FFFFFF" w:themeFill="background1"/>
            <w:noWrap/>
            <w:hideMark/>
          </w:tcPr>
          <w:p w14:paraId="276AF74A" w14:textId="77777777" w:rsidR="00260E9A" w:rsidRPr="00394A7A" w:rsidRDefault="00260E9A" w:rsidP="00F75FC5">
            <w:pPr>
              <w:spacing w:after="0"/>
              <w:rPr>
                <w:color w:val="auto"/>
                <w:sz w:val="20"/>
                <w:szCs w:val="20"/>
                <w:lang w:eastAsia="en-GB"/>
              </w:rPr>
            </w:pPr>
            <w:r w:rsidRPr="00394A7A">
              <w:rPr>
                <w:color w:val="auto"/>
                <w:sz w:val="20"/>
                <w:szCs w:val="20"/>
                <w:lang w:eastAsia="en-GB"/>
              </w:rPr>
              <w:t>XPS</w:t>
            </w:r>
          </w:p>
        </w:tc>
        <w:tc>
          <w:tcPr>
            <w:tcW w:w="1797" w:type="dxa"/>
            <w:shd w:val="clear" w:color="auto" w:fill="FFFFFF" w:themeFill="background1"/>
            <w:noWrap/>
            <w:hideMark/>
          </w:tcPr>
          <w:p w14:paraId="4D9D99F7" w14:textId="77777777" w:rsidR="00260E9A" w:rsidRPr="00394A7A" w:rsidRDefault="00260E9A" w:rsidP="00F75FC5">
            <w:pPr>
              <w:spacing w:after="0"/>
              <w:jc w:val="center"/>
              <w:rPr>
                <w:color w:val="auto"/>
                <w:sz w:val="20"/>
                <w:szCs w:val="20"/>
                <w:lang w:eastAsia="en-GB"/>
              </w:rPr>
            </w:pPr>
            <w:r w:rsidRPr="00394A7A">
              <w:rPr>
                <w:color w:val="auto"/>
                <w:sz w:val="20"/>
                <w:szCs w:val="20"/>
                <w:lang w:eastAsia="en-GB"/>
              </w:rPr>
              <w:t>1,750,000</w:t>
            </w:r>
          </w:p>
        </w:tc>
        <w:tc>
          <w:tcPr>
            <w:tcW w:w="1701" w:type="dxa"/>
            <w:shd w:val="clear" w:color="auto" w:fill="FFFFFF" w:themeFill="background1"/>
            <w:noWrap/>
            <w:hideMark/>
          </w:tcPr>
          <w:p w14:paraId="32286888" w14:textId="77777777" w:rsidR="00260E9A" w:rsidRPr="00394A7A" w:rsidRDefault="00260E9A" w:rsidP="00F75FC5">
            <w:pPr>
              <w:spacing w:after="0"/>
              <w:jc w:val="center"/>
              <w:rPr>
                <w:color w:val="auto"/>
                <w:sz w:val="20"/>
                <w:szCs w:val="20"/>
                <w:lang w:eastAsia="en-GB"/>
              </w:rPr>
            </w:pPr>
            <w:r w:rsidRPr="00394A7A">
              <w:rPr>
                <w:color w:val="auto"/>
                <w:sz w:val="20"/>
                <w:szCs w:val="20"/>
                <w:lang w:eastAsia="en-GB"/>
              </w:rPr>
              <w:t>1,950,000</w:t>
            </w:r>
          </w:p>
        </w:tc>
        <w:tc>
          <w:tcPr>
            <w:tcW w:w="1843" w:type="dxa"/>
            <w:shd w:val="clear" w:color="auto" w:fill="FFFFFF" w:themeFill="background1"/>
            <w:noWrap/>
            <w:hideMark/>
          </w:tcPr>
          <w:p w14:paraId="533EEE0A" w14:textId="77777777" w:rsidR="00260E9A" w:rsidRPr="00394A7A" w:rsidRDefault="00260E9A" w:rsidP="00F75FC5">
            <w:pPr>
              <w:spacing w:after="0"/>
              <w:jc w:val="center"/>
              <w:rPr>
                <w:color w:val="auto"/>
                <w:sz w:val="20"/>
                <w:szCs w:val="20"/>
                <w:lang w:eastAsia="en-GB"/>
              </w:rPr>
            </w:pPr>
            <w:r w:rsidRPr="00394A7A">
              <w:rPr>
                <w:color w:val="auto"/>
                <w:sz w:val="20"/>
                <w:szCs w:val="20"/>
                <w:lang w:eastAsia="en-GB"/>
              </w:rPr>
              <w:t>2.2%</w:t>
            </w:r>
          </w:p>
        </w:tc>
      </w:tr>
      <w:tr w:rsidR="00260E9A" w:rsidRPr="00674B20" w14:paraId="41AE8794" w14:textId="77777777" w:rsidTr="00394A7A">
        <w:trPr>
          <w:trHeight w:val="259"/>
        </w:trPr>
        <w:tc>
          <w:tcPr>
            <w:tcW w:w="3227" w:type="dxa"/>
            <w:shd w:val="clear" w:color="auto" w:fill="FFFFFF" w:themeFill="background1"/>
            <w:noWrap/>
            <w:hideMark/>
          </w:tcPr>
          <w:p w14:paraId="76DD8D47" w14:textId="77777777" w:rsidR="00260E9A" w:rsidRPr="00394A7A" w:rsidRDefault="00260E9A" w:rsidP="00F75FC5">
            <w:pPr>
              <w:spacing w:after="0"/>
              <w:rPr>
                <w:b/>
                <w:bCs/>
                <w:color w:val="auto"/>
                <w:sz w:val="20"/>
                <w:szCs w:val="20"/>
                <w:lang w:eastAsia="en-GB"/>
              </w:rPr>
            </w:pPr>
            <w:r w:rsidRPr="00394A7A">
              <w:rPr>
                <w:b/>
                <w:bCs/>
                <w:color w:val="auto"/>
                <w:sz w:val="20"/>
                <w:szCs w:val="20"/>
                <w:lang w:eastAsia="en-GB"/>
              </w:rPr>
              <w:t>Total PS Foam Production</w:t>
            </w:r>
          </w:p>
        </w:tc>
        <w:tc>
          <w:tcPr>
            <w:tcW w:w="1797" w:type="dxa"/>
            <w:shd w:val="clear" w:color="auto" w:fill="FFFFFF" w:themeFill="background1"/>
            <w:noWrap/>
            <w:hideMark/>
          </w:tcPr>
          <w:p w14:paraId="2C81DA73" w14:textId="77777777" w:rsidR="00260E9A" w:rsidRPr="00394A7A" w:rsidRDefault="00260E9A" w:rsidP="00F75FC5">
            <w:pPr>
              <w:spacing w:after="0"/>
              <w:jc w:val="center"/>
              <w:rPr>
                <w:b/>
                <w:bCs/>
                <w:color w:val="auto"/>
                <w:sz w:val="20"/>
                <w:szCs w:val="20"/>
                <w:lang w:eastAsia="en-GB"/>
              </w:rPr>
            </w:pPr>
            <w:r w:rsidRPr="00394A7A">
              <w:rPr>
                <w:b/>
                <w:bCs/>
                <w:color w:val="auto"/>
                <w:sz w:val="20"/>
                <w:szCs w:val="20"/>
                <w:lang w:eastAsia="en-GB"/>
              </w:rPr>
              <w:t>9,901,000</w:t>
            </w:r>
          </w:p>
        </w:tc>
        <w:tc>
          <w:tcPr>
            <w:tcW w:w="1701" w:type="dxa"/>
            <w:shd w:val="clear" w:color="auto" w:fill="FFFFFF" w:themeFill="background1"/>
            <w:noWrap/>
            <w:hideMark/>
          </w:tcPr>
          <w:p w14:paraId="0CA638C9" w14:textId="77777777" w:rsidR="00260E9A" w:rsidRPr="00394A7A" w:rsidRDefault="00260E9A" w:rsidP="00F75FC5">
            <w:pPr>
              <w:spacing w:after="0"/>
              <w:jc w:val="center"/>
              <w:rPr>
                <w:b/>
                <w:bCs/>
                <w:color w:val="auto"/>
                <w:sz w:val="20"/>
                <w:szCs w:val="20"/>
                <w:lang w:eastAsia="en-GB"/>
              </w:rPr>
            </w:pPr>
            <w:r w:rsidRPr="00394A7A">
              <w:rPr>
                <w:b/>
                <w:bCs/>
                <w:color w:val="auto"/>
                <w:sz w:val="20"/>
                <w:szCs w:val="20"/>
                <w:lang w:eastAsia="en-GB"/>
              </w:rPr>
              <w:t>12,000,000</w:t>
            </w:r>
          </w:p>
        </w:tc>
        <w:tc>
          <w:tcPr>
            <w:tcW w:w="1843" w:type="dxa"/>
            <w:shd w:val="clear" w:color="auto" w:fill="FFFFFF" w:themeFill="background1"/>
            <w:noWrap/>
            <w:hideMark/>
          </w:tcPr>
          <w:p w14:paraId="5FDD23AD" w14:textId="77777777" w:rsidR="00260E9A" w:rsidRPr="00394A7A" w:rsidRDefault="00260E9A" w:rsidP="00F75FC5">
            <w:pPr>
              <w:spacing w:after="0"/>
              <w:jc w:val="center"/>
              <w:rPr>
                <w:b/>
                <w:bCs/>
                <w:color w:val="auto"/>
                <w:sz w:val="20"/>
                <w:szCs w:val="20"/>
                <w:lang w:eastAsia="en-GB"/>
              </w:rPr>
            </w:pPr>
            <w:r w:rsidRPr="00394A7A">
              <w:rPr>
                <w:b/>
                <w:bCs/>
                <w:color w:val="auto"/>
                <w:sz w:val="20"/>
                <w:szCs w:val="20"/>
                <w:lang w:eastAsia="en-GB"/>
              </w:rPr>
              <w:t>3.9%</w:t>
            </w:r>
          </w:p>
        </w:tc>
      </w:tr>
      <w:tr w:rsidR="00260E9A" w:rsidRPr="00674B20" w14:paraId="428E10AB" w14:textId="77777777" w:rsidTr="00394A7A">
        <w:trPr>
          <w:trHeight w:val="259"/>
        </w:trPr>
        <w:tc>
          <w:tcPr>
            <w:tcW w:w="3227" w:type="dxa"/>
            <w:shd w:val="clear" w:color="auto" w:fill="FFFFFF" w:themeFill="background1"/>
            <w:noWrap/>
            <w:hideMark/>
          </w:tcPr>
          <w:p w14:paraId="5F940989" w14:textId="77777777" w:rsidR="00260E9A" w:rsidRPr="00394A7A" w:rsidRDefault="00260E9A" w:rsidP="00F75FC5">
            <w:pPr>
              <w:spacing w:after="0"/>
              <w:rPr>
                <w:color w:val="auto"/>
                <w:sz w:val="20"/>
                <w:szCs w:val="20"/>
                <w:lang w:eastAsia="en-GB"/>
              </w:rPr>
            </w:pPr>
            <w:r w:rsidRPr="00394A7A">
              <w:rPr>
                <w:color w:val="auto"/>
                <w:sz w:val="20"/>
                <w:szCs w:val="20"/>
                <w:lang w:eastAsia="en-GB"/>
              </w:rPr>
              <w:t>Others</w:t>
            </w:r>
          </w:p>
        </w:tc>
        <w:tc>
          <w:tcPr>
            <w:tcW w:w="1797" w:type="dxa"/>
            <w:shd w:val="clear" w:color="auto" w:fill="FFFFFF" w:themeFill="background1"/>
            <w:noWrap/>
            <w:hideMark/>
          </w:tcPr>
          <w:p w14:paraId="4D3EC5A1" w14:textId="77777777" w:rsidR="00260E9A" w:rsidRPr="00394A7A" w:rsidRDefault="00260E9A" w:rsidP="00F75FC5">
            <w:pPr>
              <w:spacing w:after="0"/>
              <w:jc w:val="center"/>
              <w:rPr>
                <w:color w:val="auto"/>
                <w:sz w:val="20"/>
                <w:szCs w:val="20"/>
                <w:lang w:eastAsia="en-GB"/>
              </w:rPr>
            </w:pPr>
          </w:p>
        </w:tc>
        <w:tc>
          <w:tcPr>
            <w:tcW w:w="1701" w:type="dxa"/>
            <w:shd w:val="clear" w:color="auto" w:fill="FFFFFF" w:themeFill="background1"/>
            <w:noWrap/>
            <w:hideMark/>
          </w:tcPr>
          <w:p w14:paraId="7C308ACD" w14:textId="77777777" w:rsidR="00260E9A" w:rsidRPr="00394A7A" w:rsidRDefault="00260E9A" w:rsidP="00F75FC5">
            <w:pPr>
              <w:spacing w:after="0"/>
              <w:jc w:val="center"/>
              <w:rPr>
                <w:color w:val="auto"/>
                <w:sz w:val="20"/>
                <w:szCs w:val="20"/>
                <w:lang w:eastAsia="en-GB"/>
              </w:rPr>
            </w:pPr>
          </w:p>
        </w:tc>
        <w:tc>
          <w:tcPr>
            <w:tcW w:w="1843" w:type="dxa"/>
            <w:shd w:val="clear" w:color="auto" w:fill="FFFFFF" w:themeFill="background1"/>
            <w:noWrap/>
            <w:hideMark/>
          </w:tcPr>
          <w:p w14:paraId="6D49C817" w14:textId="77777777" w:rsidR="00260E9A" w:rsidRPr="00394A7A" w:rsidRDefault="00260E9A" w:rsidP="00F75FC5">
            <w:pPr>
              <w:spacing w:after="0"/>
              <w:rPr>
                <w:color w:val="auto"/>
                <w:sz w:val="20"/>
                <w:szCs w:val="20"/>
                <w:lang w:eastAsia="en-GB"/>
              </w:rPr>
            </w:pPr>
          </w:p>
        </w:tc>
      </w:tr>
      <w:tr w:rsidR="00260E9A" w:rsidRPr="00674B20" w14:paraId="6483E71C" w14:textId="77777777" w:rsidTr="00394A7A">
        <w:trPr>
          <w:trHeight w:val="259"/>
        </w:trPr>
        <w:tc>
          <w:tcPr>
            <w:tcW w:w="3227" w:type="dxa"/>
            <w:shd w:val="clear" w:color="auto" w:fill="FFFFFF" w:themeFill="background1"/>
            <w:noWrap/>
            <w:hideMark/>
          </w:tcPr>
          <w:p w14:paraId="5F2242C4" w14:textId="77777777" w:rsidR="00260E9A" w:rsidRPr="00394A7A" w:rsidRDefault="00260E9A" w:rsidP="00F75FC5">
            <w:pPr>
              <w:spacing w:after="0"/>
              <w:rPr>
                <w:color w:val="auto"/>
                <w:sz w:val="20"/>
                <w:szCs w:val="20"/>
                <w:lang w:eastAsia="en-GB"/>
              </w:rPr>
            </w:pPr>
            <w:r w:rsidRPr="00394A7A">
              <w:rPr>
                <w:color w:val="auto"/>
                <w:sz w:val="20"/>
                <w:szCs w:val="20"/>
                <w:lang w:eastAsia="en-GB"/>
              </w:rPr>
              <w:t>Phenolics,Polyolefins, EVA, ENR</w:t>
            </w:r>
          </w:p>
        </w:tc>
        <w:tc>
          <w:tcPr>
            <w:tcW w:w="1797" w:type="dxa"/>
            <w:shd w:val="clear" w:color="auto" w:fill="FFFFFF" w:themeFill="background1"/>
            <w:noWrap/>
            <w:hideMark/>
          </w:tcPr>
          <w:p w14:paraId="40684074" w14:textId="77777777" w:rsidR="00260E9A" w:rsidRPr="00394A7A" w:rsidRDefault="00260E9A" w:rsidP="00F75FC5">
            <w:pPr>
              <w:spacing w:after="0"/>
              <w:jc w:val="center"/>
              <w:rPr>
                <w:color w:val="auto"/>
                <w:sz w:val="20"/>
                <w:szCs w:val="20"/>
                <w:lang w:eastAsia="en-GB"/>
              </w:rPr>
            </w:pPr>
          </w:p>
        </w:tc>
        <w:tc>
          <w:tcPr>
            <w:tcW w:w="1701" w:type="dxa"/>
            <w:shd w:val="clear" w:color="auto" w:fill="FFFFFF" w:themeFill="background1"/>
            <w:noWrap/>
            <w:hideMark/>
          </w:tcPr>
          <w:p w14:paraId="7A7D8784" w14:textId="77777777" w:rsidR="00260E9A" w:rsidRPr="00394A7A" w:rsidRDefault="00260E9A" w:rsidP="00F75FC5">
            <w:pPr>
              <w:spacing w:after="0"/>
              <w:jc w:val="center"/>
              <w:rPr>
                <w:color w:val="auto"/>
                <w:sz w:val="20"/>
                <w:szCs w:val="20"/>
                <w:lang w:eastAsia="en-GB"/>
              </w:rPr>
            </w:pPr>
          </w:p>
        </w:tc>
        <w:tc>
          <w:tcPr>
            <w:tcW w:w="1843" w:type="dxa"/>
            <w:shd w:val="clear" w:color="auto" w:fill="FFFFFF" w:themeFill="background1"/>
            <w:noWrap/>
            <w:hideMark/>
          </w:tcPr>
          <w:p w14:paraId="3CC4C9F1" w14:textId="77777777" w:rsidR="00260E9A" w:rsidRPr="00394A7A" w:rsidRDefault="00260E9A" w:rsidP="00F75FC5">
            <w:pPr>
              <w:spacing w:after="0"/>
              <w:jc w:val="center"/>
              <w:rPr>
                <w:color w:val="auto"/>
                <w:sz w:val="20"/>
                <w:szCs w:val="20"/>
                <w:lang w:eastAsia="en-GB"/>
              </w:rPr>
            </w:pPr>
          </w:p>
        </w:tc>
      </w:tr>
      <w:tr w:rsidR="00260E9A" w:rsidRPr="00674B20" w14:paraId="776BD43A" w14:textId="77777777" w:rsidTr="00394A7A">
        <w:trPr>
          <w:trHeight w:val="259"/>
        </w:trPr>
        <w:tc>
          <w:tcPr>
            <w:tcW w:w="3227" w:type="dxa"/>
            <w:shd w:val="clear" w:color="auto" w:fill="FFFFFF" w:themeFill="background1"/>
            <w:noWrap/>
            <w:hideMark/>
          </w:tcPr>
          <w:p w14:paraId="3345FEBB" w14:textId="77777777" w:rsidR="00260E9A" w:rsidRPr="00394A7A" w:rsidRDefault="00260E9A" w:rsidP="00F75FC5">
            <w:pPr>
              <w:spacing w:after="0"/>
              <w:rPr>
                <w:color w:val="auto"/>
                <w:sz w:val="20"/>
                <w:szCs w:val="20"/>
                <w:lang w:eastAsia="en-GB"/>
              </w:rPr>
            </w:pPr>
            <w:r w:rsidRPr="00394A7A">
              <w:rPr>
                <w:color w:val="auto"/>
                <w:sz w:val="20"/>
                <w:szCs w:val="20"/>
                <w:lang w:eastAsia="en-GB"/>
              </w:rPr>
              <w:t>Total Others</w:t>
            </w:r>
          </w:p>
        </w:tc>
        <w:tc>
          <w:tcPr>
            <w:tcW w:w="1797" w:type="dxa"/>
            <w:shd w:val="clear" w:color="auto" w:fill="FFFFFF" w:themeFill="background1"/>
            <w:noWrap/>
            <w:hideMark/>
          </w:tcPr>
          <w:p w14:paraId="1F4A1272" w14:textId="77777777" w:rsidR="00260E9A" w:rsidRPr="00394A7A" w:rsidRDefault="00260E9A" w:rsidP="00F75FC5">
            <w:pPr>
              <w:spacing w:after="0"/>
              <w:jc w:val="center"/>
              <w:rPr>
                <w:color w:val="auto"/>
                <w:sz w:val="20"/>
                <w:szCs w:val="20"/>
                <w:lang w:eastAsia="en-GB"/>
              </w:rPr>
            </w:pPr>
            <w:r w:rsidRPr="00394A7A">
              <w:rPr>
                <w:color w:val="auto"/>
                <w:sz w:val="20"/>
                <w:szCs w:val="20"/>
                <w:lang w:eastAsia="en-GB"/>
              </w:rPr>
              <w:t>1,366,200</w:t>
            </w:r>
          </w:p>
        </w:tc>
        <w:tc>
          <w:tcPr>
            <w:tcW w:w="1701" w:type="dxa"/>
            <w:shd w:val="clear" w:color="auto" w:fill="FFFFFF" w:themeFill="background1"/>
            <w:noWrap/>
            <w:hideMark/>
          </w:tcPr>
          <w:p w14:paraId="77B24FF7" w14:textId="77777777" w:rsidR="00260E9A" w:rsidRPr="00394A7A" w:rsidRDefault="00260E9A" w:rsidP="00F75FC5">
            <w:pPr>
              <w:spacing w:after="0"/>
              <w:jc w:val="center"/>
              <w:rPr>
                <w:color w:val="auto"/>
                <w:sz w:val="20"/>
                <w:szCs w:val="20"/>
                <w:lang w:eastAsia="en-GB"/>
              </w:rPr>
            </w:pPr>
            <w:r w:rsidRPr="00394A7A">
              <w:rPr>
                <w:color w:val="auto"/>
                <w:sz w:val="20"/>
                <w:szCs w:val="20"/>
                <w:lang w:eastAsia="en-GB"/>
              </w:rPr>
              <w:t>1,600,000</w:t>
            </w:r>
          </w:p>
        </w:tc>
        <w:tc>
          <w:tcPr>
            <w:tcW w:w="1843" w:type="dxa"/>
            <w:shd w:val="clear" w:color="auto" w:fill="FFFFFF" w:themeFill="background1"/>
            <w:noWrap/>
            <w:hideMark/>
          </w:tcPr>
          <w:p w14:paraId="0EB2AB8C" w14:textId="77777777" w:rsidR="00260E9A" w:rsidRPr="00394A7A" w:rsidRDefault="00260E9A" w:rsidP="00F75FC5">
            <w:pPr>
              <w:spacing w:after="0"/>
              <w:jc w:val="center"/>
              <w:rPr>
                <w:color w:val="auto"/>
                <w:sz w:val="20"/>
                <w:szCs w:val="20"/>
                <w:lang w:eastAsia="en-GB"/>
              </w:rPr>
            </w:pPr>
            <w:r w:rsidRPr="00394A7A">
              <w:rPr>
                <w:color w:val="auto"/>
                <w:sz w:val="20"/>
                <w:szCs w:val="20"/>
                <w:lang w:eastAsia="en-GB"/>
              </w:rPr>
              <w:t>3.2%</w:t>
            </w:r>
          </w:p>
        </w:tc>
      </w:tr>
      <w:tr w:rsidR="00260E9A" w:rsidRPr="00674B20" w14:paraId="77074B4F" w14:textId="77777777" w:rsidTr="00394A7A">
        <w:trPr>
          <w:trHeight w:val="188"/>
        </w:trPr>
        <w:tc>
          <w:tcPr>
            <w:tcW w:w="3227" w:type="dxa"/>
            <w:shd w:val="clear" w:color="auto" w:fill="FFFFFF" w:themeFill="background1"/>
            <w:noWrap/>
            <w:hideMark/>
          </w:tcPr>
          <w:p w14:paraId="7EB9A203" w14:textId="77777777" w:rsidR="00260E9A" w:rsidRPr="00394A7A" w:rsidRDefault="00260E9A" w:rsidP="00F75FC5">
            <w:pPr>
              <w:spacing w:after="0"/>
              <w:rPr>
                <w:b/>
                <w:bCs/>
                <w:color w:val="auto"/>
                <w:sz w:val="20"/>
                <w:szCs w:val="20"/>
                <w:lang w:eastAsia="en-GB"/>
              </w:rPr>
            </w:pPr>
            <w:r w:rsidRPr="00394A7A">
              <w:rPr>
                <w:b/>
                <w:bCs/>
                <w:color w:val="auto"/>
                <w:sz w:val="20"/>
                <w:szCs w:val="20"/>
                <w:lang w:eastAsia="en-GB"/>
              </w:rPr>
              <w:t>Total Foams</w:t>
            </w:r>
          </w:p>
        </w:tc>
        <w:tc>
          <w:tcPr>
            <w:tcW w:w="1797" w:type="dxa"/>
            <w:shd w:val="clear" w:color="auto" w:fill="FFFFFF" w:themeFill="background1"/>
            <w:noWrap/>
            <w:hideMark/>
          </w:tcPr>
          <w:p w14:paraId="3289517D" w14:textId="77777777" w:rsidR="00260E9A" w:rsidRPr="00394A7A" w:rsidRDefault="00260E9A" w:rsidP="00F75FC5">
            <w:pPr>
              <w:spacing w:after="0"/>
              <w:jc w:val="center"/>
              <w:rPr>
                <w:b/>
                <w:bCs/>
                <w:color w:val="auto"/>
                <w:sz w:val="20"/>
                <w:szCs w:val="20"/>
                <w:lang w:eastAsia="en-GB"/>
              </w:rPr>
            </w:pPr>
            <w:r w:rsidRPr="00394A7A">
              <w:rPr>
                <w:b/>
                <w:bCs/>
                <w:color w:val="auto"/>
                <w:sz w:val="20"/>
                <w:szCs w:val="20"/>
                <w:lang w:eastAsia="en-GB"/>
              </w:rPr>
              <w:t>22,968,870</w:t>
            </w:r>
          </w:p>
        </w:tc>
        <w:tc>
          <w:tcPr>
            <w:tcW w:w="1701" w:type="dxa"/>
            <w:shd w:val="clear" w:color="auto" w:fill="FFFFFF" w:themeFill="background1"/>
            <w:noWrap/>
            <w:hideMark/>
          </w:tcPr>
          <w:p w14:paraId="590800C0" w14:textId="77777777" w:rsidR="00260E9A" w:rsidRPr="00394A7A" w:rsidRDefault="00260E9A" w:rsidP="00F75FC5">
            <w:pPr>
              <w:spacing w:after="0"/>
              <w:jc w:val="center"/>
              <w:rPr>
                <w:b/>
                <w:bCs/>
                <w:color w:val="auto"/>
                <w:sz w:val="20"/>
                <w:szCs w:val="20"/>
                <w:lang w:eastAsia="en-GB"/>
              </w:rPr>
            </w:pPr>
            <w:r w:rsidRPr="00394A7A">
              <w:rPr>
                <w:b/>
                <w:bCs/>
                <w:color w:val="auto"/>
                <w:sz w:val="20"/>
                <w:szCs w:val="20"/>
                <w:lang w:eastAsia="en-GB"/>
              </w:rPr>
              <w:t>28,023,300</w:t>
            </w:r>
          </w:p>
        </w:tc>
        <w:tc>
          <w:tcPr>
            <w:tcW w:w="1843" w:type="dxa"/>
            <w:shd w:val="clear" w:color="auto" w:fill="FFFFFF" w:themeFill="background1"/>
            <w:noWrap/>
            <w:hideMark/>
          </w:tcPr>
          <w:p w14:paraId="2311A583" w14:textId="77777777" w:rsidR="00260E9A" w:rsidRPr="00394A7A" w:rsidRDefault="00260E9A" w:rsidP="00F75FC5">
            <w:pPr>
              <w:spacing w:after="0"/>
              <w:jc w:val="center"/>
              <w:rPr>
                <w:b/>
                <w:bCs/>
                <w:color w:val="auto"/>
                <w:sz w:val="20"/>
                <w:szCs w:val="20"/>
                <w:lang w:eastAsia="en-GB"/>
              </w:rPr>
            </w:pPr>
            <w:r w:rsidRPr="00394A7A">
              <w:rPr>
                <w:b/>
                <w:bCs/>
                <w:color w:val="auto"/>
                <w:sz w:val="20"/>
                <w:szCs w:val="20"/>
                <w:lang w:eastAsia="en-GB"/>
              </w:rPr>
              <w:t>4.1%</w:t>
            </w:r>
          </w:p>
        </w:tc>
      </w:tr>
      <w:tr w:rsidR="00260E9A" w:rsidRPr="00674B20" w14:paraId="6C351191" w14:textId="77777777" w:rsidTr="00394A7A">
        <w:trPr>
          <w:trHeight w:val="80"/>
        </w:trPr>
        <w:tc>
          <w:tcPr>
            <w:tcW w:w="8568" w:type="dxa"/>
            <w:gridSpan w:val="4"/>
            <w:shd w:val="clear" w:color="auto" w:fill="FFFFFF" w:themeFill="background1"/>
            <w:noWrap/>
            <w:hideMark/>
          </w:tcPr>
          <w:p w14:paraId="6DE102CB" w14:textId="780B250C" w:rsidR="00260E9A" w:rsidRPr="00394A7A" w:rsidRDefault="0048044D" w:rsidP="00F75FC5">
            <w:pPr>
              <w:spacing w:after="0"/>
              <w:rPr>
                <w:bCs/>
                <w:color w:val="auto"/>
                <w:sz w:val="20"/>
                <w:szCs w:val="20"/>
                <w:lang w:eastAsia="en-GB"/>
              </w:rPr>
            </w:pPr>
            <w:r>
              <w:rPr>
                <w:bCs/>
                <w:color w:val="auto"/>
                <w:sz w:val="20"/>
                <w:szCs w:val="20"/>
                <w:lang w:eastAsia="en-GB"/>
              </w:rPr>
              <w:t>Source: IAL Consultants</w:t>
            </w:r>
            <w:r w:rsidR="00260E9A" w:rsidRPr="00394A7A">
              <w:rPr>
                <w:bCs/>
                <w:color w:val="auto"/>
                <w:sz w:val="20"/>
                <w:szCs w:val="20"/>
                <w:lang w:eastAsia="en-GB"/>
              </w:rPr>
              <w:t xml:space="preserve"> &amp; Smithers RAPRA, LRM, and various market reports</w:t>
            </w:r>
          </w:p>
        </w:tc>
      </w:tr>
    </w:tbl>
    <w:p w14:paraId="4AEFD033" w14:textId="19DFAD34" w:rsidR="00260E9A" w:rsidRPr="00674B20" w:rsidRDefault="00260E9A" w:rsidP="00260E9A">
      <w:pPr>
        <w:spacing w:after="0"/>
        <w:rPr>
          <w:color w:val="auto"/>
          <w:sz w:val="24"/>
          <w:szCs w:val="24"/>
          <w:lang w:eastAsia="en-GB"/>
        </w:rPr>
      </w:pPr>
    </w:p>
    <w:p w14:paraId="6D131D59" w14:textId="0E6762D2" w:rsidR="00260E9A" w:rsidRPr="00674B20" w:rsidRDefault="00260E9A" w:rsidP="00413E4A">
      <w:pPr>
        <w:pStyle w:val="Heading2"/>
      </w:pPr>
      <w:bookmarkStart w:id="35" w:name="_Toc326400867"/>
      <w:bookmarkStart w:id="36" w:name="_Toc484164318"/>
      <w:r w:rsidRPr="00674B20">
        <w:t>2.</w:t>
      </w:r>
      <w:r w:rsidR="00F941D9">
        <w:t>2</w:t>
      </w:r>
      <w:r w:rsidRPr="00674B20">
        <w:t>.</w:t>
      </w:r>
      <w:r w:rsidRPr="00674B20">
        <w:tab/>
        <w:t xml:space="preserve">Regulations </w:t>
      </w:r>
      <w:r w:rsidR="00FB50B1">
        <w:t>and</w:t>
      </w:r>
      <w:r w:rsidRPr="00674B20">
        <w:t xml:space="preserve"> </w:t>
      </w:r>
      <w:r w:rsidR="00FB50B1">
        <w:t>c</w:t>
      </w:r>
      <w:r w:rsidRPr="00674B20">
        <w:t>odes</w:t>
      </w:r>
      <w:bookmarkEnd w:id="35"/>
      <w:bookmarkEnd w:id="36"/>
    </w:p>
    <w:p w14:paraId="408AF4F6" w14:textId="4B2851AA" w:rsidR="00260E9A" w:rsidRPr="00394A7A" w:rsidRDefault="00260E9A" w:rsidP="00A140B1">
      <w:pPr>
        <w:pStyle w:val="ListParagraph10"/>
        <w:ind w:left="0" w:right="84"/>
        <w:textAlignment w:val="baseline"/>
        <w:rPr>
          <w:i w:val="0"/>
          <w:sz w:val="22"/>
          <w:szCs w:val="22"/>
        </w:rPr>
      </w:pPr>
      <w:r w:rsidRPr="00394A7A">
        <w:rPr>
          <w:b/>
          <w:i w:val="0"/>
          <w:sz w:val="22"/>
          <w:szCs w:val="22"/>
        </w:rPr>
        <w:t xml:space="preserve">For Article 5 </w:t>
      </w:r>
      <w:r w:rsidR="0048044D">
        <w:rPr>
          <w:b/>
          <w:i w:val="0"/>
          <w:sz w:val="22"/>
          <w:szCs w:val="22"/>
        </w:rPr>
        <w:t xml:space="preserve">(A5) </w:t>
      </w:r>
      <w:r w:rsidR="00394A7A" w:rsidRPr="00394A7A">
        <w:rPr>
          <w:b/>
          <w:i w:val="0"/>
          <w:sz w:val="22"/>
          <w:szCs w:val="22"/>
        </w:rPr>
        <w:t>parties</w:t>
      </w:r>
      <w:r w:rsidRPr="00394A7A">
        <w:rPr>
          <w:b/>
          <w:i w:val="0"/>
          <w:sz w:val="22"/>
          <w:szCs w:val="22"/>
        </w:rPr>
        <w:t>,</w:t>
      </w:r>
      <w:r w:rsidRPr="00394A7A">
        <w:rPr>
          <w:i w:val="0"/>
          <w:sz w:val="22"/>
          <w:szCs w:val="22"/>
        </w:rPr>
        <w:t xml:space="preserve"> market and regulatory pressure continue for foam producers to transition to zero</w:t>
      </w:r>
      <w:r w:rsidR="0048044D">
        <w:rPr>
          <w:i w:val="0"/>
          <w:sz w:val="22"/>
          <w:szCs w:val="22"/>
        </w:rPr>
        <w:t>-</w:t>
      </w:r>
      <w:r w:rsidRPr="00394A7A">
        <w:rPr>
          <w:i w:val="0"/>
          <w:sz w:val="22"/>
          <w:szCs w:val="22"/>
        </w:rPr>
        <w:t xml:space="preserve">ODP blowing agents.  In some countries, use of HCFCs is limited to applications where hydrocarbons are not suitable, such as spray foam.  In others, HCFCs are still widely used.  Globally, the controlled availability and the increasing price of HCFCs may drive faster transition.  </w:t>
      </w:r>
    </w:p>
    <w:p w14:paraId="6189F545" w14:textId="77777777" w:rsidR="00C31D4B" w:rsidRDefault="00C31D4B" w:rsidP="00A140B1">
      <w:pPr>
        <w:pStyle w:val="ListParagraph10"/>
        <w:ind w:left="0"/>
        <w:textAlignment w:val="baseline"/>
        <w:rPr>
          <w:b/>
          <w:i w:val="0"/>
          <w:sz w:val="22"/>
          <w:szCs w:val="22"/>
        </w:rPr>
      </w:pPr>
    </w:p>
    <w:p w14:paraId="2DE45BBB" w14:textId="54E4111C" w:rsidR="00260E9A" w:rsidRPr="00394A7A" w:rsidRDefault="00260E9A" w:rsidP="00A140B1">
      <w:pPr>
        <w:pStyle w:val="ListParagraph10"/>
        <w:ind w:left="0"/>
        <w:textAlignment w:val="baseline"/>
        <w:rPr>
          <w:b/>
          <w:i w:val="0"/>
          <w:sz w:val="22"/>
          <w:szCs w:val="22"/>
        </w:rPr>
      </w:pPr>
      <w:r w:rsidRPr="00394A7A">
        <w:rPr>
          <w:b/>
          <w:i w:val="0"/>
          <w:sz w:val="22"/>
          <w:szCs w:val="22"/>
        </w:rPr>
        <w:t xml:space="preserve">HCFC </w:t>
      </w:r>
      <w:r w:rsidR="00FB50B1">
        <w:rPr>
          <w:b/>
          <w:i w:val="0"/>
          <w:sz w:val="22"/>
          <w:szCs w:val="22"/>
        </w:rPr>
        <w:t>t</w:t>
      </w:r>
      <w:r w:rsidRPr="00394A7A">
        <w:rPr>
          <w:b/>
          <w:i w:val="0"/>
          <w:sz w:val="22"/>
          <w:szCs w:val="22"/>
        </w:rPr>
        <w:t>ransition and Kigali Amendment</w:t>
      </w:r>
    </w:p>
    <w:p w14:paraId="0EEE2FBA" w14:textId="4387DBBC" w:rsidR="00260E9A" w:rsidRPr="00394A7A" w:rsidRDefault="00260E9A" w:rsidP="00A140B1">
      <w:pPr>
        <w:pStyle w:val="ListParagraph10"/>
        <w:ind w:left="0"/>
        <w:textAlignment w:val="baseline"/>
        <w:rPr>
          <w:i w:val="0"/>
          <w:sz w:val="22"/>
          <w:szCs w:val="22"/>
        </w:rPr>
      </w:pPr>
      <w:r w:rsidRPr="00394A7A">
        <w:rPr>
          <w:i w:val="0"/>
          <w:sz w:val="22"/>
          <w:szCs w:val="22"/>
        </w:rPr>
        <w:t xml:space="preserve">The </w:t>
      </w:r>
      <w:r w:rsidR="0048044D">
        <w:rPr>
          <w:i w:val="0"/>
          <w:sz w:val="22"/>
          <w:szCs w:val="22"/>
        </w:rPr>
        <w:t>FTOC</w:t>
      </w:r>
      <w:r w:rsidRPr="00394A7A">
        <w:rPr>
          <w:i w:val="0"/>
          <w:sz w:val="22"/>
          <w:szCs w:val="22"/>
        </w:rPr>
        <w:t xml:space="preserve"> has discussed and will monitor the interaction of the Kigali Amendment with the HCFC-141b phase out.  There are a number of variables</w:t>
      </w:r>
      <w:r w:rsidR="0048044D">
        <w:rPr>
          <w:i w:val="0"/>
          <w:sz w:val="22"/>
          <w:szCs w:val="22"/>
        </w:rPr>
        <w:t>,</w:t>
      </w:r>
      <w:r w:rsidRPr="00394A7A">
        <w:rPr>
          <w:i w:val="0"/>
          <w:sz w:val="22"/>
          <w:szCs w:val="22"/>
        </w:rPr>
        <w:t xml:space="preserve"> which may influence the rate of transition out of HCFC-141b into low</w:t>
      </w:r>
      <w:r w:rsidR="0048044D">
        <w:rPr>
          <w:i w:val="0"/>
          <w:sz w:val="22"/>
          <w:szCs w:val="22"/>
        </w:rPr>
        <w:t>-</w:t>
      </w:r>
      <w:r w:rsidRPr="00394A7A">
        <w:rPr>
          <w:i w:val="0"/>
          <w:sz w:val="22"/>
          <w:szCs w:val="22"/>
        </w:rPr>
        <w:t>GWP and zero</w:t>
      </w:r>
      <w:r w:rsidR="0048044D">
        <w:rPr>
          <w:i w:val="0"/>
          <w:sz w:val="22"/>
          <w:szCs w:val="22"/>
        </w:rPr>
        <w:t>-</w:t>
      </w:r>
      <w:r w:rsidRPr="00394A7A">
        <w:rPr>
          <w:i w:val="0"/>
          <w:sz w:val="22"/>
          <w:szCs w:val="22"/>
        </w:rPr>
        <w:t>ODP blowing agents directly, or as a second conversion via high</w:t>
      </w:r>
      <w:r w:rsidR="0048044D">
        <w:rPr>
          <w:i w:val="0"/>
          <w:sz w:val="22"/>
          <w:szCs w:val="22"/>
        </w:rPr>
        <w:t>-</w:t>
      </w:r>
      <w:r w:rsidRPr="00394A7A">
        <w:rPr>
          <w:i w:val="0"/>
          <w:sz w:val="22"/>
          <w:szCs w:val="22"/>
        </w:rPr>
        <w:t>GWP HFCs.  These variables include: the cost and availability of HFOs and the cost and availability of high GWP HFCs (e.g.</w:t>
      </w:r>
      <w:r w:rsidR="0048044D">
        <w:rPr>
          <w:i w:val="0"/>
          <w:sz w:val="22"/>
          <w:szCs w:val="22"/>
        </w:rPr>
        <w:t>,</w:t>
      </w:r>
      <w:r w:rsidRPr="00394A7A">
        <w:rPr>
          <w:i w:val="0"/>
          <w:sz w:val="22"/>
          <w:szCs w:val="22"/>
        </w:rPr>
        <w:t xml:space="preserve"> HFC-245fa, HFC-365mfc/HFC-227ea). </w:t>
      </w:r>
    </w:p>
    <w:p w14:paraId="1FFAFB8D" w14:textId="4353AD75" w:rsidR="00260E9A" w:rsidRPr="00394A7A" w:rsidRDefault="00260E9A" w:rsidP="00A140B1">
      <w:pPr>
        <w:pStyle w:val="ListParagraph10"/>
        <w:ind w:left="0"/>
        <w:textAlignment w:val="baseline"/>
        <w:rPr>
          <w:i w:val="0"/>
          <w:sz w:val="22"/>
          <w:szCs w:val="22"/>
        </w:rPr>
      </w:pPr>
      <w:r w:rsidRPr="00394A7A">
        <w:rPr>
          <w:i w:val="0"/>
          <w:sz w:val="22"/>
          <w:szCs w:val="22"/>
        </w:rPr>
        <w:t>Under HCFC Phase-out Management Plans (HPMPs), projects that transition from HCFC-141b used in polyurethane foam to low</w:t>
      </w:r>
      <w:r w:rsidR="0048044D">
        <w:rPr>
          <w:i w:val="0"/>
          <w:sz w:val="22"/>
          <w:szCs w:val="22"/>
        </w:rPr>
        <w:t>-</w:t>
      </w:r>
      <w:r w:rsidRPr="00394A7A">
        <w:rPr>
          <w:i w:val="0"/>
          <w:sz w:val="22"/>
          <w:szCs w:val="22"/>
        </w:rPr>
        <w:t>GWP alternatives have been funded and many have been completed or are in progress.  However, unfunded companies (e.g.</w:t>
      </w:r>
      <w:r w:rsidR="0048044D">
        <w:rPr>
          <w:i w:val="0"/>
          <w:sz w:val="22"/>
          <w:szCs w:val="22"/>
        </w:rPr>
        <w:t>,</w:t>
      </w:r>
      <w:r w:rsidRPr="00394A7A">
        <w:rPr>
          <w:i w:val="0"/>
          <w:sz w:val="22"/>
          <w:szCs w:val="22"/>
        </w:rPr>
        <w:t xml:space="preserve"> companies that were established after September 2007, multi-national companies and companies in unfunded countries) operating in Article 5 countries may convert from HCFCs to high</w:t>
      </w:r>
      <w:r w:rsidR="0048044D">
        <w:rPr>
          <w:i w:val="0"/>
          <w:sz w:val="22"/>
          <w:szCs w:val="22"/>
        </w:rPr>
        <w:t>-</w:t>
      </w:r>
      <w:r w:rsidRPr="00394A7A">
        <w:rPr>
          <w:i w:val="0"/>
          <w:sz w:val="22"/>
          <w:szCs w:val="22"/>
        </w:rPr>
        <w:t>GWP HFCs to meet HCFC phase-out deadlines rather than converting directly to low</w:t>
      </w:r>
      <w:r w:rsidR="0048044D">
        <w:rPr>
          <w:i w:val="0"/>
          <w:sz w:val="22"/>
          <w:szCs w:val="22"/>
        </w:rPr>
        <w:t>-</w:t>
      </w:r>
      <w:r w:rsidRPr="00394A7A">
        <w:rPr>
          <w:i w:val="0"/>
          <w:sz w:val="22"/>
          <w:szCs w:val="22"/>
        </w:rPr>
        <w:t xml:space="preserve">GWP alternatives. </w:t>
      </w:r>
    </w:p>
    <w:p w14:paraId="2D554181" w14:textId="3C2525C1" w:rsidR="00260E9A" w:rsidRPr="00394A7A" w:rsidRDefault="00260E9A" w:rsidP="00A140B1">
      <w:pPr>
        <w:spacing w:after="0"/>
        <w:contextualSpacing/>
        <w:textAlignment w:val="baseline"/>
        <w:rPr>
          <w:color w:val="auto"/>
        </w:rPr>
      </w:pPr>
      <w:r w:rsidRPr="00707276">
        <w:t xml:space="preserve">Article 5 </w:t>
      </w:r>
      <w:r w:rsidR="00394A7A">
        <w:t>parties</w:t>
      </w:r>
      <w:r w:rsidRPr="00707276">
        <w:t xml:space="preserve"> face common challenges in phasing out HCFC and phasing down </w:t>
      </w:r>
      <w:r>
        <w:rPr>
          <w:color w:val="auto"/>
        </w:rPr>
        <w:t xml:space="preserve">high GWP </w:t>
      </w:r>
      <w:r w:rsidRPr="00674B20">
        <w:rPr>
          <w:color w:val="auto"/>
        </w:rPr>
        <w:t xml:space="preserve">HFC blowing agents.  </w:t>
      </w:r>
      <w:r>
        <w:rPr>
          <w:color w:val="auto"/>
        </w:rPr>
        <w:t>In general, HCFCs are</w:t>
      </w:r>
      <w:r w:rsidR="0048044D">
        <w:rPr>
          <w:color w:val="auto"/>
        </w:rPr>
        <w:t xml:space="preserve"> currently</w:t>
      </w:r>
      <w:r>
        <w:rPr>
          <w:color w:val="auto"/>
        </w:rPr>
        <w:t xml:space="preserve"> ~30% of the cost of high</w:t>
      </w:r>
      <w:r w:rsidR="0048044D">
        <w:rPr>
          <w:color w:val="auto"/>
        </w:rPr>
        <w:t>-</w:t>
      </w:r>
      <w:r>
        <w:rPr>
          <w:color w:val="auto"/>
        </w:rPr>
        <w:t xml:space="preserve">GWP HFCs.   </w:t>
      </w:r>
      <w:r w:rsidRPr="00CE370A">
        <w:rPr>
          <w:color w:val="000000" w:themeColor="text1"/>
          <w:szCs w:val="22"/>
        </w:rPr>
        <w:t>HFO and HCFO blown foams may be slightly more costly than HFC foams due to pricing of the blowing agent and additives needed. </w:t>
      </w:r>
      <w:r>
        <w:rPr>
          <w:color w:val="auto"/>
        </w:rPr>
        <w:t>Transition decisions may be delayed for some foam applications while formulations that optimise performance and cost are developed, and because of limited availability of low</w:t>
      </w:r>
      <w:r w:rsidR="0048044D">
        <w:rPr>
          <w:color w:val="auto"/>
        </w:rPr>
        <w:t>-</w:t>
      </w:r>
      <w:r>
        <w:rPr>
          <w:color w:val="auto"/>
        </w:rPr>
        <w:t xml:space="preserve">GWP blowing agents in some regions. </w:t>
      </w:r>
      <w:r w:rsidR="00394A7A">
        <w:rPr>
          <w:color w:val="auto"/>
        </w:rPr>
        <w:br/>
      </w:r>
    </w:p>
    <w:p w14:paraId="3ABEBE37" w14:textId="6C05EC99" w:rsidR="00260E9A" w:rsidRPr="00674B20" w:rsidRDefault="00260E9A" w:rsidP="00A140B1">
      <w:r>
        <w:rPr>
          <w:b/>
        </w:rPr>
        <w:t xml:space="preserve">Some </w:t>
      </w:r>
      <w:r w:rsidRPr="00674B20">
        <w:rPr>
          <w:b/>
        </w:rPr>
        <w:t>Southeast Asian countries</w:t>
      </w:r>
      <w:r w:rsidRPr="00674B20">
        <w:t xml:space="preserve"> </w:t>
      </w:r>
      <w:r>
        <w:t>with f</w:t>
      </w:r>
      <w:r w:rsidRPr="00674B20">
        <w:t>unded HPMPs have proposed to establish or amend regulations to phase out HCFC-141b in polyurethane foam through a quota system</w:t>
      </w:r>
      <w:r>
        <w:t xml:space="preserve">, with </w:t>
      </w:r>
      <w:r w:rsidRPr="00674B20">
        <w:t xml:space="preserve">a permit for the import of bulk HCFC-141b.  Additional regulations under consideration in </w:t>
      </w:r>
      <w:r w:rsidRPr="00674B20">
        <w:lastRenderedPageBreak/>
        <w:t>these countries include a restriction on the import of HCFCs and polyols containing HCFC-141b after conversion projects are completed and a prohibition of the expansion of existing HCFC-based manufacturing capaciti</w:t>
      </w:r>
      <w:r w:rsidR="0048044D">
        <w:t>es or building new facilities.</w:t>
      </w:r>
      <w:r w:rsidRPr="00674B20">
        <w:t xml:space="preserve"> HCFC-141b in spray foam is still allowed because of technical concerns about replacement products.  </w:t>
      </w:r>
    </w:p>
    <w:p w14:paraId="42942157" w14:textId="77777777" w:rsidR="00260E9A" w:rsidRPr="00674B20" w:rsidRDefault="00260E9A" w:rsidP="00A140B1">
      <w:pPr>
        <w:pStyle w:val="PlainText"/>
        <w:rPr>
          <w:rFonts w:ascii="Times New Roman" w:hAnsi="Times New Roman"/>
        </w:rPr>
      </w:pPr>
      <w:r w:rsidRPr="00674B20">
        <w:rPr>
          <w:rFonts w:ascii="Times New Roman" w:hAnsi="Times New Roman"/>
          <w:b/>
        </w:rPr>
        <w:t>In China</w:t>
      </w:r>
      <w:r w:rsidRPr="00674B20">
        <w:rPr>
          <w:rFonts w:ascii="Times New Roman" w:hAnsi="Times New Roman"/>
        </w:rPr>
        <w:t xml:space="preserve">, the new national fire code standard GB50016 came into force in May 2015 and has changed the landscape </w:t>
      </w:r>
      <w:r>
        <w:rPr>
          <w:rFonts w:ascii="Times New Roman" w:hAnsi="Times New Roman"/>
        </w:rPr>
        <w:t xml:space="preserve">for </w:t>
      </w:r>
      <w:r w:rsidRPr="00674B20">
        <w:rPr>
          <w:rFonts w:ascii="Times New Roman" w:hAnsi="Times New Roman"/>
        </w:rPr>
        <w:t xml:space="preserve">insulation materials in the construction sector. The extremely stringent fire performance criteria set out in the standard </w:t>
      </w:r>
      <w:r>
        <w:rPr>
          <w:rFonts w:ascii="Times New Roman" w:hAnsi="Times New Roman"/>
        </w:rPr>
        <w:t xml:space="preserve">limits </w:t>
      </w:r>
      <w:r w:rsidRPr="00674B20">
        <w:rPr>
          <w:rFonts w:ascii="Times New Roman" w:hAnsi="Times New Roman"/>
        </w:rPr>
        <w:t>the use of organic foam material</w:t>
      </w:r>
      <w:r>
        <w:rPr>
          <w:rFonts w:ascii="Times New Roman" w:hAnsi="Times New Roman"/>
        </w:rPr>
        <w:t>s</w:t>
      </w:r>
      <w:r w:rsidRPr="00674B20">
        <w:rPr>
          <w:rFonts w:ascii="Times New Roman" w:hAnsi="Times New Roman"/>
        </w:rPr>
        <w:t xml:space="preserve"> </w:t>
      </w:r>
      <w:r>
        <w:rPr>
          <w:rFonts w:ascii="Times New Roman" w:hAnsi="Times New Roman"/>
        </w:rPr>
        <w:t xml:space="preserve">such as </w:t>
      </w:r>
      <w:r w:rsidRPr="00674B20">
        <w:rPr>
          <w:rFonts w:ascii="Times New Roman" w:hAnsi="Times New Roman"/>
        </w:rPr>
        <w:t>rigid polyurethane and polystyrene foam</w:t>
      </w:r>
      <w:r>
        <w:rPr>
          <w:rFonts w:ascii="Times New Roman" w:hAnsi="Times New Roman"/>
        </w:rPr>
        <w:t>s</w:t>
      </w:r>
      <w:r w:rsidRPr="00674B20">
        <w:rPr>
          <w:rFonts w:ascii="Times New Roman" w:hAnsi="Times New Roman"/>
        </w:rPr>
        <w:t xml:space="preserve"> in thermal insulation. This </w:t>
      </w:r>
      <w:r>
        <w:rPr>
          <w:rFonts w:ascii="Times New Roman" w:hAnsi="Times New Roman"/>
        </w:rPr>
        <w:t xml:space="preserve">may make it more difficult </w:t>
      </w:r>
      <w:r w:rsidRPr="00674B20">
        <w:rPr>
          <w:rFonts w:ascii="Times New Roman" w:hAnsi="Times New Roman"/>
        </w:rPr>
        <w:t xml:space="preserve">to achieve </w:t>
      </w:r>
      <w:r>
        <w:rPr>
          <w:rFonts w:ascii="Times New Roman" w:hAnsi="Times New Roman"/>
        </w:rPr>
        <w:t>China’s</w:t>
      </w:r>
      <w:r w:rsidRPr="00674B20">
        <w:rPr>
          <w:rFonts w:ascii="Times New Roman" w:hAnsi="Times New Roman"/>
        </w:rPr>
        <w:t xml:space="preserve"> energy efficiency</w:t>
      </w:r>
      <w:r>
        <w:rPr>
          <w:rFonts w:ascii="Times New Roman" w:hAnsi="Times New Roman"/>
        </w:rPr>
        <w:t xml:space="preserve"> goals. </w:t>
      </w:r>
    </w:p>
    <w:p w14:paraId="47CFECE2" w14:textId="77777777" w:rsidR="00260E9A" w:rsidRPr="00674B20" w:rsidRDefault="00260E9A" w:rsidP="00A140B1">
      <w:pPr>
        <w:pStyle w:val="PlainText"/>
        <w:rPr>
          <w:rFonts w:ascii="Times New Roman" w:hAnsi="Times New Roman"/>
        </w:rPr>
      </w:pPr>
    </w:p>
    <w:p w14:paraId="0EBF719F" w14:textId="0A8FEAE1" w:rsidR="00260E9A" w:rsidRPr="00674B20" w:rsidRDefault="00260E9A" w:rsidP="00A140B1">
      <w:proofErr w:type="gramStart"/>
      <w:r w:rsidRPr="00674B20">
        <w:rPr>
          <w:b/>
        </w:rPr>
        <w:t>In India</w:t>
      </w:r>
      <w:r w:rsidRPr="00674B20">
        <w:rPr>
          <w:lang w:val="en-US"/>
        </w:rPr>
        <w:t xml:space="preserve">, labelling of pre-blended polyols and insulation boards containing HFCs has been required as of </w:t>
      </w:r>
      <w:r w:rsidR="0048044D">
        <w:rPr>
          <w:lang w:val="en-US"/>
        </w:rPr>
        <w:t xml:space="preserve">1 </w:t>
      </w:r>
      <w:r w:rsidRPr="00674B20">
        <w:rPr>
          <w:lang w:val="en-US"/>
        </w:rPr>
        <w:t>January 2015 and “included in descriptions used for advertising” of finished goods.</w:t>
      </w:r>
      <w:proofErr w:type="gramEnd"/>
      <w:r w:rsidRPr="00674B20">
        <w:rPr>
          <w:lang w:val="en-US"/>
        </w:rPr>
        <w:t xml:space="preserve"> In addition, there is an annual reporting obligation on manufacturers of pre-blended polyol containing HFCs (covering imports and exports)</w:t>
      </w:r>
      <w:r>
        <w:rPr>
          <w:lang w:val="en-US"/>
        </w:rPr>
        <w:t>.</w:t>
      </w:r>
    </w:p>
    <w:p w14:paraId="61769A3B" w14:textId="0C16CB82" w:rsidR="00260E9A" w:rsidRPr="00674B20" w:rsidRDefault="00260E9A" w:rsidP="00A140B1">
      <w:r w:rsidRPr="00674B20">
        <w:t xml:space="preserve">In the </w:t>
      </w:r>
      <w:r w:rsidR="0070607D">
        <w:rPr>
          <w:b/>
        </w:rPr>
        <w:t>US</w:t>
      </w:r>
      <w:r w:rsidRPr="00674B20">
        <w:t>, the SNAP program implemented by the EPA has made significant changes in the list of acceptable foam blowing agents.  The SNAP program lists alternatives to ozone-depleting substances (ODS) as acceptable or unacceptable, depending on the comparative overall health and environmental impa</w:t>
      </w:r>
      <w:r w:rsidR="0048044D">
        <w:t>cts of available alternatives.</w:t>
      </w:r>
      <w:r w:rsidRPr="00674B20">
        <w:t xml:space="preserve"> In 2015 and 2016, the EPA SNAP program published two new regulations changing the status </w:t>
      </w:r>
      <w:r>
        <w:t xml:space="preserve">from acceptable to </w:t>
      </w:r>
      <w:r w:rsidR="0048044D">
        <w:t xml:space="preserve">unacceptable for </w:t>
      </w:r>
      <w:r w:rsidRPr="00674B20">
        <w:t>HFC-134a, HFC-245fa and HFC-365mfc and other higher GWP HFCs for use in polyurethane, phenolic, polypropylene and polystyrene foams between 2017 and 2021.  There are extended timelines in both rules for military, space and ae</w:t>
      </w:r>
      <w:r w:rsidR="0048044D">
        <w:t>ronautics related applications.</w:t>
      </w:r>
      <w:r w:rsidRPr="00674B20">
        <w:t xml:space="preserve"> </w:t>
      </w:r>
      <w:r>
        <w:t xml:space="preserve">The 2016 rule </w:t>
      </w:r>
      <w:r w:rsidRPr="00674B20">
        <w:t>also includes a change of status to unacceptable for methylene chloride for use in flexible foams, i</w:t>
      </w:r>
      <w:r w:rsidR="0048044D">
        <w:t>ntegral skins, and polyolefins.</w:t>
      </w:r>
      <w:r w:rsidRPr="00674B20">
        <w:t xml:space="preserve"> Finally, a provision was added in </w:t>
      </w:r>
      <w:r>
        <w:t xml:space="preserve">the 2016 rule </w:t>
      </w:r>
      <w:r w:rsidRPr="00674B20">
        <w:t>prohibiting the use of closed cell foam products and products that contain closed cell foam manufactured with an unacceptable foam blowing agent: 1) one year after publication of final rule, or 2) the date when the foam blowing agent is unacceptable</w:t>
      </w:r>
      <w:r w:rsidR="0070607D">
        <w:t xml:space="preserve"> </w:t>
      </w:r>
    </w:p>
    <w:p w14:paraId="736DD903" w14:textId="7822A6ED" w:rsidR="00260E9A" w:rsidRPr="00674B20" w:rsidRDefault="00260E9A" w:rsidP="00A140B1">
      <w:pPr>
        <w:rPr>
          <w:b/>
        </w:rPr>
      </w:pPr>
      <w:r w:rsidRPr="00674B20">
        <w:t xml:space="preserve">In the </w:t>
      </w:r>
      <w:r w:rsidRPr="00674B20">
        <w:rPr>
          <w:b/>
        </w:rPr>
        <w:t>European Union (EU)</w:t>
      </w:r>
      <w:r>
        <w:rPr>
          <w:b/>
        </w:rPr>
        <w:t xml:space="preserve"> or European Economic Area (EEA)</w:t>
      </w:r>
      <w:r w:rsidRPr="00674B20">
        <w:rPr>
          <w:b/>
        </w:rPr>
        <w:t xml:space="preserve">, </w:t>
      </w:r>
      <w:r w:rsidRPr="00674B20">
        <w:t>high</w:t>
      </w:r>
      <w:r w:rsidR="0048044D">
        <w:t>-</w:t>
      </w:r>
      <w:r w:rsidRPr="00674B20">
        <w:t>GWP fluorinated gases are being phased down, according to F</w:t>
      </w:r>
      <w:r w:rsidR="0048044D">
        <w:t>-g</w:t>
      </w:r>
      <w:r w:rsidRPr="00674B20">
        <w:t>as regulations. In 2015, all HFCs with GWP greater than 150 were banned for foam use in domestic appliances.  Labelling is obligatory on foams and polyol-blends, and the presence of HFC has to be mentioned in the technical documentation and marketing brochures for spray polyurethane foams (SPF) used in building insulation, refrigerated containers and trucks. By 1</w:t>
      </w:r>
      <w:r w:rsidR="0048044D">
        <w:t xml:space="preserve"> January </w:t>
      </w:r>
      <w:r w:rsidRPr="00674B20">
        <w:t>2023 all HFCs with GWP greater than 150 will cease being</w:t>
      </w:r>
      <w:r w:rsidR="00A140B1">
        <w:t xml:space="preserve"> used in all foam manufacturing</w:t>
      </w:r>
      <w:r w:rsidRPr="00674B20">
        <w:t xml:space="preserve"> </w:t>
      </w:r>
      <w:r w:rsidRPr="00674B20">
        <w:rPr>
          <w:b/>
        </w:rPr>
        <w:t>(See Fig2.</w:t>
      </w:r>
      <w:r w:rsidR="00394A7A">
        <w:rPr>
          <w:b/>
        </w:rPr>
        <w:t>1</w:t>
      </w:r>
      <w:r w:rsidRPr="00674B20">
        <w:rPr>
          <w:b/>
        </w:rPr>
        <w:t>)</w:t>
      </w:r>
      <w:r w:rsidR="00A140B1">
        <w:rPr>
          <w:b/>
        </w:rPr>
        <w:t>.</w:t>
      </w:r>
    </w:p>
    <w:p w14:paraId="582B2D04" w14:textId="0DEA6FEC" w:rsidR="00260E9A" w:rsidRPr="00DA0F78" w:rsidRDefault="00394A7A" w:rsidP="00DA0F78">
      <w:pPr>
        <w:pStyle w:val="Tableandfigureheaders"/>
      </w:pPr>
      <w:proofErr w:type="gramStart"/>
      <w:r w:rsidRPr="00DA0F78">
        <w:lastRenderedPageBreak/>
        <w:t>Fig. 2.1.</w:t>
      </w:r>
      <w:proofErr w:type="gramEnd"/>
      <w:r w:rsidRPr="00DA0F78">
        <w:t xml:space="preserve"> </w:t>
      </w:r>
      <w:r w:rsidR="00260E9A" w:rsidRPr="00DA0F78">
        <w:t xml:space="preserve">HFC phase down according to F-Gas Regulations in EEA </w:t>
      </w:r>
    </w:p>
    <w:p w14:paraId="0B6AE612" w14:textId="77777777" w:rsidR="00260E9A" w:rsidRPr="00674B20" w:rsidRDefault="00260E9A" w:rsidP="00260E9A">
      <w:pPr>
        <w:rPr>
          <w:b/>
        </w:rPr>
      </w:pPr>
      <w:r w:rsidRPr="00674B20">
        <w:rPr>
          <w:noProof/>
          <w:lang w:val="en-US" w:eastAsia="en-US"/>
        </w:rPr>
        <w:drawing>
          <wp:inline distT="0" distB="0" distL="0" distR="0" wp14:anchorId="1AD1B261" wp14:editId="79B4F639">
            <wp:extent cx="5356325" cy="389636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58349" cy="3897833"/>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75CA199" w14:textId="77777777" w:rsidR="0048044D" w:rsidRPr="00674B20" w:rsidRDefault="0048044D" w:rsidP="00A140B1">
      <w:r w:rsidRPr="00674B20">
        <w:t xml:space="preserve">The F-Gas Regulation operates on the supply side through a quota system, which will likely mean that supply of blowing agents to the foam sector could become restricted well before the phase-out dates noted above. This is especially likely because the bulk of the demand is in the RAC sector. A recent </w:t>
      </w:r>
      <w:r>
        <w:t xml:space="preserve">European Partnership for Energy and the Environment </w:t>
      </w:r>
      <w:r w:rsidRPr="00674B20">
        <w:t>Study (presented at a side event at MOP-27) indicated that the RAC sector will have difficulty in meeting its phase-down targets, leading to an inevitable increase in price</w:t>
      </w:r>
      <w:r>
        <w:t xml:space="preserve"> as demand exceeds supply</w:t>
      </w:r>
      <w:r w:rsidRPr="00674B20">
        <w:t xml:space="preserve">. </w:t>
      </w:r>
    </w:p>
    <w:p w14:paraId="3E2FAC93" w14:textId="77777777" w:rsidR="0048044D" w:rsidRDefault="0048044D" w:rsidP="00A140B1">
      <w:pPr>
        <w:rPr>
          <w:rFonts w:eastAsia="MS Mincho"/>
          <w:lang w:eastAsia="ja-JP"/>
        </w:rPr>
      </w:pPr>
      <w:r w:rsidRPr="00674B20">
        <w:rPr>
          <w:rFonts w:eastAsia="MS Mincho"/>
          <w:b/>
          <w:lang w:eastAsia="ja-JP"/>
        </w:rPr>
        <w:t>In Japan</w:t>
      </w:r>
      <w:r w:rsidRPr="00674B20">
        <w:rPr>
          <w:rFonts w:eastAsia="MS Mincho"/>
          <w:lang w:eastAsia="ja-JP"/>
        </w:rPr>
        <w:t>, a voluntary target on HFC phase down program was set based on “the Act on Rational Use and Proper Management of Fluorocarbons”, put in force in April 2015.  HFCs must be replaced with low</w:t>
      </w:r>
      <w:r>
        <w:rPr>
          <w:rFonts w:eastAsia="MS Mincho"/>
          <w:lang w:eastAsia="ja-JP"/>
        </w:rPr>
        <w:t>-</w:t>
      </w:r>
      <w:r w:rsidRPr="00674B20">
        <w:rPr>
          <w:rFonts w:eastAsia="MS Mincho"/>
          <w:lang w:eastAsia="ja-JP"/>
        </w:rPr>
        <w:t xml:space="preserve">GWP blowing agents in 2020 for polyurethane spray foam used in residential buildings.  As the result of </w:t>
      </w:r>
      <w:r>
        <w:rPr>
          <w:rFonts w:eastAsia="MS Mincho"/>
          <w:lang w:eastAsia="ja-JP"/>
        </w:rPr>
        <w:t xml:space="preserve">its </w:t>
      </w:r>
      <w:r w:rsidRPr="00674B20">
        <w:rPr>
          <w:rFonts w:eastAsia="MS Mincho"/>
          <w:lang w:eastAsia="ja-JP"/>
        </w:rPr>
        <w:t xml:space="preserve">ratification of the Paris Agreement, </w:t>
      </w:r>
      <w:r>
        <w:rPr>
          <w:rFonts w:eastAsia="MS Mincho"/>
          <w:lang w:eastAsia="ja-JP"/>
        </w:rPr>
        <w:t xml:space="preserve">Japan requires </w:t>
      </w:r>
      <w:r w:rsidRPr="00674B20">
        <w:rPr>
          <w:rFonts w:eastAsia="MS Mincho"/>
          <w:lang w:eastAsia="ja-JP"/>
        </w:rPr>
        <w:t xml:space="preserve">additional voluntary targets on HFC phase out program for all applications of rigid polyurethane foam.  HCFOs have been used commercially for various rigid foam applications since </w:t>
      </w:r>
      <w:r>
        <w:rPr>
          <w:rFonts w:eastAsia="MS Mincho"/>
          <w:lang w:eastAsia="ja-JP"/>
        </w:rPr>
        <w:t>mid-2015.</w:t>
      </w:r>
    </w:p>
    <w:p w14:paraId="533A96D1" w14:textId="5790143C" w:rsidR="00260E9A" w:rsidRPr="00674B20" w:rsidRDefault="00260E9A" w:rsidP="00A140B1">
      <w:r w:rsidRPr="00674B20">
        <w:t xml:space="preserve">In </w:t>
      </w:r>
      <w:r w:rsidRPr="00674B20">
        <w:rPr>
          <w:b/>
        </w:rPr>
        <w:t>Canada</w:t>
      </w:r>
      <w:r w:rsidRPr="00674B20">
        <w:t>, regulations have been proposed that will require the elimination of the use of high</w:t>
      </w:r>
      <w:r w:rsidR="0048044D">
        <w:t>-</w:t>
      </w:r>
      <w:r w:rsidRPr="00674B20">
        <w:t xml:space="preserve">GWP blowing agents in Canada.  It seems that </w:t>
      </w:r>
      <w:r w:rsidRPr="00674B20">
        <w:rPr>
          <w:b/>
        </w:rPr>
        <w:t>Australia</w:t>
      </w:r>
      <w:r w:rsidRPr="00674B20">
        <w:t xml:space="preserve"> will implement an overall phase-down of HFCs rather than taking a sector-specific approach.  </w:t>
      </w:r>
    </w:p>
    <w:p w14:paraId="09B8ABDE" w14:textId="254C5E6A" w:rsidR="00260E9A" w:rsidRPr="00674B20" w:rsidRDefault="00260E9A" w:rsidP="00A140B1">
      <w:pPr>
        <w:rPr>
          <w:b/>
          <w:color w:val="000000" w:themeColor="text1"/>
          <w:lang w:val="en-US"/>
        </w:rPr>
      </w:pPr>
      <w:r w:rsidRPr="00674B20">
        <w:rPr>
          <w:b/>
          <w:color w:val="000000" w:themeColor="text1"/>
          <w:lang w:val="en-US"/>
        </w:rPr>
        <w:t xml:space="preserve">Regulations </w:t>
      </w:r>
      <w:r w:rsidR="00FB50B1">
        <w:rPr>
          <w:b/>
          <w:color w:val="000000" w:themeColor="text1"/>
          <w:lang w:val="en-US"/>
        </w:rPr>
        <w:t>i</w:t>
      </w:r>
      <w:r w:rsidRPr="00674B20">
        <w:rPr>
          <w:b/>
          <w:color w:val="000000" w:themeColor="text1"/>
          <w:lang w:val="en-US"/>
        </w:rPr>
        <w:t xml:space="preserve">mpacting </w:t>
      </w:r>
      <w:r w:rsidR="00FB50B1">
        <w:rPr>
          <w:b/>
          <w:color w:val="000000" w:themeColor="text1"/>
          <w:lang w:val="en-US"/>
        </w:rPr>
        <w:t>e</w:t>
      </w:r>
      <w:r w:rsidRPr="00674B20">
        <w:rPr>
          <w:b/>
          <w:color w:val="000000" w:themeColor="text1"/>
          <w:lang w:val="en-US"/>
        </w:rPr>
        <w:t xml:space="preserve">xtruded </w:t>
      </w:r>
      <w:r w:rsidR="00FB50B1">
        <w:rPr>
          <w:b/>
          <w:color w:val="000000" w:themeColor="text1"/>
          <w:lang w:val="en-US"/>
        </w:rPr>
        <w:t>p</w:t>
      </w:r>
      <w:r w:rsidRPr="00674B20">
        <w:rPr>
          <w:b/>
          <w:color w:val="000000" w:themeColor="text1"/>
          <w:lang w:val="en-US"/>
        </w:rPr>
        <w:t>olystyrene</w:t>
      </w:r>
    </w:p>
    <w:p w14:paraId="0CA61242" w14:textId="25D4C4FD" w:rsidR="00260E9A" w:rsidRPr="00674B20" w:rsidRDefault="00260E9A" w:rsidP="00A140B1">
      <w:r w:rsidRPr="00674B20">
        <w:t>Regulations affecting the use of blowing agents in extruded polystyrene (XPS) will drive the point of sale replacement of HFC-134a foams by low GWP alternatives in the EU (</w:t>
      </w:r>
      <w:r w:rsidR="0048044D">
        <w:t xml:space="preserve">1 </w:t>
      </w:r>
      <w:r w:rsidRPr="00674B20">
        <w:t>Jan</w:t>
      </w:r>
      <w:r w:rsidR="0048044D">
        <w:t>uary</w:t>
      </w:r>
      <w:r w:rsidRPr="00674B20">
        <w:t xml:space="preserve"> 2020) and the </w:t>
      </w:r>
      <w:r w:rsidR="0070607D">
        <w:t>US</w:t>
      </w:r>
      <w:r w:rsidRPr="00674B20">
        <w:t xml:space="preserve"> (</w:t>
      </w:r>
      <w:r w:rsidR="0048044D">
        <w:t xml:space="preserve">1 </w:t>
      </w:r>
      <w:r w:rsidRPr="00674B20">
        <w:t>Jan</w:t>
      </w:r>
      <w:r w:rsidR="0048044D">
        <w:t>uary</w:t>
      </w:r>
      <w:r w:rsidRPr="00674B20">
        <w:t xml:space="preserve"> 2021).  Manufacturing conversion will have to be completed in early 2019 to remove higher GWP HFCs from the supply chain in Europe.  HFO-1234ze</w:t>
      </w:r>
      <w:r>
        <w:t xml:space="preserve"> (E)</w:t>
      </w:r>
      <w:r w:rsidRPr="00674B20">
        <w:t xml:space="preserve"> is only available from a single supplier, and </w:t>
      </w:r>
      <w:r>
        <w:t xml:space="preserve">may have </w:t>
      </w:r>
      <w:r w:rsidRPr="00674B20">
        <w:t>significantly higher cost</w:t>
      </w:r>
      <w:r>
        <w:t>s</w:t>
      </w:r>
      <w:r w:rsidRPr="00674B20">
        <w:t xml:space="preserve"> when used as a direct replacement for HFC-134a.  Blends are being tested</w:t>
      </w:r>
      <w:r>
        <w:t xml:space="preserve"> and have been commercialized</w:t>
      </w:r>
      <w:r w:rsidRPr="00674B20">
        <w:t xml:space="preserve"> </w:t>
      </w:r>
      <w:r w:rsidRPr="00674B20">
        <w:lastRenderedPageBreak/>
        <w:t>by some companies as a lower cost option</w:t>
      </w:r>
      <w:r>
        <w:t xml:space="preserve"> with similar performance characteristics compared to foams containing HFC-134a</w:t>
      </w:r>
      <w:r w:rsidRPr="00674B20">
        <w:t xml:space="preserve">.   </w:t>
      </w:r>
    </w:p>
    <w:p w14:paraId="5A1720B4" w14:textId="77777777" w:rsidR="00260E9A" w:rsidRPr="00674B20" w:rsidRDefault="00260E9A" w:rsidP="00A140B1">
      <w:r w:rsidRPr="00674B20">
        <w:t>Code changes in Japan may require another transition for XPS producers to meet new thermal requirements (Class 3</w:t>
      </w:r>
      <w:r>
        <w:t xml:space="preserve"> requirements</w:t>
      </w:r>
      <w:r w:rsidRPr="00674B20">
        <w:t xml:space="preserve">). </w:t>
      </w:r>
      <w:r>
        <w:t xml:space="preserve"> Some conversion to HFO-1234ze (E) / hydrocarbon blends have been commercialized to meet these new thermal requirements.</w:t>
      </w:r>
    </w:p>
    <w:p w14:paraId="444E721B" w14:textId="7387486D" w:rsidR="00260E9A" w:rsidRPr="00674B20" w:rsidRDefault="00260E9A" w:rsidP="00A140B1">
      <w:r w:rsidRPr="00674B20">
        <w:t>Some A5 XPS producers have already converted to zero ODP alternatives.  Other A5 XPS producers continue testing zero</w:t>
      </w:r>
      <w:r w:rsidR="0048044D">
        <w:t>-</w:t>
      </w:r>
      <w:r w:rsidRPr="00674B20">
        <w:t>ODP alternatives and/or low GWP alternatives to prepare fo</w:t>
      </w:r>
      <w:r w:rsidR="0048044D">
        <w:t>r transition away from HCFCs. In China</w:t>
      </w:r>
      <w:r w:rsidRPr="00674B20">
        <w:t xml:space="preserve"> HCFC</w:t>
      </w:r>
      <w:r w:rsidR="0048044D">
        <w:t>-</w:t>
      </w:r>
      <w:r w:rsidRPr="00674B20">
        <w:t>142b/22 blends are still used because of price and availability. These could transition directly to low GWP alternatives, including HFC-152a, CO</w:t>
      </w:r>
      <w:r w:rsidRPr="00674B20">
        <w:rPr>
          <w:vertAlign w:val="subscript"/>
        </w:rPr>
        <w:t>2</w:t>
      </w:r>
      <w:r w:rsidRPr="00674B20">
        <w:t xml:space="preserve">, </w:t>
      </w:r>
      <w:r w:rsidR="0048044D">
        <w:t>hydrocarbons (</w:t>
      </w:r>
      <w:r w:rsidRPr="00674B20">
        <w:t>HCs</w:t>
      </w:r>
      <w:r w:rsidR="0048044D">
        <w:t>)</w:t>
      </w:r>
      <w:r w:rsidRPr="00674B20">
        <w:t>, dimethyl ether (DME), alcohols etc. However, building codes for fire protection will limit HCs as an alternative</w:t>
      </w:r>
      <w:r w:rsidR="0048044D">
        <w:t>.</w:t>
      </w:r>
      <w:r>
        <w:t xml:space="preserve"> </w:t>
      </w:r>
      <w:r w:rsidRPr="00315E95">
        <w:t>Even though HFC-134a has low solubility in foam systems, it is often used as the main blowing agent in XPS foams to achieve lower thermal conductivity.  It is used in blends with the aforementioned alternatives to better balance XPS foam performance. HFO/HCFO</w:t>
      </w:r>
      <w:r>
        <w:t>’s</w:t>
      </w:r>
      <w:r w:rsidRPr="00315E95">
        <w:t xml:space="preserve"> </w:t>
      </w:r>
      <w:r>
        <w:t>are</w:t>
      </w:r>
      <w:r w:rsidRPr="00315E95">
        <w:t xml:space="preserve"> being evaluated either </w:t>
      </w:r>
      <w:r>
        <w:t xml:space="preserve">individually </w:t>
      </w:r>
      <w:r w:rsidRPr="00315E95">
        <w:t xml:space="preserve">or in blends as a replacement for HFC-134a.  </w:t>
      </w:r>
    </w:p>
    <w:p w14:paraId="107C520C" w14:textId="49404053" w:rsidR="00260E9A" w:rsidRPr="00674B20" w:rsidRDefault="00260E9A" w:rsidP="00413E4A">
      <w:pPr>
        <w:pStyle w:val="Heading2"/>
      </w:pPr>
      <w:bookmarkStart w:id="37" w:name="_Toc326400868"/>
      <w:bookmarkStart w:id="38" w:name="_Toc484164319"/>
      <w:r w:rsidRPr="00674B20">
        <w:t>2.</w:t>
      </w:r>
      <w:r w:rsidR="00F941D9">
        <w:t>3</w:t>
      </w:r>
      <w:r w:rsidRPr="00674B20">
        <w:t>.</w:t>
      </w:r>
      <w:r w:rsidRPr="00674B20">
        <w:tab/>
        <w:t xml:space="preserve">Status of </w:t>
      </w:r>
      <w:r w:rsidR="00FB50B1">
        <w:t>b</w:t>
      </w:r>
      <w:r w:rsidRPr="00674B20">
        <w:t xml:space="preserve">lowing </w:t>
      </w:r>
      <w:r w:rsidR="00FB50B1">
        <w:t>a</w:t>
      </w:r>
      <w:r w:rsidRPr="00674B20">
        <w:t xml:space="preserve">gents in </w:t>
      </w:r>
      <w:r w:rsidR="00FB50B1">
        <w:t>c</w:t>
      </w:r>
      <w:r w:rsidRPr="00674B20">
        <w:t xml:space="preserve">urrent </w:t>
      </w:r>
      <w:r w:rsidR="00FB50B1">
        <w:t>u</w:t>
      </w:r>
      <w:r w:rsidRPr="00674B20">
        <w:t>se</w:t>
      </w:r>
      <w:bookmarkEnd w:id="37"/>
      <w:bookmarkEnd w:id="38"/>
    </w:p>
    <w:p w14:paraId="0C6460D7" w14:textId="1E1BC39B" w:rsidR="00260E9A" w:rsidRPr="00674B20" w:rsidRDefault="00260E9A" w:rsidP="00A140B1">
      <w:r w:rsidRPr="00674B20">
        <w:rPr>
          <w:b/>
        </w:rPr>
        <w:t xml:space="preserve">In some Article 5 </w:t>
      </w:r>
      <w:r w:rsidR="0048044D">
        <w:rPr>
          <w:b/>
        </w:rPr>
        <w:t>parties</w:t>
      </w:r>
      <w:r w:rsidRPr="00674B20">
        <w:rPr>
          <w:b/>
        </w:rPr>
        <w:t>, HCFC-141b</w:t>
      </w:r>
      <w:r w:rsidRPr="00674B20">
        <w:t xml:space="preserve"> is still a widely used blowing agent for rigid foams. </w:t>
      </w:r>
      <w:r>
        <w:t>I</w:t>
      </w:r>
      <w:r w:rsidRPr="00674B20">
        <w:t>n some cases, import of HCFC-141b itself is restricted or under license, but polyols containing HCFC-141b can be imported without restriction, creating a difficulty for ve</w:t>
      </w:r>
      <w:r w:rsidR="00993D68">
        <w:t xml:space="preserve">rification of HPMP compliance. </w:t>
      </w:r>
      <w:r w:rsidRPr="00674B20">
        <w:t xml:space="preserve">Some countries are contemplating regulations that would prevent the import of polyol systems containing HCFCs, </w:t>
      </w:r>
      <w:r>
        <w:t>t</w:t>
      </w:r>
      <w:r w:rsidRPr="00674B20">
        <w:t xml:space="preserve">ransition away from HCFCs is occurring, </w:t>
      </w:r>
      <w:r>
        <w:t>and</w:t>
      </w:r>
      <w:r w:rsidRPr="00674B20">
        <w:t xml:space="preserve"> it m</w:t>
      </w:r>
      <w:r>
        <w:t>ay</w:t>
      </w:r>
      <w:r w:rsidRPr="00674B20">
        <w:t xml:space="preserve"> be possible for some remaining foam manufacturers to transition directly to a low</w:t>
      </w:r>
      <w:r w:rsidR="00993D68">
        <w:t>-</w:t>
      </w:r>
      <w:r w:rsidRPr="00674B20">
        <w:t xml:space="preserve">GWP alternative.   </w:t>
      </w:r>
    </w:p>
    <w:p w14:paraId="01E3E0B7" w14:textId="7095B1BC" w:rsidR="00260E9A" w:rsidRPr="00674B20" w:rsidRDefault="00260E9A" w:rsidP="00A140B1">
      <w:pPr>
        <w:rPr>
          <w:lang w:val="en-US"/>
        </w:rPr>
      </w:pPr>
      <w:r w:rsidRPr="00674B20">
        <w:t>In India and many parts of Asia, SMEs form the largest number of HCFC-141b consumers, and HFO/HCFOs may be the best technical option for phase-out of HCFCs because they are non-flammable, but they are more expensive than</w:t>
      </w:r>
      <w:r w:rsidR="00993D68">
        <w:t xml:space="preserve"> HCFCs and HFCs in many cases. </w:t>
      </w:r>
      <w:r w:rsidRPr="00674B20">
        <w:t>Demonstration projects are needed to develop methods to reduce loading and costs, and there may be a delay in transition until these are completed.</w:t>
      </w:r>
      <w:r w:rsidRPr="00674B20">
        <w:rPr>
          <w:lang w:val="en-US"/>
        </w:rPr>
        <w:t xml:space="preserve"> </w:t>
      </w:r>
    </w:p>
    <w:p w14:paraId="1E308055" w14:textId="3A153670" w:rsidR="00260E9A" w:rsidRPr="00674B20" w:rsidRDefault="00260E9A" w:rsidP="00A140B1">
      <w:pPr>
        <w:rPr>
          <w:color w:val="auto"/>
          <w:lang w:eastAsia="en-US"/>
        </w:rPr>
      </w:pPr>
      <w:r w:rsidRPr="00674B20">
        <w:rPr>
          <w:b/>
          <w:bCs/>
        </w:rPr>
        <w:t>HCFC-142b</w:t>
      </w:r>
      <w:r w:rsidRPr="00674B20">
        <w:t xml:space="preserve"> in combination with HCFC-22 is predominant in XPS production in </w:t>
      </w:r>
      <w:r>
        <w:t xml:space="preserve">thousands of </w:t>
      </w:r>
      <w:r w:rsidR="00993D68">
        <w:t>small and medium-sized enterprises (</w:t>
      </w:r>
      <w:r>
        <w:t>SMEs</w:t>
      </w:r>
      <w:r w:rsidR="00993D68">
        <w:t>)</w:t>
      </w:r>
      <w:r>
        <w:t xml:space="preserve"> in </w:t>
      </w:r>
      <w:r w:rsidRPr="00674B20">
        <w:t>Asian countries. China has proposed a direct phase out of HCFCs to CO</w:t>
      </w:r>
      <w:r w:rsidRPr="00674B20">
        <w:rPr>
          <w:vertAlign w:val="subscript"/>
        </w:rPr>
        <w:t>2</w:t>
      </w:r>
      <w:r w:rsidR="00993D68">
        <w:t xml:space="preserve"> based formulations.</w:t>
      </w:r>
      <w:r w:rsidRPr="00674B20">
        <w:t xml:space="preserve"> There are technical difficulties associated with the implementation of this technology including poor processability of these formulations, limited machine design, and the inherent challenge of using high levels of external recycle content from </w:t>
      </w:r>
      <w:r>
        <w:t>multiple d</w:t>
      </w:r>
      <w:r w:rsidR="00993D68">
        <w:t>ifferent sources.</w:t>
      </w:r>
      <w:r w:rsidRPr="00674B20">
        <w:t xml:space="preserve"> The implementation of this technology will be a significant challenge for such a diverse installed base within the phase down deadlines. </w:t>
      </w:r>
    </w:p>
    <w:p w14:paraId="408C0DB2" w14:textId="791DD998" w:rsidR="00260E9A" w:rsidRPr="00674B20" w:rsidRDefault="00260E9A" w:rsidP="00A140B1">
      <w:r w:rsidRPr="00674B20">
        <w:rPr>
          <w:b/>
        </w:rPr>
        <w:t>High</w:t>
      </w:r>
      <w:r w:rsidR="00993D68">
        <w:rPr>
          <w:b/>
        </w:rPr>
        <w:t>-GWP HFCs</w:t>
      </w:r>
      <w:r w:rsidRPr="00674B20">
        <w:rPr>
          <w:b/>
        </w:rPr>
        <w:t xml:space="preserve"> </w:t>
      </w:r>
      <w:r w:rsidRPr="00674B20">
        <w:t xml:space="preserve">(e.g. HFC-134a) are still widely used in non-A5 </w:t>
      </w:r>
      <w:r>
        <w:t>parties</w:t>
      </w:r>
      <w:r w:rsidRPr="00674B20">
        <w:t>, mainly for production of extruded polystyrene and specific PU products such as PU Spray Foam. HFC-134a is often blended with HFC-152a to enhance product properties</w:t>
      </w:r>
      <w:r>
        <w:t xml:space="preserve"> as an alternative to HCFC-142b/HCFC-22 blends</w:t>
      </w:r>
      <w:r w:rsidR="00993D68">
        <w:t xml:space="preserve">. </w:t>
      </w:r>
      <w:r w:rsidRPr="00674B20">
        <w:t xml:space="preserve">HFC-152a </w:t>
      </w:r>
      <w:r>
        <w:t xml:space="preserve">enhances physical characteristics foams and </w:t>
      </w:r>
      <w:r w:rsidRPr="00674B20">
        <w:t xml:space="preserve">has high solubility in XPS foam, </w:t>
      </w:r>
      <w:r>
        <w:t>enabling the molecules to</w:t>
      </w:r>
      <w:r w:rsidRPr="00674B20">
        <w:t xml:space="preserve"> diffus</w:t>
      </w:r>
      <w:r>
        <w:t>e</w:t>
      </w:r>
      <w:r w:rsidRPr="00674B20">
        <w:t xml:space="preserve"> out of the foam matrix very quickly.   HFC-134a has low</w:t>
      </w:r>
      <w:r>
        <w:t>er</w:t>
      </w:r>
      <w:r w:rsidRPr="00674B20">
        <w:t xml:space="preserve"> solubility in XPS foams and a low</w:t>
      </w:r>
      <w:r>
        <w:t>er</w:t>
      </w:r>
      <w:r w:rsidRPr="00674B20">
        <w:t xml:space="preserve"> diffusion rate, which means that it provides consistent, </w:t>
      </w:r>
      <w:r w:rsidR="00993D68">
        <w:t xml:space="preserve">long-term thermal performance. </w:t>
      </w:r>
      <w:r w:rsidRPr="00674B20">
        <w:t xml:space="preserve">Finding an </w:t>
      </w:r>
      <w:r>
        <w:t>economically viable</w:t>
      </w:r>
      <w:r w:rsidRPr="00674B20">
        <w:t xml:space="preserve"> alternative to HFC-134a for use in polystyrene foam remains a challenge. HFCs are due to be phased out in many non-A5 </w:t>
      </w:r>
      <w:r>
        <w:t>parties</w:t>
      </w:r>
      <w:r w:rsidRPr="00674B20">
        <w:t xml:space="preserve"> by 2022. In addition, producers in non-A5 </w:t>
      </w:r>
      <w:r>
        <w:t>parties</w:t>
      </w:r>
      <w:r w:rsidR="00993D68">
        <w:t xml:space="preserve"> </w:t>
      </w:r>
      <w:r w:rsidRPr="00674B20">
        <w:t xml:space="preserve">may need to transition to these chemicals, or to blends containing these chemicals, in order to meet HCFC phase-out targets. </w:t>
      </w:r>
    </w:p>
    <w:p w14:paraId="57F62CB2" w14:textId="386C5764" w:rsidR="00260E9A" w:rsidRPr="00674B20" w:rsidRDefault="00260E9A" w:rsidP="00A140B1">
      <w:r w:rsidRPr="00993D68">
        <w:rPr>
          <w:b/>
        </w:rPr>
        <w:lastRenderedPageBreak/>
        <w:t>HCs</w:t>
      </w:r>
      <w:r w:rsidRPr="00674B20">
        <w:t xml:space="preserve"> are </w:t>
      </w:r>
      <w:r>
        <w:t xml:space="preserve">one of the most </w:t>
      </w:r>
      <w:r w:rsidRPr="00674B20">
        <w:t xml:space="preserve">widely used </w:t>
      </w:r>
      <w:r>
        <w:t>blowing agents for a number of types of insulating foams globally and will continue to be a major replacement for</w:t>
      </w:r>
      <w:r w:rsidRPr="00674B20">
        <w:t xml:space="preserve"> HCFCs</w:t>
      </w:r>
      <w:r>
        <w:t xml:space="preserve"> in the future</w:t>
      </w:r>
      <w:r w:rsidRPr="00674B20">
        <w:t>. Large and medium</w:t>
      </w:r>
      <w:r w:rsidR="00993D68">
        <w:t>-</w:t>
      </w:r>
      <w:r w:rsidRPr="00674B20">
        <w:t>sized foam producers</w:t>
      </w:r>
      <w:r>
        <w:t>, in many countries worldwide,</w:t>
      </w:r>
      <w:r w:rsidRPr="00674B20">
        <w:t xml:space="preserve"> have installed safety equipment and are consequently able to safely handle flammable materials</w:t>
      </w:r>
      <w:r>
        <w:t>.</w:t>
      </w:r>
      <w:r w:rsidRPr="00674B20">
        <w:t xml:space="preserve"> In some countries and regions, local regulations limit the use of hydrocarbons or require additional safety and emission abatement equipment </w:t>
      </w:r>
      <w:r>
        <w:t xml:space="preserve">both </w:t>
      </w:r>
      <w:r w:rsidRPr="00674B20">
        <w:t>because they are flammable</w:t>
      </w:r>
      <w:r>
        <w:t>,</w:t>
      </w:r>
      <w:r w:rsidRPr="00674B20">
        <w:t xml:space="preserve"> and are </w:t>
      </w:r>
      <w:r>
        <w:t xml:space="preserve">also </w:t>
      </w:r>
      <w:r w:rsidRPr="00674B20">
        <w:t xml:space="preserve">volatile organic compounds with the potential to create ground level ozone or smog. Currently, pentanes are considered to offer a low variable cost alternative to HFCs and HCFCs in polyurethane foams. </w:t>
      </w:r>
      <w:r>
        <w:t xml:space="preserve">However, converting </w:t>
      </w:r>
      <w:r w:rsidRPr="00674B20">
        <w:t>SMEs</w:t>
      </w:r>
      <w:r>
        <w:t xml:space="preserve"> (often located in urban areas) over</w:t>
      </w:r>
      <w:r w:rsidRPr="00674B20">
        <w:t xml:space="preserve"> to HCs</w:t>
      </w:r>
      <w:r>
        <w:t xml:space="preserve">, will </w:t>
      </w:r>
      <w:r w:rsidRPr="00CB7A73">
        <w:rPr>
          <w:color w:val="auto"/>
        </w:rPr>
        <w:t xml:space="preserve">require additional </w:t>
      </w:r>
      <w:r w:rsidRPr="00674B20">
        <w:t>capital costs</w:t>
      </w:r>
      <w:r>
        <w:t xml:space="preserve"> for safety equipment and t</w:t>
      </w:r>
      <w:r w:rsidRPr="00674B20">
        <w:t xml:space="preserve">raining </w:t>
      </w:r>
    </w:p>
    <w:p w14:paraId="1A1D8A00" w14:textId="6CC435F4" w:rsidR="00260E9A" w:rsidRPr="00674B20" w:rsidRDefault="00260E9A" w:rsidP="00A140B1">
      <w:pPr>
        <w:rPr>
          <w:color w:val="auto"/>
        </w:rPr>
      </w:pPr>
      <w:r w:rsidRPr="00674B20">
        <w:rPr>
          <w:b/>
          <w:color w:val="auto"/>
        </w:rPr>
        <w:t>Methyl formate</w:t>
      </w:r>
      <w:r w:rsidRPr="00674B20">
        <w:rPr>
          <w:color w:val="auto"/>
        </w:rPr>
        <w:t xml:space="preserve"> use as a low</w:t>
      </w:r>
      <w:r w:rsidR="00993D68">
        <w:rPr>
          <w:color w:val="auto"/>
        </w:rPr>
        <w:t>-</w:t>
      </w:r>
      <w:r w:rsidRPr="00674B20">
        <w:rPr>
          <w:color w:val="auto"/>
        </w:rPr>
        <w:t xml:space="preserve">GWP blowing agent is slowly increasing around the world in pour-in-place applications (such as discontinuous panels and commercial refrigeration).  It has been noted that methyl formate has been used in integral skin and spray foam in some A5 </w:t>
      </w:r>
      <w:r>
        <w:rPr>
          <w:color w:val="auto"/>
        </w:rPr>
        <w:t>parties</w:t>
      </w:r>
      <w:r w:rsidR="00993D68">
        <w:rPr>
          <w:color w:val="auto"/>
        </w:rPr>
        <w:t xml:space="preserve">. </w:t>
      </w:r>
      <w:r w:rsidRPr="00674B20">
        <w:rPr>
          <w:color w:val="auto"/>
        </w:rPr>
        <w:t xml:space="preserve">A project is ongoing in Mexico evaluating methyl formate and methyl formate blends for spray foam and analysing flammability of pre-blended polyols </w:t>
      </w:r>
      <w:r>
        <w:rPr>
          <w:color w:val="auto"/>
        </w:rPr>
        <w:t xml:space="preserve">containing </w:t>
      </w:r>
      <w:r w:rsidRPr="00674B20">
        <w:rPr>
          <w:color w:val="auto"/>
        </w:rPr>
        <w:t xml:space="preserve">methyl formate.      </w:t>
      </w:r>
    </w:p>
    <w:p w14:paraId="7A43D399" w14:textId="21FF9130" w:rsidR="00260E9A" w:rsidRPr="00674B20" w:rsidRDefault="00260E9A" w:rsidP="00A140B1">
      <w:pPr>
        <w:rPr>
          <w:color w:val="auto"/>
        </w:rPr>
      </w:pPr>
      <w:r w:rsidRPr="00674B20">
        <w:rPr>
          <w:color w:val="auto"/>
        </w:rPr>
        <w:t xml:space="preserve">Depending on its concentration in blends with polyol and or isocyanate, appropriate precautions should be taken during transportation, handling and processing to address potential flammability issues of methyl formate or systems containing </w:t>
      </w:r>
      <w:r w:rsidR="00993D68">
        <w:rPr>
          <w:color w:val="auto"/>
        </w:rPr>
        <w:t>high levels of methyl formate. </w:t>
      </w:r>
      <w:r w:rsidRPr="00674B20">
        <w:rPr>
          <w:color w:val="auto"/>
        </w:rPr>
        <w:t>As with all chemicals, compatibility of metals, plastics and other materials should be considered when selecting processing equipment that will be in contact with methyl formate. </w:t>
      </w:r>
    </w:p>
    <w:p w14:paraId="17199E3A" w14:textId="77777777" w:rsidR="00260E9A" w:rsidRPr="00674B20" w:rsidRDefault="00260E9A" w:rsidP="00A140B1">
      <w:proofErr w:type="gramStart"/>
      <w:r w:rsidRPr="00674B20">
        <w:rPr>
          <w:b/>
        </w:rPr>
        <w:t>CO</w:t>
      </w:r>
      <w:r w:rsidRPr="00674B20">
        <w:rPr>
          <w:b/>
          <w:vertAlign w:val="subscript"/>
        </w:rPr>
        <w:t>2</w:t>
      </w:r>
      <w:r w:rsidRPr="00674B20">
        <w:rPr>
          <w:b/>
        </w:rPr>
        <w:t xml:space="preserve"> (Water</w:t>
      </w:r>
      <w:r w:rsidRPr="00674B20">
        <w:t>) blown foam is a feasible option for applications where insulation requirements per thickness unit are less critical.</w:t>
      </w:r>
      <w:proofErr w:type="gramEnd"/>
      <w:r w:rsidRPr="00674B20">
        <w:t xml:space="preserve">  Examples include some spray foams, pipe insulation and water heater insulation.  </w:t>
      </w:r>
    </w:p>
    <w:p w14:paraId="4CD7E479" w14:textId="77A38563" w:rsidR="00260E9A" w:rsidRPr="00674B20" w:rsidRDefault="00260E9A" w:rsidP="00A140B1">
      <w:r w:rsidRPr="00993D68">
        <w:rPr>
          <w:b/>
        </w:rPr>
        <w:t>CO</w:t>
      </w:r>
      <w:r w:rsidRPr="00993D68">
        <w:rPr>
          <w:b/>
          <w:vertAlign w:val="subscript"/>
        </w:rPr>
        <w:t>2</w:t>
      </w:r>
      <w:r w:rsidRPr="00674B20">
        <w:t xml:space="preserve"> is used as a blowing agent in the manufacture of some grades of extruded polystyrene either neat or blended with other blowing agents. It is also used in the production of flexible polyurethane foams used for comfort applications in furniture, bedding and automotive seating.</w:t>
      </w:r>
    </w:p>
    <w:p w14:paraId="1164C1CA" w14:textId="77777777" w:rsidR="00260E9A" w:rsidRPr="00674B20" w:rsidRDefault="00260E9A" w:rsidP="00A140B1">
      <w:r w:rsidRPr="00674B20">
        <w:rPr>
          <w:b/>
        </w:rPr>
        <w:t>HFOs</w:t>
      </w:r>
      <w:r w:rsidRPr="00674B20">
        <w:t>/</w:t>
      </w:r>
      <w:r w:rsidRPr="00674B20">
        <w:rPr>
          <w:b/>
        </w:rPr>
        <w:t>HCFOs</w:t>
      </w:r>
      <w:r w:rsidRPr="00674B20">
        <w:t xml:space="preserve"> provide an alternative to HCs, which can eliminate the flammability issue in polyurethane foam production and therefore, the capital investment required to address safety when using HCs as a blowing agent.  The transition to HFOs/HCFOs amongst PU foam SMEs is currently slowed by both their greater expense and limited supply</w:t>
      </w:r>
      <w:r>
        <w:t xml:space="preserve"> of some HFO/HCFOs</w:t>
      </w:r>
      <w:r w:rsidRPr="00674B20">
        <w:t xml:space="preserve"> in A5 </w:t>
      </w:r>
      <w:r>
        <w:t>parties</w:t>
      </w:r>
      <w:r w:rsidRPr="00674B20">
        <w:t>. Strategies are being developed to lower the cost by using less HFO/HCFO</w:t>
      </w:r>
      <w:r>
        <w:t>s</w:t>
      </w:r>
      <w:r w:rsidRPr="00674B20">
        <w:t xml:space="preserve"> in blends.</w:t>
      </w:r>
    </w:p>
    <w:p w14:paraId="616B0EF7" w14:textId="574121D9" w:rsidR="00260E9A" w:rsidRPr="00674B20" w:rsidRDefault="00260E9A" w:rsidP="00A140B1">
      <w:r w:rsidRPr="00674B20">
        <w:rPr>
          <w:color w:val="000000" w:themeColor="text1"/>
          <w:lang w:val="en-US"/>
        </w:rPr>
        <w:t>Manufacturers of HFO/</w:t>
      </w:r>
      <w:proofErr w:type="gramStart"/>
      <w:r w:rsidRPr="00674B20">
        <w:rPr>
          <w:color w:val="000000" w:themeColor="text1"/>
          <w:lang w:val="en-US"/>
        </w:rPr>
        <w:t>HCFOs,</w:t>
      </w:r>
      <w:proofErr w:type="gramEnd"/>
      <w:r w:rsidRPr="00674B20">
        <w:rPr>
          <w:color w:val="000000" w:themeColor="text1"/>
          <w:lang w:val="en-US"/>
        </w:rPr>
        <w:t xml:space="preserve"> have</w:t>
      </w:r>
      <w:r>
        <w:rPr>
          <w:color w:val="000000" w:themeColor="text1"/>
          <w:lang w:val="en-US"/>
        </w:rPr>
        <w:t xml:space="preserve"> current capacity and have also</w:t>
      </w:r>
      <w:r w:rsidRPr="00674B20">
        <w:rPr>
          <w:color w:val="000000" w:themeColor="text1"/>
          <w:lang w:val="en-US"/>
        </w:rPr>
        <w:t xml:space="preserve"> announced plans to increase manufacturing capacity to meet the </w:t>
      </w:r>
      <w:r>
        <w:rPr>
          <w:color w:val="000000" w:themeColor="text1"/>
          <w:lang w:val="en-US"/>
        </w:rPr>
        <w:t>demand</w:t>
      </w:r>
      <w:r w:rsidRPr="00674B20">
        <w:rPr>
          <w:color w:val="000000" w:themeColor="text1"/>
          <w:lang w:val="en-US"/>
        </w:rPr>
        <w:t xml:space="preserve"> for low GWP </w:t>
      </w:r>
      <w:r w:rsidRPr="00674B20">
        <w:t xml:space="preserve">blowing agents </w:t>
      </w:r>
      <w:r>
        <w:t xml:space="preserve">that is </w:t>
      </w:r>
      <w:r w:rsidRPr="00674B20">
        <w:t xml:space="preserve">expected to result from the implementation of low GWP regulations. A new HFO/HCFO plant costs approximately </w:t>
      </w:r>
      <w:r w:rsidR="00993D68">
        <w:t xml:space="preserve">US </w:t>
      </w:r>
      <w:r w:rsidRPr="00674B20">
        <w:t xml:space="preserve">$100-200 million and can take 18 months to several years to achieve </w:t>
      </w:r>
      <w:r>
        <w:t xml:space="preserve">business </w:t>
      </w:r>
      <w:r w:rsidRPr="00674B20">
        <w:t xml:space="preserve">planning consent, construct and </w:t>
      </w:r>
      <w:r>
        <w:t>reach</w:t>
      </w:r>
      <w:r w:rsidRPr="00674B20">
        <w:t xml:space="preserve"> full production</w:t>
      </w:r>
      <w:r>
        <w:t xml:space="preserve"> rates</w:t>
      </w:r>
      <w:r w:rsidRPr="00674B20">
        <w:t>. </w:t>
      </w:r>
    </w:p>
    <w:p w14:paraId="6329F67D" w14:textId="77777777" w:rsidR="00260E9A" w:rsidRDefault="00260E9A" w:rsidP="00A140B1">
      <w:pPr>
        <w:spacing w:after="0"/>
        <w:contextualSpacing/>
        <w:textAlignment w:val="baseline"/>
        <w:rPr>
          <w:color w:val="000000" w:themeColor="text1"/>
          <w:lang w:val="en-US"/>
        </w:rPr>
      </w:pPr>
      <w:r>
        <w:t>The timing of regulations for HFCs in non-A5 parties has enabled the planning of</w:t>
      </w:r>
      <w:r w:rsidRPr="00674B20">
        <w:t xml:space="preserve"> </w:t>
      </w:r>
      <w:r>
        <w:t>HFO/HCFO manufacturing capacity to meet demand</w:t>
      </w:r>
      <w:r w:rsidRPr="00674B20">
        <w:rPr>
          <w:color w:val="000000" w:themeColor="text1"/>
          <w:lang w:val="en-US"/>
        </w:rPr>
        <w:t xml:space="preserve">. </w:t>
      </w:r>
      <w:r>
        <w:rPr>
          <w:color w:val="000000" w:themeColor="text1"/>
          <w:lang w:val="en-US"/>
        </w:rPr>
        <w:t xml:space="preserve">Many </w:t>
      </w:r>
      <w:r w:rsidRPr="00674B20">
        <w:rPr>
          <w:color w:val="000000" w:themeColor="text1"/>
          <w:lang w:val="en-US"/>
        </w:rPr>
        <w:t xml:space="preserve">A5 </w:t>
      </w:r>
      <w:r>
        <w:rPr>
          <w:color w:val="000000" w:themeColor="text1"/>
          <w:lang w:val="en-US"/>
        </w:rPr>
        <w:t>parties</w:t>
      </w:r>
      <w:r w:rsidRPr="00674B20">
        <w:rPr>
          <w:color w:val="000000" w:themeColor="text1"/>
          <w:lang w:val="en-US"/>
        </w:rPr>
        <w:t xml:space="preserve"> </w:t>
      </w:r>
      <w:r>
        <w:rPr>
          <w:color w:val="000000" w:themeColor="text1"/>
          <w:lang w:val="en-US"/>
        </w:rPr>
        <w:t>will need</w:t>
      </w:r>
      <w:r w:rsidRPr="00674B20">
        <w:rPr>
          <w:color w:val="000000" w:themeColor="text1"/>
          <w:lang w:val="en-US"/>
        </w:rPr>
        <w:t xml:space="preserve"> </w:t>
      </w:r>
      <w:r>
        <w:rPr>
          <w:color w:val="000000" w:themeColor="text1"/>
          <w:lang w:val="en-US"/>
        </w:rPr>
        <w:t>small quantities of HFOs/HCFOs, so coordination could</w:t>
      </w:r>
      <w:r w:rsidRPr="00674B20">
        <w:rPr>
          <w:color w:val="000000" w:themeColor="text1"/>
          <w:lang w:val="en-US"/>
        </w:rPr>
        <w:t xml:space="preserve"> be helpful </w:t>
      </w:r>
      <w:r>
        <w:rPr>
          <w:color w:val="000000" w:themeColor="text1"/>
          <w:lang w:val="en-US"/>
        </w:rPr>
        <w:t>to manage capacity and ensure that</w:t>
      </w:r>
      <w:r w:rsidRPr="00674B20">
        <w:rPr>
          <w:color w:val="000000" w:themeColor="text1"/>
          <w:lang w:val="en-US"/>
        </w:rPr>
        <w:t xml:space="preserve"> </w:t>
      </w:r>
      <w:r>
        <w:rPr>
          <w:color w:val="000000" w:themeColor="text1"/>
          <w:lang w:val="en-US"/>
        </w:rPr>
        <w:t xml:space="preserve">adequate </w:t>
      </w:r>
      <w:r w:rsidRPr="00674B20">
        <w:rPr>
          <w:color w:val="000000" w:themeColor="text1"/>
          <w:lang w:val="en-US"/>
        </w:rPr>
        <w:t xml:space="preserve">supply will be available for transitions.  </w:t>
      </w:r>
    </w:p>
    <w:p w14:paraId="5BE214AA" w14:textId="77777777" w:rsidR="00260E9A" w:rsidRPr="007837AB" w:rsidRDefault="00260E9A" w:rsidP="00A140B1">
      <w:pPr>
        <w:spacing w:after="0"/>
        <w:contextualSpacing/>
        <w:textAlignment w:val="baseline"/>
        <w:rPr>
          <w:color w:val="000000" w:themeColor="text1"/>
          <w:lang w:val="en-US"/>
        </w:rPr>
      </w:pPr>
    </w:p>
    <w:p w14:paraId="0B3FB63F" w14:textId="3F919A6C" w:rsidR="00260E9A" w:rsidRPr="00674B20" w:rsidRDefault="00260E9A" w:rsidP="00A140B1">
      <w:r w:rsidRPr="00674B20">
        <w:t>The demand for HFOs/HCFOs will be influenced by the formulations that are develope</w:t>
      </w:r>
      <w:r w:rsidR="00993D68">
        <w:t>d.  Significant work is on</w:t>
      </w:r>
      <w:r w:rsidRPr="00674B20">
        <w:t>going by system houses to reduce HFO/HCFO l</w:t>
      </w:r>
      <w:r w:rsidR="00993D68">
        <w:t xml:space="preserve">oading in final foam products. </w:t>
      </w:r>
      <w:r w:rsidRPr="00674B20">
        <w:t xml:space="preserve">Optimized foam formulations using HFO/HCFOs or blends of HFO/HCFOs with other blowing agents (such as HC and methyl formate) will require product approval and qualification/certification testing, not only for the blowing agent itself, but also for the foam </w:t>
      </w:r>
      <w:r w:rsidRPr="00674B20">
        <w:lastRenderedPageBreak/>
        <w:t>products where the blowing agent is used. This foam formulation development, qualification and gaining of code approvals can take also from 18 months to several years, but is often done in parallel with the construction of the HFO/HCFO manufacturing facility using product from existing facilities.</w:t>
      </w:r>
    </w:p>
    <w:p w14:paraId="263F455D" w14:textId="77777777" w:rsidR="00260E9A" w:rsidRPr="00674B20" w:rsidRDefault="00260E9A" w:rsidP="00A140B1">
      <w:pPr>
        <w:rPr>
          <w:color w:val="000000" w:themeColor="text1"/>
        </w:rPr>
      </w:pPr>
      <w:r w:rsidRPr="00674B20">
        <w:t>Another aspect of the change to HFO/</w:t>
      </w:r>
      <w:proofErr w:type="gramStart"/>
      <w:r w:rsidRPr="00674B20">
        <w:t>HCFOs,</w:t>
      </w:r>
      <w:proofErr w:type="gramEnd"/>
      <w:r w:rsidRPr="00674B20">
        <w:t xml:space="preserve"> is the continuing development by additive suppliers of catalysts and surfactants which help optimize various performance parameters of HFO/HCFOs, such as thermal </w:t>
      </w:r>
      <w:r>
        <w:t xml:space="preserve">and mechanical </w:t>
      </w:r>
      <w:r w:rsidRPr="00674B20">
        <w:t>properties and shelf stability of polyol blends.</w:t>
      </w:r>
    </w:p>
    <w:p w14:paraId="6454B648" w14:textId="10778AC7" w:rsidR="00260E9A" w:rsidRPr="00674B20" w:rsidRDefault="00260E9A" w:rsidP="00A140B1">
      <w:r w:rsidRPr="00674B20">
        <w:rPr>
          <w:b/>
        </w:rPr>
        <w:t xml:space="preserve">DME, ethanol and butanes </w:t>
      </w:r>
      <w:r w:rsidRPr="00674B20">
        <w:t xml:space="preserve">are used </w:t>
      </w:r>
      <w:r>
        <w:t>in</w:t>
      </w:r>
      <w:r w:rsidRPr="00674B20">
        <w:t xml:space="preserve"> extruded polystyrene</w:t>
      </w:r>
      <w:r w:rsidR="00993D68">
        <w:t xml:space="preserve">. </w:t>
      </w:r>
      <w:r>
        <w:t>DME is also used in</w:t>
      </w:r>
      <w:r w:rsidRPr="00674B20">
        <w:t xml:space="preserve"> some one</w:t>
      </w:r>
      <w:r>
        <w:t>-</w:t>
      </w:r>
      <w:r w:rsidRPr="00674B20">
        <w:t>component polyurethane foams that are dispensed from an aerosol can.</w:t>
      </w:r>
    </w:p>
    <w:p w14:paraId="20E1DC86" w14:textId="074ED4F5" w:rsidR="00260E9A" w:rsidRPr="00674B20" w:rsidRDefault="00260E9A" w:rsidP="00A140B1">
      <w:r w:rsidRPr="00674B20">
        <w:rPr>
          <w:b/>
        </w:rPr>
        <w:t>Methylene chloride</w:t>
      </w:r>
      <w:r w:rsidRPr="00674B20">
        <w:t xml:space="preserve"> is still used as a blowing agent in the production of flexible foams in A5 Parties. The US</w:t>
      </w:r>
      <w:r w:rsidR="00993D68">
        <w:t xml:space="preserve"> EPA’s</w:t>
      </w:r>
      <w:r w:rsidRPr="00674B20">
        <w:t xml:space="preserve"> SNAP program has changed the status of methylene chloride to “unacceptable” for use in foams, although foam produced from methylene chloride in A5 Parties can be exported to the </w:t>
      </w:r>
      <w:r w:rsidR="0070607D">
        <w:t>US</w:t>
      </w:r>
      <w:r w:rsidRPr="00674B20">
        <w:t xml:space="preserve"> provided the foam is open-celled. </w:t>
      </w:r>
    </w:p>
    <w:p w14:paraId="13D5B788" w14:textId="77777777" w:rsidR="00260E9A" w:rsidRPr="00674B20" w:rsidRDefault="00260E9A" w:rsidP="00A140B1">
      <w:r w:rsidRPr="00674B20">
        <w:rPr>
          <w:b/>
        </w:rPr>
        <w:t xml:space="preserve">Methylal </w:t>
      </w:r>
      <w:r w:rsidRPr="00674B20">
        <w:t xml:space="preserve">is used as a co-blowing agent in low-resistance, high-density </w:t>
      </w:r>
      <w:r>
        <w:t>(</w:t>
      </w:r>
      <w:r w:rsidRPr="00674B20">
        <w:t>“memory”</w:t>
      </w:r>
      <w:r>
        <w:t>)</w:t>
      </w:r>
      <w:r w:rsidRPr="00674B20">
        <w:t xml:space="preserve"> foams and in very low concentrations in combination with water in rigid foams. Flammability of the polyol blend is a limiting factor when used as a sole blowing agent. </w:t>
      </w:r>
    </w:p>
    <w:p w14:paraId="08EE8E63" w14:textId="6B544C14" w:rsidR="00260E9A" w:rsidRPr="00674B20" w:rsidRDefault="00260E9A" w:rsidP="00A140B1">
      <w:r>
        <w:rPr>
          <w:b/>
        </w:rPr>
        <w:t>Trans-</w:t>
      </w:r>
      <w:r w:rsidRPr="00674B20">
        <w:rPr>
          <w:b/>
        </w:rPr>
        <w:t>1</w:t>
      </w:r>
      <w:proofErr w:type="gramStart"/>
      <w:r w:rsidRPr="00674B20">
        <w:rPr>
          <w:b/>
        </w:rPr>
        <w:t>,2</w:t>
      </w:r>
      <w:proofErr w:type="gramEnd"/>
      <w:r w:rsidRPr="00674B20">
        <w:rPr>
          <w:b/>
        </w:rPr>
        <w:t xml:space="preserve"> dichloroethylene (1,2-DCE) </w:t>
      </w:r>
      <w:r w:rsidRPr="00674B20">
        <w:t xml:space="preserve">is also used as a co-blowing agent with HFCs and is approved for use in the </w:t>
      </w:r>
      <w:r w:rsidR="0070607D">
        <w:t>US</w:t>
      </w:r>
      <w:r w:rsidRPr="00674B20">
        <w:t xml:space="preserve"> and Europe. Flammability of the polyol blend is a limiting factor when used as a sole blowing agent.</w:t>
      </w:r>
    </w:p>
    <w:p w14:paraId="42D9255C" w14:textId="77777777" w:rsidR="00260E9A" w:rsidRPr="00674B20" w:rsidRDefault="00260E9A" w:rsidP="00A140B1">
      <w:r w:rsidRPr="00674B20">
        <w:t>In the PU hydrocarbon-blown sector, FTOC ha</w:t>
      </w:r>
      <w:r>
        <w:t>d previously</w:t>
      </w:r>
      <w:r w:rsidRPr="00674B20">
        <w:t xml:space="preserve"> become aware of two Perfluor</w:t>
      </w:r>
      <w:r>
        <w:t>o</w:t>
      </w:r>
      <w:r w:rsidRPr="00674B20">
        <w:t xml:space="preserve">carbon foam additives </w:t>
      </w:r>
      <w:r w:rsidRPr="00674B20">
        <w:rPr>
          <w:b/>
        </w:rPr>
        <w:t>(FA-188 and P</w:t>
      </w:r>
      <w:r>
        <w:rPr>
          <w:b/>
        </w:rPr>
        <w:t>F</w:t>
      </w:r>
      <w:r w:rsidRPr="00674B20">
        <w:rPr>
          <w:b/>
        </w:rPr>
        <w:t>-5056</w:t>
      </w:r>
      <w:r w:rsidRPr="00674B20">
        <w:t xml:space="preserve">), both from the same manufacturer), which are being used to optimise cell formation in order to gain maximum thermal performance.  FA-188 is a perfluorinated olefin, which   is used in very small quantities and has a GWP of only around 100, but there are concerns about its potential breakdown products, which currently remain uncertain.  PF-5056 has high GWP.  FTOC plans to continue </w:t>
      </w:r>
      <w:r>
        <w:t xml:space="preserve">to investigate </w:t>
      </w:r>
      <w:r w:rsidRPr="00674B20">
        <w:t xml:space="preserve">these and other new additives for their potential environmental, health and safety impact in order to ensure that Parties are appropriately informed.  </w:t>
      </w:r>
      <w:r>
        <w:t xml:space="preserve">At present, the FTOC is working with the Science Assessment Panel to agree on next steps.  </w:t>
      </w:r>
    </w:p>
    <w:p w14:paraId="1F7B1982" w14:textId="652FFADC" w:rsidR="00260E9A" w:rsidRPr="00CA7923" w:rsidRDefault="00260E9A" w:rsidP="00413E4A">
      <w:pPr>
        <w:pStyle w:val="Heading2"/>
      </w:pPr>
      <w:bookmarkStart w:id="39" w:name="_Toc326400869"/>
      <w:bookmarkStart w:id="40" w:name="_Toc484164320"/>
      <w:r w:rsidRPr="00CA7923">
        <w:t>2.</w:t>
      </w:r>
      <w:r w:rsidR="00F941D9">
        <w:t>4</w:t>
      </w:r>
      <w:r w:rsidRPr="00CA7923">
        <w:t>.</w:t>
      </w:r>
      <w:r w:rsidRPr="00CA7923">
        <w:tab/>
        <w:t>Conclusion</w:t>
      </w:r>
      <w:bookmarkEnd w:id="39"/>
      <w:bookmarkEnd w:id="40"/>
      <w:r w:rsidRPr="00CA7923">
        <w:t> </w:t>
      </w:r>
    </w:p>
    <w:p w14:paraId="508E56F5" w14:textId="696DF0BE" w:rsidR="00260E9A" w:rsidRPr="00674B20" w:rsidRDefault="00260E9A" w:rsidP="00A140B1">
      <w:r w:rsidRPr="00674B20">
        <w:t>The foam industry is working to provide suitable polyols and foam blowing agents that optimise costs and performance parameters determined by national and regional agencies concerned wit</w:t>
      </w:r>
      <w:r w:rsidR="00993D68">
        <w:t xml:space="preserve">h improving energy efficiency. </w:t>
      </w:r>
      <w:r w:rsidRPr="00674B20">
        <w:t xml:space="preserve">Capacity planning for alternatives will require continued communication between regulators, producers and users to ensure smooth transitions.  </w:t>
      </w:r>
    </w:p>
    <w:p w14:paraId="0DC9CEF0" w14:textId="0EB67315" w:rsidR="007E51F4" w:rsidRPr="00FD4EE9" w:rsidRDefault="007E51F4" w:rsidP="00A140B1">
      <w:r w:rsidRPr="00FD4EE9">
        <w:t xml:space="preserve"> </w:t>
      </w:r>
    </w:p>
    <w:p w14:paraId="12147906" w14:textId="77777777" w:rsidR="008C3A0C" w:rsidRPr="00FD4EE9" w:rsidRDefault="008C3A0C" w:rsidP="00A140B1">
      <w:pPr>
        <w:shd w:val="clear" w:color="auto" w:fill="FFFFFF"/>
        <w:spacing w:after="0"/>
        <w:rPr>
          <w:bCs/>
          <w:color w:val="auto"/>
          <w:szCs w:val="24"/>
        </w:rPr>
      </w:pPr>
    </w:p>
    <w:p w14:paraId="5C383D2D" w14:textId="77777777" w:rsidR="007E5803" w:rsidRDefault="00591AA8" w:rsidP="00A140B1">
      <w:pPr>
        <w:pStyle w:val="ListParagraph1"/>
        <w:numPr>
          <w:ilvl w:val="0"/>
          <w:numId w:val="0"/>
        </w:numPr>
        <w:jc w:val="left"/>
        <w:textAlignment w:val="baseline"/>
        <w:rPr>
          <w:rFonts w:ascii="Times New Roman" w:hAnsi="Times New Roman" w:cs="Times New Roman"/>
        </w:rPr>
        <w:sectPr w:rsidR="007E5803" w:rsidSect="008D06EA">
          <w:footnotePr>
            <w:numRestart w:val="eachSect"/>
          </w:footnotePr>
          <w:type w:val="oddPage"/>
          <w:pgSz w:w="11907" w:h="16839" w:code="9"/>
          <w:pgMar w:top="1440" w:right="1797" w:bottom="1525" w:left="1797" w:header="720" w:footer="794" w:gutter="0"/>
          <w:pgNumType w:start="0"/>
          <w:cols w:space="720"/>
          <w:docGrid w:linePitch="299"/>
        </w:sectPr>
      </w:pPr>
      <w:r w:rsidRPr="00FD4EE9">
        <w:rPr>
          <w:rFonts w:ascii="Times New Roman" w:hAnsi="Times New Roman" w:cs="Times New Roman"/>
        </w:rPr>
        <w:br w:type="page"/>
      </w:r>
    </w:p>
    <w:p w14:paraId="0BB2E382" w14:textId="77777777" w:rsidR="00AD4B2A" w:rsidRDefault="00841BDE" w:rsidP="00413E4A">
      <w:pPr>
        <w:pStyle w:val="Heading1"/>
        <w:rPr>
          <w:rStyle w:val="Heading1Char2"/>
          <w:rFonts w:ascii="Times New Roman" w:hAnsi="Times New Roman"/>
        </w:rPr>
      </w:pPr>
      <w:bookmarkStart w:id="41" w:name="_Toc388648339"/>
      <w:bookmarkStart w:id="42" w:name="_Toc295406120"/>
      <w:bookmarkStart w:id="43" w:name="_Toc484164321"/>
      <w:bookmarkEnd w:id="28"/>
      <w:bookmarkEnd w:id="29"/>
      <w:bookmarkEnd w:id="30"/>
      <w:r w:rsidRPr="00FD4EE9">
        <w:rPr>
          <w:rStyle w:val="Heading1Char2"/>
          <w:rFonts w:ascii="Times New Roman" w:hAnsi="Times New Roman"/>
        </w:rPr>
        <w:lastRenderedPageBreak/>
        <w:t>3</w:t>
      </w:r>
      <w:r w:rsidR="00591AA8" w:rsidRPr="00FD4EE9">
        <w:rPr>
          <w:rStyle w:val="Heading1Char2"/>
          <w:rFonts w:ascii="Times New Roman" w:hAnsi="Times New Roman"/>
        </w:rPr>
        <w:tab/>
        <w:t>Halons TOC (HTOC) Progress Report</w:t>
      </w:r>
      <w:bookmarkEnd w:id="41"/>
      <w:bookmarkEnd w:id="42"/>
      <w:bookmarkEnd w:id="43"/>
    </w:p>
    <w:p w14:paraId="78F084B6" w14:textId="73BD160D" w:rsidR="00240E37" w:rsidRPr="00FC10C4" w:rsidRDefault="00240E37" w:rsidP="00A140B1">
      <w:pPr>
        <w:rPr>
          <w:color w:val="auto"/>
          <w:szCs w:val="22"/>
        </w:rPr>
      </w:pPr>
      <w:r w:rsidRPr="00FC10C4">
        <w:rPr>
          <w:color w:val="auto"/>
          <w:szCs w:val="22"/>
        </w:rPr>
        <w:t>The HTOC met from the 5</w:t>
      </w:r>
      <w:r w:rsidRPr="00FC10C4">
        <w:rPr>
          <w:color w:val="auto"/>
          <w:szCs w:val="22"/>
          <w:vertAlign w:val="superscript"/>
        </w:rPr>
        <w:t>th</w:t>
      </w:r>
      <w:r w:rsidRPr="00FC10C4">
        <w:rPr>
          <w:color w:val="auto"/>
          <w:szCs w:val="22"/>
        </w:rPr>
        <w:t xml:space="preserve"> to 7</w:t>
      </w:r>
      <w:r w:rsidRPr="00FC10C4">
        <w:rPr>
          <w:color w:val="auto"/>
          <w:szCs w:val="22"/>
          <w:vertAlign w:val="superscript"/>
        </w:rPr>
        <w:t>th</w:t>
      </w:r>
      <w:r w:rsidRPr="00FC10C4">
        <w:rPr>
          <w:color w:val="auto"/>
          <w:szCs w:val="22"/>
        </w:rPr>
        <w:t xml:space="preserve"> April, 2017 in Seoul, South Korea. Attending members were from Australia, Bra</w:t>
      </w:r>
      <w:r w:rsidR="0000233D">
        <w:rPr>
          <w:color w:val="auto"/>
          <w:szCs w:val="22"/>
        </w:rPr>
        <w:t>z</w:t>
      </w:r>
      <w:r w:rsidRPr="00FC10C4">
        <w:rPr>
          <w:color w:val="auto"/>
          <w:szCs w:val="22"/>
        </w:rPr>
        <w:t xml:space="preserve">il, Canada, France, India, Kuwait, Japan, Russia, South Korea, Sweden, the United Kingdom, and the United States of America.  </w:t>
      </w:r>
    </w:p>
    <w:p w14:paraId="61330728" w14:textId="7DA6732D" w:rsidR="00B12346" w:rsidRPr="00FC10C4" w:rsidRDefault="00B12346" w:rsidP="00413E4A">
      <w:pPr>
        <w:pStyle w:val="Heading2"/>
      </w:pPr>
      <w:bookmarkStart w:id="44" w:name="_Toc484164322"/>
      <w:r>
        <w:t>Executive Summary</w:t>
      </w:r>
      <w:bookmarkEnd w:id="44"/>
    </w:p>
    <w:p w14:paraId="2F497303" w14:textId="3E937BC6" w:rsidR="00240E37" w:rsidRPr="00FC10C4" w:rsidRDefault="00240E37" w:rsidP="00A140B1">
      <w:pPr>
        <w:rPr>
          <w:color w:val="auto"/>
          <w:szCs w:val="22"/>
        </w:rPr>
      </w:pPr>
      <w:r w:rsidRPr="00FC10C4">
        <w:rPr>
          <w:color w:val="auto"/>
          <w:szCs w:val="22"/>
        </w:rPr>
        <w:t>The parties may wish to consider continuing to work with the ICAO by requesting ICAO to form a working group or similar body in conjunction with the H</w:t>
      </w:r>
      <w:r w:rsidR="00993D68">
        <w:rPr>
          <w:color w:val="auto"/>
          <w:szCs w:val="22"/>
        </w:rPr>
        <w:t>TOC</w:t>
      </w:r>
      <w:r w:rsidRPr="00FC10C4">
        <w:rPr>
          <w:color w:val="auto"/>
          <w:szCs w:val="22"/>
        </w:rPr>
        <w:t xml:space="preserve"> to better estimate current and future civil aviation installed base and emissions and to report back at the 31</w:t>
      </w:r>
      <w:r w:rsidRPr="00FC10C4">
        <w:rPr>
          <w:color w:val="auto"/>
          <w:szCs w:val="22"/>
          <w:vertAlign w:val="superscript"/>
        </w:rPr>
        <w:t>st</w:t>
      </w:r>
      <w:r w:rsidRPr="00FC10C4">
        <w:rPr>
          <w:color w:val="auto"/>
          <w:szCs w:val="22"/>
        </w:rPr>
        <w:t xml:space="preserve"> Meeting of the Parties. This is based on the following:</w:t>
      </w:r>
    </w:p>
    <w:p w14:paraId="0C672B19" w14:textId="3752C14B" w:rsidR="00240E37" w:rsidRPr="00FC10C4" w:rsidRDefault="00240E37" w:rsidP="00A140B1">
      <w:pPr>
        <w:pStyle w:val="ListParagraph"/>
        <w:numPr>
          <w:ilvl w:val="0"/>
          <w:numId w:val="53"/>
        </w:numPr>
        <w:ind w:firstLineChars="0"/>
        <w:jc w:val="left"/>
        <w:rPr>
          <w:rFonts w:ascii="Times New Roman" w:hAnsi="Times New Roman"/>
          <w:sz w:val="22"/>
        </w:rPr>
      </w:pPr>
      <w:r w:rsidRPr="00FC10C4">
        <w:rPr>
          <w:rFonts w:ascii="Times New Roman" w:hAnsi="Times New Roman"/>
          <w:sz w:val="22"/>
        </w:rPr>
        <w:t xml:space="preserve">The conclusion of the Decision XXVI/7 </w:t>
      </w:r>
      <w:r w:rsidR="00993D68" w:rsidRPr="00622A95">
        <w:rPr>
          <w:rFonts w:ascii="Times New Roman" w:hAnsi="Times New Roman"/>
          <w:i/>
          <w:sz w:val="22"/>
        </w:rPr>
        <w:t>Availability of recovered, recycled or reclaimed halons</w:t>
      </w:r>
      <w:r w:rsidR="00993D68" w:rsidRPr="00FC10C4">
        <w:rPr>
          <w:rFonts w:ascii="Times New Roman" w:hAnsi="Times New Roman"/>
          <w:sz w:val="22"/>
        </w:rPr>
        <w:t xml:space="preserve"> </w:t>
      </w:r>
      <w:r w:rsidRPr="00FC10C4">
        <w:rPr>
          <w:rFonts w:ascii="Times New Roman" w:hAnsi="Times New Roman"/>
          <w:sz w:val="22"/>
        </w:rPr>
        <w:t xml:space="preserve">working group that it remains nearly indisputable that the world’s supply of halon 1301 will be exhausted (currently estimated to be in the 2035 timeframe) well before civil aviation completes the transition to an alternative. </w:t>
      </w:r>
    </w:p>
    <w:p w14:paraId="6CED1886" w14:textId="763D4867" w:rsidR="00240E37" w:rsidRPr="00FC10C4" w:rsidRDefault="00240E37" w:rsidP="00A140B1">
      <w:pPr>
        <w:pStyle w:val="ListParagraph"/>
        <w:numPr>
          <w:ilvl w:val="0"/>
          <w:numId w:val="53"/>
        </w:numPr>
        <w:ind w:firstLineChars="0"/>
        <w:jc w:val="left"/>
        <w:rPr>
          <w:rFonts w:ascii="Times New Roman" w:hAnsi="Times New Roman"/>
          <w:sz w:val="22"/>
        </w:rPr>
      </w:pPr>
      <w:r w:rsidRPr="00FC10C4">
        <w:rPr>
          <w:rFonts w:ascii="Times New Roman" w:hAnsi="Times New Roman"/>
          <w:sz w:val="22"/>
        </w:rPr>
        <w:t>While the Decision XXVI/7 working group estimated this shortage to be in the 2035 timeframe, there are many unknowns that could change this date significantly, such as the rate of implementation of alternatives, the increase of installed amounts of halon as the global aircraft fleet increases, and the emissions from civil aviation.</w:t>
      </w:r>
      <w:r w:rsidR="006B1E31">
        <w:rPr>
          <w:rFonts w:ascii="Times New Roman" w:hAnsi="Times New Roman"/>
          <w:sz w:val="22"/>
        </w:rPr>
        <w:br/>
      </w:r>
    </w:p>
    <w:p w14:paraId="16354264" w14:textId="1A7B2637" w:rsidR="00452299" w:rsidRPr="002308FF" w:rsidRDefault="00452299" w:rsidP="00413E4A">
      <w:pPr>
        <w:pStyle w:val="Heading2"/>
      </w:pPr>
      <w:bookmarkStart w:id="45" w:name="_Toc484164323"/>
      <w:r>
        <w:t>3.1.</w:t>
      </w:r>
      <w:r>
        <w:tab/>
      </w:r>
      <w:r w:rsidR="00240E37">
        <w:t xml:space="preserve">New </w:t>
      </w:r>
      <w:r w:rsidR="00FB50B1">
        <w:t>a</w:t>
      </w:r>
      <w:r w:rsidRPr="002308FF">
        <w:t>gents</w:t>
      </w:r>
      <w:r w:rsidR="00240E37">
        <w:t xml:space="preserve"> in </w:t>
      </w:r>
      <w:r w:rsidR="00FB50B1">
        <w:t>d</w:t>
      </w:r>
      <w:r w:rsidR="00240E37">
        <w:t>evelopment</w:t>
      </w:r>
      <w:bookmarkEnd w:id="45"/>
    </w:p>
    <w:p w14:paraId="359AC4A3" w14:textId="3CC87A7A" w:rsidR="00240E37" w:rsidRPr="00FC10C4" w:rsidRDefault="00240E37" w:rsidP="00A140B1">
      <w:pPr>
        <w:rPr>
          <w:color w:val="auto"/>
          <w:szCs w:val="22"/>
        </w:rPr>
      </w:pPr>
      <w:r w:rsidRPr="00FC10C4">
        <w:rPr>
          <w:color w:val="auto"/>
          <w:szCs w:val="22"/>
        </w:rPr>
        <w:t>There are now three potential new agents reported in various stages of development in the U</w:t>
      </w:r>
      <w:r w:rsidR="0070607D">
        <w:rPr>
          <w:color w:val="auto"/>
          <w:szCs w:val="22"/>
        </w:rPr>
        <w:t>S</w:t>
      </w:r>
      <w:r w:rsidRPr="00FC10C4">
        <w:rPr>
          <w:color w:val="auto"/>
          <w:szCs w:val="22"/>
        </w:rPr>
        <w:t xml:space="preserve"> and four in the Russian Federation for the halon sector. It </w:t>
      </w:r>
      <w:r>
        <w:rPr>
          <w:color w:val="auto"/>
          <w:szCs w:val="22"/>
        </w:rPr>
        <w:t>has</w:t>
      </w:r>
      <w:r w:rsidRPr="00FC10C4">
        <w:rPr>
          <w:color w:val="auto"/>
          <w:szCs w:val="22"/>
        </w:rPr>
        <w:t xml:space="preserve"> </w:t>
      </w:r>
      <w:r w:rsidR="00993D68">
        <w:rPr>
          <w:color w:val="auto"/>
          <w:szCs w:val="22"/>
        </w:rPr>
        <w:t xml:space="preserve">not </w:t>
      </w:r>
      <w:r>
        <w:rPr>
          <w:color w:val="auto"/>
          <w:szCs w:val="22"/>
        </w:rPr>
        <w:t>been</w:t>
      </w:r>
      <w:r w:rsidRPr="00FC10C4">
        <w:rPr>
          <w:color w:val="auto"/>
          <w:szCs w:val="22"/>
        </w:rPr>
        <w:t xml:space="preserve"> reported whether these are intended as total flooding or streaming agents.</w:t>
      </w:r>
    </w:p>
    <w:p w14:paraId="14BAA101" w14:textId="1C1AB72B" w:rsidR="00240E37" w:rsidRPr="00FC10C4" w:rsidRDefault="00993D68" w:rsidP="00A140B1">
      <w:pPr>
        <w:rPr>
          <w:color w:val="auto"/>
          <w:szCs w:val="22"/>
        </w:rPr>
      </w:pPr>
      <w:r w:rsidRPr="00FC10C4">
        <w:rPr>
          <w:color w:val="auto"/>
          <w:szCs w:val="22"/>
        </w:rPr>
        <w:t>A low</w:t>
      </w:r>
      <w:r>
        <w:rPr>
          <w:color w:val="auto"/>
          <w:szCs w:val="22"/>
        </w:rPr>
        <w:t>-</w:t>
      </w:r>
      <w:r w:rsidRPr="00FC10C4">
        <w:rPr>
          <w:color w:val="auto"/>
          <w:szCs w:val="22"/>
        </w:rPr>
        <w:t>GWP chemical being commercialised for solvent, foam-blowing and refrigerant applications, HCFO-</w:t>
      </w:r>
      <w:proofErr w:type="gramStart"/>
      <w:r w:rsidRPr="00FC10C4">
        <w:rPr>
          <w:color w:val="auto"/>
          <w:szCs w:val="22"/>
        </w:rPr>
        <w:t>1233zd(</w:t>
      </w:r>
      <w:proofErr w:type="gramEnd"/>
      <w:r w:rsidRPr="00FC10C4">
        <w:rPr>
          <w:color w:val="auto"/>
          <w:szCs w:val="22"/>
        </w:rPr>
        <w:t xml:space="preserve">E), was submitted by the manufacturer and has </w:t>
      </w:r>
      <w:r>
        <w:rPr>
          <w:color w:val="auto"/>
          <w:szCs w:val="22"/>
        </w:rPr>
        <w:t xml:space="preserve">been listed acceptable by EPA’s </w:t>
      </w:r>
      <w:r w:rsidRPr="00FC10C4">
        <w:rPr>
          <w:color w:val="auto"/>
          <w:szCs w:val="22"/>
        </w:rPr>
        <w:t xml:space="preserve">SNAP </w:t>
      </w:r>
      <w:r>
        <w:rPr>
          <w:color w:val="auto"/>
          <w:szCs w:val="22"/>
        </w:rPr>
        <w:t xml:space="preserve">program </w:t>
      </w:r>
      <w:r w:rsidRPr="00FC10C4">
        <w:rPr>
          <w:color w:val="auto"/>
          <w:szCs w:val="22"/>
        </w:rPr>
        <w:t xml:space="preserve">for fire protection in total flooding applications in 2016. However, the manufacturer has subsequently decided not to proceed further with its listing as a total flooding agent in the ISO and the </w:t>
      </w:r>
      <w:r>
        <w:rPr>
          <w:color w:val="auto"/>
          <w:szCs w:val="22"/>
        </w:rPr>
        <w:t>NFPA</w:t>
      </w:r>
      <w:r w:rsidRPr="00FC10C4">
        <w:rPr>
          <w:color w:val="auto"/>
          <w:szCs w:val="22"/>
        </w:rPr>
        <w:t xml:space="preserve"> standards which would have been required prior to its use in this application in countries (e.g., South Africa, Australia, EU, US, etc.) that adopt such standards</w:t>
      </w:r>
      <w:r>
        <w:rPr>
          <w:color w:val="auto"/>
          <w:szCs w:val="22"/>
        </w:rPr>
        <w:t>.</w:t>
      </w:r>
      <w:r w:rsidR="00B552BC" w:rsidRPr="00FC10C4">
        <w:rPr>
          <w:color w:val="auto"/>
          <w:szCs w:val="22"/>
        </w:rPr>
        <w:t xml:space="preserve"> </w:t>
      </w:r>
      <w:r w:rsidR="00240E37" w:rsidRPr="00FC10C4">
        <w:rPr>
          <w:color w:val="auto"/>
          <w:szCs w:val="22"/>
        </w:rPr>
        <w:t xml:space="preserve"> </w:t>
      </w:r>
    </w:p>
    <w:p w14:paraId="72E7BA2D" w14:textId="2EEBE7BE" w:rsidR="00452299" w:rsidRPr="002308FF" w:rsidRDefault="00452299" w:rsidP="00413E4A">
      <w:pPr>
        <w:pStyle w:val="Heading2"/>
      </w:pPr>
      <w:bookmarkStart w:id="46" w:name="_Toc484164324"/>
      <w:r>
        <w:t>3.2.</w:t>
      </w:r>
      <w:r>
        <w:tab/>
      </w:r>
      <w:r w:rsidRPr="002308FF">
        <w:t>Military</w:t>
      </w:r>
      <w:bookmarkEnd w:id="46"/>
    </w:p>
    <w:p w14:paraId="4FA637C7" w14:textId="77777777" w:rsidR="00240E37" w:rsidRPr="00FC10C4" w:rsidRDefault="00240E37" w:rsidP="00A140B1">
      <w:pPr>
        <w:rPr>
          <w:color w:val="auto"/>
          <w:szCs w:val="22"/>
        </w:rPr>
      </w:pPr>
      <w:r w:rsidRPr="00FC10C4">
        <w:rPr>
          <w:color w:val="auto"/>
          <w:szCs w:val="22"/>
        </w:rPr>
        <w:t>In general, available information indicates militaries from non-A5 parties continue to manage their usage of halons responsibly and have begun to consider the issues related to the long-term availability of HFCs.  Many militaries have adopted HFCs as halon replacements and low-level research regarding HFC replacement agents is being conducted to assess the feasibility of emerging low GWP candidate extinguishing agents for a range of vehicle and aviation applications.</w:t>
      </w:r>
    </w:p>
    <w:p w14:paraId="1B94EE3A" w14:textId="77777777" w:rsidR="00240E37" w:rsidRPr="00FC10C4" w:rsidRDefault="00240E37" w:rsidP="00A140B1">
      <w:pPr>
        <w:rPr>
          <w:color w:val="auto"/>
          <w:lang w:val="en-US"/>
        </w:rPr>
      </w:pPr>
      <w:r w:rsidRPr="00FC10C4">
        <w:rPr>
          <w:color w:val="auto"/>
          <w:lang w:val="en-US"/>
        </w:rPr>
        <w:t>In contrast, available information suggests that the militaries of some A5 parties do not appear to be managing their halons well:</w:t>
      </w:r>
    </w:p>
    <w:p w14:paraId="3B83F7C5" w14:textId="58131B74" w:rsidR="00240E37" w:rsidRPr="00CA7923" w:rsidRDefault="00CA7923" w:rsidP="00A140B1">
      <w:pPr>
        <w:pStyle w:val="ListParagraph"/>
        <w:numPr>
          <w:ilvl w:val="0"/>
          <w:numId w:val="58"/>
        </w:numPr>
        <w:ind w:firstLineChars="0"/>
        <w:jc w:val="left"/>
        <w:rPr>
          <w:rFonts w:ascii="Times New Roman" w:hAnsi="Times New Roman"/>
          <w:sz w:val="22"/>
          <w:lang w:val="en-US"/>
        </w:rPr>
      </w:pPr>
      <w:r w:rsidRPr="00CA7923">
        <w:rPr>
          <w:rFonts w:ascii="Times New Roman" w:hAnsi="Times New Roman"/>
          <w:sz w:val="22"/>
          <w:lang w:val="en-US"/>
        </w:rPr>
        <w:t>T</w:t>
      </w:r>
      <w:r w:rsidR="00240E37" w:rsidRPr="00CA7923">
        <w:rPr>
          <w:rFonts w:ascii="Times New Roman" w:hAnsi="Times New Roman"/>
          <w:sz w:val="22"/>
          <w:lang w:val="en-US"/>
        </w:rPr>
        <w:t>here has been a high turnover of people involved in halon phaseout over the past 10 years and owing to lost knowledge there is a need for reviews of the history and state of affairs in the halon phaseout,</w:t>
      </w:r>
    </w:p>
    <w:p w14:paraId="50C50C18" w14:textId="19980126" w:rsidR="00240E37" w:rsidRPr="00CA7923" w:rsidRDefault="00240E37" w:rsidP="00A140B1">
      <w:pPr>
        <w:pStyle w:val="ListParagraph"/>
        <w:numPr>
          <w:ilvl w:val="0"/>
          <w:numId w:val="58"/>
        </w:numPr>
        <w:ind w:firstLineChars="0"/>
        <w:jc w:val="left"/>
        <w:rPr>
          <w:rFonts w:ascii="Times New Roman" w:hAnsi="Times New Roman"/>
          <w:sz w:val="22"/>
          <w:lang w:val="en-US"/>
        </w:rPr>
      </w:pPr>
      <w:r w:rsidRPr="00CA7923">
        <w:rPr>
          <w:rFonts w:ascii="Times New Roman" w:hAnsi="Times New Roman"/>
          <w:sz w:val="22"/>
          <w:lang w:val="en-US"/>
        </w:rPr>
        <w:t>Many A5 military and (other affected A5 users) are unaware and thus unprepared for any possible future halon shortages and unfamiliar with alternative protection options</w:t>
      </w:r>
    </w:p>
    <w:p w14:paraId="326DD228" w14:textId="013DF9DC" w:rsidR="00240E37" w:rsidRPr="00CA7923" w:rsidRDefault="00240E37" w:rsidP="00A140B1">
      <w:pPr>
        <w:pStyle w:val="ListParagraph"/>
        <w:numPr>
          <w:ilvl w:val="0"/>
          <w:numId w:val="58"/>
        </w:numPr>
        <w:ind w:firstLineChars="0"/>
        <w:jc w:val="left"/>
        <w:rPr>
          <w:rFonts w:ascii="Times New Roman" w:hAnsi="Times New Roman"/>
          <w:sz w:val="22"/>
          <w:lang w:val="en-US"/>
        </w:rPr>
      </w:pPr>
      <w:r w:rsidRPr="00CA7923">
        <w:rPr>
          <w:rFonts w:ascii="Times New Roman" w:hAnsi="Times New Roman"/>
          <w:sz w:val="22"/>
          <w:lang w:val="en-US"/>
        </w:rPr>
        <w:lastRenderedPageBreak/>
        <w:t>Many A5 militaries/users have a need to be well informed on the alternatives with high atmospheric lifetimes and global warming (</w:t>
      </w:r>
      <w:r w:rsidRPr="00CA7923">
        <w:rPr>
          <w:rFonts w:ascii="Times New Roman" w:hAnsi="Times New Roman"/>
          <w:i/>
          <w:iCs/>
          <w:sz w:val="22"/>
          <w:lang w:val="en-US"/>
        </w:rPr>
        <w:t>and issues surrounding them</w:t>
      </w:r>
      <w:r w:rsidRPr="00CA7923">
        <w:rPr>
          <w:rFonts w:ascii="Times New Roman" w:hAnsi="Times New Roman"/>
          <w:sz w:val="22"/>
          <w:lang w:val="en-US"/>
        </w:rPr>
        <w:t>) to make the optimum decisions on use and management – due to misunderstandings some countries have begun discussions on mandatory removal of alternatives already in use.</w:t>
      </w:r>
    </w:p>
    <w:p w14:paraId="147028E8" w14:textId="6CB6CB1A" w:rsidR="00240E37" w:rsidRPr="00FC10C4" w:rsidRDefault="00CA7923" w:rsidP="00A140B1">
      <w:pPr>
        <w:rPr>
          <w:color w:val="auto"/>
          <w:lang w:val="en-US"/>
        </w:rPr>
      </w:pPr>
      <w:r>
        <w:rPr>
          <w:color w:val="auto"/>
          <w:lang w:val="en-US"/>
        </w:rPr>
        <w:br/>
        <w:t>P</w:t>
      </w:r>
      <w:r w:rsidR="00240E37" w:rsidRPr="00FC10C4">
        <w:rPr>
          <w:color w:val="auto"/>
          <w:lang w:val="en-US"/>
        </w:rPr>
        <w:t>arties may wish to consider providing workshops to address these issues.</w:t>
      </w:r>
    </w:p>
    <w:p w14:paraId="3EDE3979" w14:textId="65FF2763" w:rsidR="00452299" w:rsidRPr="002308FF" w:rsidRDefault="00240E37" w:rsidP="00A140B1">
      <w:pPr>
        <w:rPr>
          <w:color w:val="auto"/>
          <w:szCs w:val="22"/>
          <w:lang w:val="en-US" w:eastAsia="en-US"/>
        </w:rPr>
      </w:pPr>
      <w:r w:rsidRPr="00FC10C4">
        <w:rPr>
          <w:color w:val="auto"/>
          <w:szCs w:val="22"/>
        </w:rPr>
        <w:t xml:space="preserve">The U.S. Army hosted a 2-day military fire protection workshop in May 2017 with other military services, industry, academia, and Allied military partners to exchange information regarding issues of mutual concern. Parties </w:t>
      </w:r>
      <w:r w:rsidR="00993D68">
        <w:rPr>
          <w:color w:val="auto"/>
          <w:szCs w:val="22"/>
        </w:rPr>
        <w:t>may wish to consider</w:t>
      </w:r>
      <w:r w:rsidRPr="00FC10C4">
        <w:rPr>
          <w:color w:val="auto"/>
          <w:szCs w:val="22"/>
        </w:rPr>
        <w:t xml:space="preserve"> encourag</w:t>
      </w:r>
      <w:r w:rsidR="00993D68">
        <w:rPr>
          <w:color w:val="auto"/>
          <w:szCs w:val="22"/>
        </w:rPr>
        <w:t>ing</w:t>
      </w:r>
      <w:r w:rsidRPr="00FC10C4">
        <w:rPr>
          <w:color w:val="auto"/>
          <w:szCs w:val="22"/>
        </w:rPr>
        <w:t xml:space="preserve"> their militaries to participate in future collaborations such as this. </w:t>
      </w:r>
      <w:r w:rsidR="00452299" w:rsidRPr="002308FF">
        <w:rPr>
          <w:szCs w:val="22"/>
          <w:highlight w:val="yellow"/>
        </w:rPr>
        <w:t xml:space="preserve"> </w:t>
      </w:r>
    </w:p>
    <w:p w14:paraId="01585E22" w14:textId="548976F3" w:rsidR="00452299" w:rsidRPr="00B46C50" w:rsidRDefault="00452299" w:rsidP="00413E4A">
      <w:pPr>
        <w:pStyle w:val="Heading2"/>
      </w:pPr>
      <w:bookmarkStart w:id="47" w:name="_Toc484164325"/>
      <w:r>
        <w:t>3.3.</w:t>
      </w:r>
      <w:r>
        <w:tab/>
      </w:r>
      <w:r w:rsidRPr="00B46C50">
        <w:t xml:space="preserve">Civil </w:t>
      </w:r>
      <w:r w:rsidR="00FB50B1">
        <w:t>a</w:t>
      </w:r>
      <w:r w:rsidRPr="00B46C50">
        <w:t xml:space="preserve">viation </w:t>
      </w:r>
      <w:r w:rsidR="00FB50B1">
        <w:t>u</w:t>
      </w:r>
      <w:r w:rsidRPr="00B46C50">
        <w:t>pdate</w:t>
      </w:r>
      <w:bookmarkEnd w:id="47"/>
      <w:r w:rsidRPr="00B46C50">
        <w:t xml:space="preserve">  </w:t>
      </w:r>
    </w:p>
    <w:p w14:paraId="361FE1F2" w14:textId="7456E202" w:rsidR="00452299" w:rsidRPr="00AB4BBE" w:rsidRDefault="00452299" w:rsidP="00413E4A">
      <w:pPr>
        <w:pStyle w:val="Heading3"/>
      </w:pPr>
      <w:bookmarkStart w:id="48" w:name="_Toc484164326"/>
      <w:r>
        <w:t>3.3.1.</w:t>
      </w:r>
      <w:r>
        <w:tab/>
      </w:r>
      <w:r w:rsidRPr="00AB4BBE">
        <w:t>International Civil Aviation Organization (ICAO)</w:t>
      </w:r>
      <w:bookmarkEnd w:id="48"/>
    </w:p>
    <w:p w14:paraId="4A42D936" w14:textId="77777777" w:rsidR="00240E37" w:rsidRPr="00FC10C4" w:rsidRDefault="00240E37" w:rsidP="00A140B1">
      <w:pPr>
        <w:rPr>
          <w:color w:val="auto"/>
          <w:szCs w:val="22"/>
        </w:rPr>
      </w:pPr>
      <w:r w:rsidRPr="00FC10C4">
        <w:rPr>
          <w:color w:val="auto"/>
          <w:szCs w:val="22"/>
        </w:rPr>
        <w:t>At the ICAO 39</w:t>
      </w:r>
      <w:r w:rsidRPr="00993D68">
        <w:rPr>
          <w:color w:val="auto"/>
          <w:szCs w:val="22"/>
          <w:vertAlign w:val="superscript"/>
        </w:rPr>
        <w:t>th</w:t>
      </w:r>
      <w:r w:rsidRPr="00FC10C4">
        <w:rPr>
          <w:color w:val="auto"/>
          <w:szCs w:val="22"/>
        </w:rPr>
        <w:t xml:space="preserve"> Assembly in October 2016, Resolution 39-13 was approved that sets a date for the replacement of halons in the cargo compartments of newly designed aircraft in the 2024 timeframe.</w:t>
      </w:r>
    </w:p>
    <w:p w14:paraId="002BBF1C" w14:textId="3803F3FF" w:rsidR="00452299" w:rsidRPr="00240E37" w:rsidRDefault="00240E37" w:rsidP="001348D5">
      <w:pPr>
        <w:rPr>
          <w:color w:val="auto"/>
          <w:szCs w:val="22"/>
        </w:rPr>
      </w:pPr>
      <w:r w:rsidRPr="00FC10C4">
        <w:rPr>
          <w:color w:val="auto"/>
          <w:szCs w:val="22"/>
        </w:rPr>
        <w:t xml:space="preserve">Owing to a delay in the commercialisation of 2-BTP as an agent for use in hand-held extinguishers, an amendment was approved to Annex 6 of the Chicago Convention delaying the requirement for halon replacement in hand-held extinguishers on new production aircraft until </w:t>
      </w:r>
      <w:r w:rsidR="00993D68">
        <w:rPr>
          <w:color w:val="auto"/>
          <w:szCs w:val="22"/>
        </w:rPr>
        <w:t xml:space="preserve">31 </w:t>
      </w:r>
      <w:r w:rsidRPr="00FC10C4">
        <w:rPr>
          <w:color w:val="auto"/>
          <w:szCs w:val="22"/>
        </w:rPr>
        <w:t xml:space="preserve">December 2018. This </w:t>
      </w:r>
      <w:r w:rsidR="001348D5">
        <w:rPr>
          <w:color w:val="auto"/>
          <w:szCs w:val="22"/>
        </w:rPr>
        <w:t xml:space="preserve">change </w:t>
      </w:r>
      <w:r w:rsidRPr="00FC10C4">
        <w:rPr>
          <w:color w:val="auto"/>
          <w:szCs w:val="22"/>
        </w:rPr>
        <w:t xml:space="preserve">was </w:t>
      </w:r>
      <w:r w:rsidR="001348D5">
        <w:rPr>
          <w:color w:val="auto"/>
          <w:szCs w:val="22"/>
        </w:rPr>
        <w:t>implemented</w:t>
      </w:r>
      <w:r w:rsidR="001348D5" w:rsidRPr="00FC10C4">
        <w:rPr>
          <w:color w:val="auto"/>
          <w:szCs w:val="22"/>
        </w:rPr>
        <w:t xml:space="preserve"> </w:t>
      </w:r>
      <w:r w:rsidRPr="00FC10C4">
        <w:rPr>
          <w:color w:val="auto"/>
          <w:szCs w:val="22"/>
        </w:rPr>
        <w:t>even though several countries had already adopted the earlier date (2016) in their national regulations.</w:t>
      </w:r>
    </w:p>
    <w:p w14:paraId="61FBF5F8" w14:textId="4015873A" w:rsidR="00452299" w:rsidRPr="002550C7" w:rsidRDefault="00452299" w:rsidP="00413E4A">
      <w:pPr>
        <w:pStyle w:val="Heading3"/>
      </w:pPr>
      <w:bookmarkStart w:id="49" w:name="_Toc484164327"/>
      <w:r>
        <w:t>3.3.2.</w:t>
      </w:r>
      <w:r>
        <w:tab/>
      </w:r>
      <w:r w:rsidRPr="00D26493">
        <w:t xml:space="preserve">Aircraft </w:t>
      </w:r>
      <w:r w:rsidR="00FB50B1">
        <w:t>e</w:t>
      </w:r>
      <w:r w:rsidRPr="00D26493">
        <w:t xml:space="preserve">ngine </w:t>
      </w:r>
      <w:r w:rsidR="00FB50B1">
        <w:t>n</w:t>
      </w:r>
      <w:r w:rsidRPr="00D26493">
        <w:t xml:space="preserve">acelle </w:t>
      </w:r>
      <w:r w:rsidR="00FB50B1">
        <w:t>p</w:t>
      </w:r>
      <w:r w:rsidRPr="00D26493">
        <w:t>rotection</w:t>
      </w:r>
      <w:bookmarkEnd w:id="49"/>
    </w:p>
    <w:p w14:paraId="33E45F51" w14:textId="654CA6A4" w:rsidR="00240E37" w:rsidRPr="00FC10C4" w:rsidRDefault="00240E37" w:rsidP="00A140B1">
      <w:pPr>
        <w:rPr>
          <w:color w:val="auto"/>
          <w:szCs w:val="22"/>
        </w:rPr>
      </w:pPr>
      <w:r w:rsidRPr="00FC10C4">
        <w:rPr>
          <w:color w:val="auto"/>
          <w:szCs w:val="22"/>
        </w:rPr>
        <w:t>Although ICAO has set 2014 as the date after which new design aircraft will need to use a halon alternative in engine nacelle and auxiliary power unit (APU) fire protection, there isno approved design available as of now.  This is in spite of the fact that HFC-125 has been proven and installed for this purpose in military aviation for many years.  Civil aviation appears to continue to be reluctant to switch over to high</w:t>
      </w:r>
      <w:r w:rsidR="00993D68">
        <w:rPr>
          <w:color w:val="auto"/>
          <w:szCs w:val="22"/>
        </w:rPr>
        <w:t>-</w:t>
      </w:r>
      <w:r w:rsidRPr="00FC10C4">
        <w:rPr>
          <w:color w:val="auto"/>
          <w:szCs w:val="22"/>
        </w:rPr>
        <w:t xml:space="preserve">GWP agents in this application. </w:t>
      </w:r>
    </w:p>
    <w:p w14:paraId="5F6A420F" w14:textId="77777777" w:rsidR="00240E37" w:rsidRPr="00FC10C4" w:rsidRDefault="00240E37" w:rsidP="00A140B1">
      <w:pPr>
        <w:rPr>
          <w:color w:val="auto"/>
          <w:szCs w:val="22"/>
        </w:rPr>
      </w:pPr>
      <w:r w:rsidRPr="00FC10C4">
        <w:rPr>
          <w:color w:val="auto"/>
          <w:szCs w:val="22"/>
        </w:rPr>
        <w:t>The Halon Alternatives for Aircraft Propulsion Systems (HAAPS) consortium continue its efforts to develop a single, common alternative to halon 1301 for engines/APUs in aircraft and is still developing a joint collaboration agreement so that work on research and development can commence.</w:t>
      </w:r>
    </w:p>
    <w:p w14:paraId="05FACC19" w14:textId="140AF211" w:rsidR="00452299" w:rsidRPr="00D26493" w:rsidRDefault="00452299" w:rsidP="00413E4A">
      <w:pPr>
        <w:pStyle w:val="Heading3"/>
      </w:pPr>
      <w:bookmarkStart w:id="50" w:name="_Toc484164328"/>
      <w:r>
        <w:t>3.3.3.</w:t>
      </w:r>
      <w:r>
        <w:tab/>
      </w:r>
      <w:r w:rsidRPr="00D26493">
        <w:t xml:space="preserve">Portable </w:t>
      </w:r>
      <w:r w:rsidR="00FB50B1">
        <w:t>e</w:t>
      </w:r>
      <w:r w:rsidRPr="00D26493">
        <w:t>xtinguishers</w:t>
      </w:r>
      <w:bookmarkEnd w:id="50"/>
    </w:p>
    <w:p w14:paraId="538FE91E" w14:textId="1F3B0F87" w:rsidR="00240E37" w:rsidRPr="00FC10C4" w:rsidRDefault="00240E37" w:rsidP="00A140B1">
      <w:pPr>
        <w:rPr>
          <w:i/>
          <w:color w:val="auto"/>
          <w:szCs w:val="22"/>
        </w:rPr>
      </w:pPr>
      <w:r w:rsidRPr="00FC10C4">
        <w:rPr>
          <w:color w:val="auto"/>
          <w:szCs w:val="22"/>
        </w:rPr>
        <w:t xml:space="preserve">The agent 2-BTP has received </w:t>
      </w:r>
      <w:r w:rsidR="00993D68">
        <w:rPr>
          <w:color w:val="auto"/>
          <w:szCs w:val="22"/>
        </w:rPr>
        <w:t>EPA’s</w:t>
      </w:r>
      <w:r w:rsidRPr="00FC10C4">
        <w:rPr>
          <w:color w:val="auto"/>
          <w:szCs w:val="22"/>
        </w:rPr>
        <w:t xml:space="preserve"> SNAP listing, and is in the process of being commercialised for use in civil aviation.  </w:t>
      </w:r>
    </w:p>
    <w:p w14:paraId="21F8D1B5" w14:textId="2247EBA9" w:rsidR="00452299" w:rsidRPr="00EE65F8" w:rsidRDefault="00240E37" w:rsidP="00A140B1">
      <w:pPr>
        <w:rPr>
          <w:szCs w:val="22"/>
        </w:rPr>
      </w:pPr>
      <w:r w:rsidRPr="00FC10C4">
        <w:rPr>
          <w:color w:val="auto"/>
          <w:szCs w:val="22"/>
        </w:rPr>
        <w:t>The European Aviation Safety Agency (EASA) is proceeding with rulemaking task RMT.0560 “Halon: Update of Part-26 to comply with ICAO Standards”.  The proposed rule is setting dates from which in</w:t>
      </w:r>
      <w:r w:rsidR="00993D68">
        <w:rPr>
          <w:color w:val="auto"/>
          <w:szCs w:val="22"/>
        </w:rPr>
        <w:t>-</w:t>
      </w:r>
      <w:r w:rsidRPr="00FC10C4">
        <w:rPr>
          <w:color w:val="auto"/>
          <w:szCs w:val="22"/>
        </w:rPr>
        <w:t>production “large” aircraft (aeroplanes and rotorcraft) shall not use halon as an extinguishing agent in lavatories and portable fire extinguishers.  The final rule should be published by the E</w:t>
      </w:r>
      <w:r w:rsidR="00993D68">
        <w:rPr>
          <w:color w:val="auto"/>
          <w:szCs w:val="22"/>
        </w:rPr>
        <w:t>C</w:t>
      </w:r>
      <w:r w:rsidRPr="00FC10C4">
        <w:rPr>
          <w:color w:val="auto"/>
          <w:szCs w:val="22"/>
        </w:rPr>
        <w:t xml:space="preserve"> prior to the end of 2017.</w:t>
      </w:r>
      <w:r w:rsidR="00452299">
        <w:rPr>
          <w:szCs w:val="22"/>
        </w:rPr>
        <w:t xml:space="preserve"> </w:t>
      </w:r>
    </w:p>
    <w:p w14:paraId="32A1C56A" w14:textId="15FD72CB" w:rsidR="00452299" w:rsidRPr="009743DD" w:rsidRDefault="00452299" w:rsidP="00413E4A">
      <w:pPr>
        <w:pStyle w:val="Heading3"/>
      </w:pPr>
      <w:bookmarkStart w:id="51" w:name="_Toc484164329"/>
      <w:r>
        <w:t>3.3.4.</w:t>
      </w:r>
      <w:r>
        <w:tab/>
      </w:r>
      <w:r w:rsidRPr="009743DD">
        <w:t xml:space="preserve">Cargo </w:t>
      </w:r>
      <w:r w:rsidR="00FB50B1">
        <w:t>c</w:t>
      </w:r>
      <w:r w:rsidRPr="009743DD">
        <w:t>ompartments</w:t>
      </w:r>
      <w:bookmarkEnd w:id="51"/>
    </w:p>
    <w:p w14:paraId="031F3406" w14:textId="589D595A" w:rsidR="00452299" w:rsidRPr="009A35B0" w:rsidRDefault="00452299" w:rsidP="00A140B1">
      <w:pPr>
        <w:rPr>
          <w:rStyle w:val="Heading1Char2"/>
          <w:b w:val="0"/>
          <w:sz w:val="22"/>
          <w:szCs w:val="22"/>
        </w:rPr>
      </w:pPr>
      <w:r>
        <w:rPr>
          <w:szCs w:val="22"/>
        </w:rPr>
        <w:t>The current EU requirement for use of halon alternatives in cargo bays of new designs</w:t>
      </w:r>
      <w:r w:rsidR="00240E37">
        <w:rPr>
          <w:szCs w:val="22"/>
        </w:rPr>
        <w:t>,</w:t>
      </w:r>
      <w:r>
        <w:rPr>
          <w:szCs w:val="22"/>
        </w:rPr>
        <w:t xml:space="preserve"> remains </w:t>
      </w:r>
      <w:r w:rsidRPr="009A35B0">
        <w:rPr>
          <w:szCs w:val="22"/>
        </w:rPr>
        <w:t>in 2018 in lieu of the ICAO adopted date of 2024.</w:t>
      </w:r>
      <w:r>
        <w:rPr>
          <w:szCs w:val="22"/>
        </w:rPr>
        <w:t xml:space="preserve">  </w:t>
      </w:r>
      <w:r w:rsidRPr="009A35B0">
        <w:rPr>
          <w:rStyle w:val="Heading1Char2"/>
          <w:b w:val="0"/>
          <w:sz w:val="22"/>
          <w:szCs w:val="22"/>
        </w:rPr>
        <w:t xml:space="preserve">Two companies are working on </w:t>
      </w:r>
      <w:r w:rsidRPr="009A35B0">
        <w:rPr>
          <w:rStyle w:val="Heading1Char2"/>
          <w:b w:val="0"/>
          <w:sz w:val="22"/>
          <w:szCs w:val="22"/>
        </w:rPr>
        <w:lastRenderedPageBreak/>
        <w:t xml:space="preserve">halon-free cargo compartment fire protection systems, one using water mist </w:t>
      </w:r>
      <w:r w:rsidR="00240E37">
        <w:rPr>
          <w:rStyle w:val="Heading1Char2"/>
          <w:b w:val="0"/>
          <w:sz w:val="22"/>
          <w:szCs w:val="22"/>
        </w:rPr>
        <w:t>and</w:t>
      </w:r>
      <w:r w:rsidRPr="009A35B0">
        <w:rPr>
          <w:rStyle w:val="Heading1Char2"/>
          <w:b w:val="0"/>
          <w:sz w:val="22"/>
          <w:szCs w:val="22"/>
        </w:rPr>
        <w:t xml:space="preserve"> inert gas, the other using inert gas alone.</w:t>
      </w:r>
      <w:r>
        <w:rPr>
          <w:rStyle w:val="Heading1Char2"/>
          <w:b w:val="0"/>
          <w:sz w:val="22"/>
          <w:szCs w:val="22"/>
        </w:rPr>
        <w:t xml:space="preserve">  </w:t>
      </w:r>
    </w:p>
    <w:p w14:paraId="3EF22DB6" w14:textId="25492144" w:rsidR="00452299" w:rsidRPr="00B46C50" w:rsidRDefault="00452299" w:rsidP="00413E4A">
      <w:pPr>
        <w:pStyle w:val="Heading2"/>
      </w:pPr>
      <w:bookmarkStart w:id="52" w:name="_Toc484164330"/>
      <w:r>
        <w:t>3.4.</w:t>
      </w:r>
      <w:r>
        <w:tab/>
      </w:r>
      <w:r w:rsidRPr="00B46C50">
        <w:t xml:space="preserve">Global </w:t>
      </w:r>
      <w:r w:rsidR="00FB50B1">
        <w:t>s</w:t>
      </w:r>
      <w:r w:rsidRPr="00B46C50">
        <w:t xml:space="preserve">upplies and </w:t>
      </w:r>
      <w:r w:rsidR="00FB50B1">
        <w:t>b</w:t>
      </w:r>
      <w:r w:rsidRPr="00B46C50">
        <w:t>anking</w:t>
      </w:r>
      <w:bookmarkEnd w:id="52"/>
      <w:r w:rsidRPr="00B46C50">
        <w:t xml:space="preserve"> </w:t>
      </w:r>
    </w:p>
    <w:p w14:paraId="6BD078CE" w14:textId="77777777" w:rsidR="00452299" w:rsidRDefault="00452299" w:rsidP="00A140B1">
      <w:pPr>
        <w:pStyle w:val="NoSpacing"/>
        <w:rPr>
          <w:sz w:val="22"/>
          <w:szCs w:val="22"/>
        </w:rPr>
      </w:pPr>
      <w:r w:rsidRPr="00610617">
        <w:rPr>
          <w:sz w:val="22"/>
          <w:szCs w:val="22"/>
        </w:rPr>
        <w:t>The demand for</w:t>
      </w:r>
      <w:r>
        <w:rPr>
          <w:sz w:val="22"/>
          <w:szCs w:val="22"/>
        </w:rPr>
        <w:t xml:space="preserve"> h</w:t>
      </w:r>
      <w:r w:rsidRPr="00610617">
        <w:rPr>
          <w:sz w:val="22"/>
          <w:szCs w:val="22"/>
        </w:rPr>
        <w:t>alon 1211 has decreased over the past few years.  The current usage demand is being satisfied by decommissioning and reclamation.  Some banks are no longer adding additio</w:t>
      </w:r>
      <w:r>
        <w:rPr>
          <w:sz w:val="22"/>
          <w:szCs w:val="22"/>
        </w:rPr>
        <w:t xml:space="preserve">nal halon 1211 to their banking </w:t>
      </w:r>
      <w:r w:rsidRPr="00610617">
        <w:rPr>
          <w:sz w:val="22"/>
          <w:szCs w:val="22"/>
        </w:rPr>
        <w:t>inventory.</w:t>
      </w:r>
    </w:p>
    <w:p w14:paraId="37B760EF" w14:textId="77777777" w:rsidR="00452299" w:rsidRDefault="00452299" w:rsidP="00A140B1">
      <w:pPr>
        <w:pStyle w:val="NoSpacing"/>
        <w:rPr>
          <w:sz w:val="22"/>
          <w:szCs w:val="22"/>
        </w:rPr>
      </w:pPr>
    </w:p>
    <w:p w14:paraId="3C7ABAE9" w14:textId="2D307405" w:rsidR="00240E37" w:rsidRPr="00FC10C4" w:rsidRDefault="00452299" w:rsidP="00A140B1">
      <w:pPr>
        <w:pStyle w:val="NoSpacing"/>
        <w:rPr>
          <w:sz w:val="22"/>
          <w:szCs w:val="22"/>
        </w:rPr>
      </w:pPr>
      <w:r w:rsidRPr="00610617">
        <w:rPr>
          <w:sz w:val="22"/>
          <w:szCs w:val="22"/>
        </w:rPr>
        <w:t xml:space="preserve">The current demand for </w:t>
      </w:r>
      <w:r>
        <w:rPr>
          <w:sz w:val="22"/>
          <w:szCs w:val="22"/>
        </w:rPr>
        <w:t>h</w:t>
      </w:r>
      <w:r w:rsidRPr="00610617">
        <w:rPr>
          <w:sz w:val="22"/>
          <w:szCs w:val="22"/>
        </w:rPr>
        <w:t>alon 1301 usage and banking is being satisfied to date through decommissioni</w:t>
      </w:r>
      <w:r w:rsidR="00240E37">
        <w:rPr>
          <w:sz w:val="22"/>
          <w:szCs w:val="22"/>
        </w:rPr>
        <w:t>ng of systems and reclamation.</w:t>
      </w:r>
      <w:r w:rsidRPr="00610617">
        <w:rPr>
          <w:sz w:val="22"/>
          <w:szCs w:val="22"/>
        </w:rPr>
        <w:t xml:space="preserve"> Additional sour</w:t>
      </w:r>
      <w:r>
        <w:rPr>
          <w:sz w:val="22"/>
          <w:szCs w:val="22"/>
        </w:rPr>
        <w:t xml:space="preserve">cing of halon 1301 is becoming </w:t>
      </w:r>
      <w:r w:rsidRPr="00610617">
        <w:rPr>
          <w:sz w:val="22"/>
          <w:szCs w:val="22"/>
        </w:rPr>
        <w:t xml:space="preserve">challenging </w:t>
      </w:r>
      <w:r>
        <w:rPr>
          <w:sz w:val="22"/>
          <w:szCs w:val="22"/>
        </w:rPr>
        <w:t>because of a</w:t>
      </w:r>
      <w:r w:rsidRPr="00610617">
        <w:rPr>
          <w:sz w:val="22"/>
          <w:szCs w:val="22"/>
        </w:rPr>
        <w:t xml:space="preserve"> lack of knowledge of current </w:t>
      </w:r>
      <w:r>
        <w:rPr>
          <w:sz w:val="22"/>
          <w:szCs w:val="22"/>
        </w:rPr>
        <w:t>h</w:t>
      </w:r>
      <w:r w:rsidRPr="00610617">
        <w:rPr>
          <w:sz w:val="22"/>
          <w:szCs w:val="22"/>
        </w:rPr>
        <w:t>alon holders</w:t>
      </w:r>
      <w:r>
        <w:rPr>
          <w:sz w:val="22"/>
          <w:szCs w:val="22"/>
        </w:rPr>
        <w:t>,</w:t>
      </w:r>
      <w:r w:rsidRPr="00610617">
        <w:rPr>
          <w:sz w:val="22"/>
          <w:szCs w:val="22"/>
        </w:rPr>
        <w:t xml:space="preserve"> the critical need for this agent, individual country regulations regarding exportation (for example, some coun</w:t>
      </w:r>
      <w:r w:rsidR="00240E37">
        <w:rPr>
          <w:sz w:val="22"/>
          <w:szCs w:val="22"/>
        </w:rPr>
        <w:t>tries regard its importation sh</w:t>
      </w:r>
      <w:r w:rsidRPr="00610617">
        <w:rPr>
          <w:sz w:val="22"/>
          <w:szCs w:val="22"/>
        </w:rPr>
        <w:t xml:space="preserve">uld be </w:t>
      </w:r>
      <w:r>
        <w:rPr>
          <w:sz w:val="22"/>
          <w:szCs w:val="22"/>
        </w:rPr>
        <w:t>carried out</w:t>
      </w:r>
      <w:r w:rsidRPr="00610617">
        <w:rPr>
          <w:sz w:val="22"/>
          <w:szCs w:val="22"/>
        </w:rPr>
        <w:t xml:space="preserve"> under </w:t>
      </w:r>
      <w:r>
        <w:rPr>
          <w:sz w:val="22"/>
          <w:szCs w:val="22"/>
        </w:rPr>
        <w:t xml:space="preserve">the </w:t>
      </w:r>
      <w:r w:rsidRPr="00610617">
        <w:rPr>
          <w:sz w:val="22"/>
          <w:szCs w:val="22"/>
        </w:rPr>
        <w:t xml:space="preserve">Basel </w:t>
      </w:r>
      <w:r>
        <w:rPr>
          <w:sz w:val="22"/>
          <w:szCs w:val="22"/>
        </w:rPr>
        <w:t xml:space="preserve">Convention </w:t>
      </w:r>
      <w:r w:rsidRPr="00610617">
        <w:rPr>
          <w:sz w:val="22"/>
          <w:szCs w:val="22"/>
        </w:rPr>
        <w:t>whereas others do</w:t>
      </w:r>
      <w:r>
        <w:rPr>
          <w:sz w:val="22"/>
          <w:szCs w:val="22"/>
        </w:rPr>
        <w:t xml:space="preserve"> </w:t>
      </w:r>
      <w:r w:rsidRPr="00610617">
        <w:rPr>
          <w:sz w:val="22"/>
          <w:szCs w:val="22"/>
        </w:rPr>
        <w:t>n</w:t>
      </w:r>
      <w:r>
        <w:rPr>
          <w:sz w:val="22"/>
          <w:szCs w:val="22"/>
        </w:rPr>
        <w:t>o</w:t>
      </w:r>
      <w:r w:rsidRPr="00610617">
        <w:rPr>
          <w:sz w:val="22"/>
          <w:szCs w:val="22"/>
        </w:rPr>
        <w:t>t), and the extensive documentation requirements for importation</w:t>
      </w:r>
      <w:r>
        <w:rPr>
          <w:sz w:val="22"/>
          <w:szCs w:val="22"/>
        </w:rPr>
        <w:t>,</w:t>
      </w:r>
      <w:r w:rsidRPr="00610617">
        <w:rPr>
          <w:sz w:val="22"/>
          <w:szCs w:val="22"/>
        </w:rPr>
        <w:t xml:space="preserve"> </w:t>
      </w:r>
      <w:r>
        <w:rPr>
          <w:sz w:val="22"/>
          <w:szCs w:val="22"/>
        </w:rPr>
        <w:t xml:space="preserve">which </w:t>
      </w:r>
      <w:r w:rsidRPr="00610617">
        <w:rPr>
          <w:sz w:val="22"/>
          <w:szCs w:val="22"/>
        </w:rPr>
        <w:t>can be difficult to navigate and burdensome</w:t>
      </w:r>
      <w:r>
        <w:rPr>
          <w:sz w:val="22"/>
          <w:szCs w:val="22"/>
        </w:rPr>
        <w:t>.</w:t>
      </w:r>
      <w:r w:rsidR="00240E37">
        <w:rPr>
          <w:sz w:val="22"/>
          <w:szCs w:val="22"/>
        </w:rPr>
        <w:t xml:space="preserve"> </w:t>
      </w:r>
      <w:r w:rsidR="00240E37" w:rsidRPr="00FC10C4">
        <w:rPr>
          <w:sz w:val="22"/>
          <w:szCs w:val="22"/>
        </w:rPr>
        <w:t>The UNE</w:t>
      </w:r>
      <w:r w:rsidR="00FC14E4">
        <w:rPr>
          <w:sz w:val="22"/>
          <w:szCs w:val="22"/>
        </w:rPr>
        <w:t>P</w:t>
      </w:r>
      <w:r w:rsidR="00240E37" w:rsidRPr="00FC10C4">
        <w:rPr>
          <w:sz w:val="22"/>
          <w:szCs w:val="22"/>
        </w:rPr>
        <w:t xml:space="preserve"> Halon Trader, an e-market place, could be restarted to facilitate halon movement.</w:t>
      </w:r>
    </w:p>
    <w:p w14:paraId="77155FFA" w14:textId="77777777" w:rsidR="00452299" w:rsidRPr="00610617" w:rsidRDefault="00452299" w:rsidP="00A140B1">
      <w:pPr>
        <w:pStyle w:val="NoSpacing"/>
        <w:rPr>
          <w:sz w:val="22"/>
          <w:szCs w:val="22"/>
        </w:rPr>
      </w:pPr>
    </w:p>
    <w:p w14:paraId="0A0FF2FC" w14:textId="44E5A579" w:rsidR="00452299" w:rsidRDefault="00240E37" w:rsidP="001348D5">
      <w:pPr>
        <w:rPr>
          <w:rFonts w:ascii="Calibri" w:hAnsi="Calibri"/>
          <w:sz w:val="32"/>
          <w:szCs w:val="32"/>
        </w:rPr>
      </w:pPr>
      <w:r w:rsidRPr="00FC10C4">
        <w:rPr>
          <w:szCs w:val="22"/>
        </w:rPr>
        <w:t xml:space="preserve">Halon Bank owners need to continue to monitor, maintain, and carefully manage their stocks to prevent leakage in order to sustain supply.  Depending on what is being prescribed by the end user, halon 1211, halon 1301, halon 2402 must meet the relevant ASTM, ISO, GOST or military specifications.  For the quality of the gas to remain stable during banking and to ensure its efficacy for fire protection purposes, the halon needs to be filled into </w:t>
      </w:r>
      <w:r w:rsidR="001348D5" w:rsidRPr="001348D5">
        <w:rPr>
          <w:szCs w:val="22"/>
        </w:rPr>
        <w:t xml:space="preserve">containers that are </w:t>
      </w:r>
      <w:r w:rsidRPr="00FC10C4">
        <w:rPr>
          <w:szCs w:val="22"/>
        </w:rPr>
        <w:t xml:space="preserve">fit for purpose, clean, dry and </w:t>
      </w:r>
      <w:r w:rsidR="001348D5">
        <w:rPr>
          <w:szCs w:val="22"/>
        </w:rPr>
        <w:t>have been</w:t>
      </w:r>
      <w:r w:rsidR="001348D5" w:rsidRPr="00FC10C4">
        <w:rPr>
          <w:szCs w:val="22"/>
        </w:rPr>
        <w:t xml:space="preserve"> </w:t>
      </w:r>
      <w:r w:rsidRPr="00FC10C4">
        <w:rPr>
          <w:szCs w:val="22"/>
        </w:rPr>
        <w:t>tested.  Testing should be conducted as per applicable purity standards after the halon is filled into the storage container to assure the quality of the banked gas.</w:t>
      </w:r>
    </w:p>
    <w:p w14:paraId="329847BC" w14:textId="3C6EA317" w:rsidR="00452299" w:rsidRPr="00B46C50" w:rsidRDefault="00452299" w:rsidP="00413E4A">
      <w:pPr>
        <w:pStyle w:val="Heading2"/>
      </w:pPr>
      <w:bookmarkStart w:id="53" w:name="_Toc484164331"/>
      <w:r>
        <w:t>3.5.</w:t>
      </w:r>
      <w:r>
        <w:tab/>
      </w:r>
      <w:r w:rsidRPr="00B46C50">
        <w:t xml:space="preserve">Regional </w:t>
      </w:r>
      <w:r w:rsidR="00FB50B1">
        <w:t>u</w:t>
      </w:r>
      <w:r w:rsidRPr="00B46C50">
        <w:t>pdates</w:t>
      </w:r>
      <w:bookmarkEnd w:id="53"/>
    </w:p>
    <w:p w14:paraId="2CF5131D" w14:textId="16581684" w:rsidR="00452299" w:rsidRPr="00B46C50" w:rsidRDefault="00452299" w:rsidP="00413E4A">
      <w:pPr>
        <w:pStyle w:val="Heading3"/>
      </w:pPr>
      <w:bookmarkStart w:id="54" w:name="_Toc484164332"/>
      <w:r>
        <w:t>3.5.1.</w:t>
      </w:r>
      <w:r>
        <w:tab/>
      </w:r>
      <w:r w:rsidRPr="00B46C50">
        <w:t xml:space="preserve">Russian Federation </w:t>
      </w:r>
      <w:r w:rsidR="00FB50B1">
        <w:t>u</w:t>
      </w:r>
      <w:r w:rsidRPr="00B46C50">
        <w:t>pdate</w:t>
      </w:r>
      <w:bookmarkEnd w:id="54"/>
    </w:p>
    <w:p w14:paraId="50EB1AB9" w14:textId="77777777" w:rsidR="00452299" w:rsidRDefault="00452299" w:rsidP="00A140B1">
      <w:pPr>
        <w:rPr>
          <w:szCs w:val="22"/>
        </w:rPr>
      </w:pPr>
      <w:r w:rsidRPr="00EE65F8">
        <w:rPr>
          <w:szCs w:val="22"/>
        </w:rPr>
        <w:t xml:space="preserve">The market continues to be </w:t>
      </w:r>
      <w:r>
        <w:rPr>
          <w:szCs w:val="22"/>
        </w:rPr>
        <w:t>in</w:t>
      </w:r>
      <w:r w:rsidRPr="00EE65F8">
        <w:rPr>
          <w:szCs w:val="22"/>
        </w:rPr>
        <w:t xml:space="preserve"> balance with no surplus available for outside markets.  More than 25 tonnes (t) / year of halon 2402 </w:t>
      </w:r>
      <w:proofErr w:type="gramStart"/>
      <w:r w:rsidRPr="00EE65F8">
        <w:rPr>
          <w:szCs w:val="22"/>
        </w:rPr>
        <w:t>was</w:t>
      </w:r>
      <w:proofErr w:type="gramEnd"/>
      <w:r w:rsidRPr="00EE65F8">
        <w:rPr>
          <w:szCs w:val="22"/>
        </w:rPr>
        <w:t xml:space="preserve"> available as a free agent ready for purchase in the period from 2013 to 201</w:t>
      </w:r>
      <w:r w:rsidRPr="00544821">
        <w:rPr>
          <w:szCs w:val="22"/>
          <w:lang w:val="en-US"/>
        </w:rPr>
        <w:t>6</w:t>
      </w:r>
      <w:r w:rsidRPr="00EE65F8">
        <w:rPr>
          <w:szCs w:val="22"/>
        </w:rPr>
        <w:t>. Table 1 provides information on the Russian installed base, recycling, and emissions from 2007 to 201</w:t>
      </w:r>
      <w:r w:rsidRPr="00544821">
        <w:rPr>
          <w:szCs w:val="22"/>
          <w:lang w:val="en-US"/>
        </w:rPr>
        <w:t>6</w:t>
      </w:r>
      <w:r w:rsidRPr="00EE65F8">
        <w:rPr>
          <w:szCs w:val="22"/>
        </w:rPr>
        <w:t>.</w:t>
      </w:r>
    </w:p>
    <w:p w14:paraId="7FBACB47" w14:textId="2334FC27" w:rsidR="00452299" w:rsidRPr="00335D5A" w:rsidRDefault="00452299" w:rsidP="00A140B1">
      <w:pPr>
        <w:tabs>
          <w:tab w:val="left" w:pos="7017"/>
        </w:tabs>
        <w:rPr>
          <w:b/>
          <w:i/>
          <w:sz w:val="24"/>
          <w:szCs w:val="24"/>
        </w:rPr>
      </w:pPr>
      <w:proofErr w:type="gramStart"/>
      <w:r w:rsidRPr="00335D5A">
        <w:rPr>
          <w:b/>
          <w:i/>
          <w:sz w:val="24"/>
          <w:szCs w:val="24"/>
        </w:rPr>
        <w:t xml:space="preserve">Table </w:t>
      </w:r>
      <w:r w:rsidR="00335D5A">
        <w:rPr>
          <w:b/>
          <w:i/>
          <w:sz w:val="24"/>
          <w:szCs w:val="24"/>
        </w:rPr>
        <w:t>3.</w:t>
      </w:r>
      <w:r w:rsidRPr="00335D5A">
        <w:rPr>
          <w:b/>
          <w:i/>
          <w:sz w:val="24"/>
          <w:szCs w:val="24"/>
        </w:rPr>
        <w:t>1</w:t>
      </w:r>
      <w:r w:rsidR="00335D5A">
        <w:rPr>
          <w:b/>
          <w:i/>
          <w:sz w:val="24"/>
          <w:szCs w:val="24"/>
        </w:rPr>
        <w:t>.</w:t>
      </w:r>
      <w:proofErr w:type="gramEnd"/>
      <w:r w:rsidRPr="00335D5A">
        <w:rPr>
          <w:b/>
          <w:i/>
          <w:sz w:val="24"/>
          <w:szCs w:val="24"/>
        </w:rPr>
        <w:t xml:space="preserve"> Changes in Russian </w:t>
      </w:r>
      <w:r w:rsidR="00FB50B1">
        <w:rPr>
          <w:b/>
          <w:i/>
          <w:sz w:val="24"/>
          <w:szCs w:val="24"/>
        </w:rPr>
        <w:t>b</w:t>
      </w:r>
      <w:r w:rsidRPr="00335D5A">
        <w:rPr>
          <w:b/>
          <w:i/>
          <w:sz w:val="24"/>
          <w:szCs w:val="24"/>
        </w:rPr>
        <w:t xml:space="preserve">ank of </w:t>
      </w:r>
      <w:r w:rsidR="00FB50B1">
        <w:rPr>
          <w:b/>
          <w:i/>
          <w:sz w:val="24"/>
          <w:szCs w:val="24"/>
        </w:rPr>
        <w:t>h</w:t>
      </w:r>
      <w:r w:rsidRPr="00335D5A">
        <w:rPr>
          <w:b/>
          <w:i/>
          <w:sz w:val="24"/>
          <w:szCs w:val="24"/>
        </w:rPr>
        <w:t>alon 2402 (tonnes, t)</w:t>
      </w:r>
    </w:p>
    <w:tbl>
      <w:tblPr>
        <w:tblW w:w="8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25"/>
        <w:gridCol w:w="803"/>
        <w:gridCol w:w="804"/>
        <w:gridCol w:w="804"/>
        <w:gridCol w:w="804"/>
        <w:gridCol w:w="804"/>
        <w:gridCol w:w="804"/>
        <w:gridCol w:w="804"/>
        <w:gridCol w:w="804"/>
        <w:gridCol w:w="804"/>
      </w:tblGrid>
      <w:tr w:rsidR="00452299" w:rsidRPr="006B1E31" w14:paraId="1830CB78" w14:textId="77777777" w:rsidTr="00F23856">
        <w:trPr>
          <w:jc w:val="center"/>
        </w:trPr>
        <w:tc>
          <w:tcPr>
            <w:tcW w:w="1525" w:type="dxa"/>
          </w:tcPr>
          <w:p w14:paraId="1AC8CADE" w14:textId="77777777" w:rsidR="00452299" w:rsidRPr="006B1E31" w:rsidRDefault="00452299" w:rsidP="00452299">
            <w:pPr>
              <w:pStyle w:val="TableHeadings"/>
              <w:rPr>
                <w:rFonts w:ascii="Times New Roman"/>
                <w:sz w:val="20"/>
                <w:szCs w:val="20"/>
              </w:rPr>
            </w:pPr>
          </w:p>
        </w:tc>
        <w:tc>
          <w:tcPr>
            <w:tcW w:w="803" w:type="dxa"/>
          </w:tcPr>
          <w:p w14:paraId="241B66F0" w14:textId="77777777" w:rsidR="00452299" w:rsidRPr="006B1E31" w:rsidRDefault="00452299" w:rsidP="00452299">
            <w:pPr>
              <w:pStyle w:val="TableHeadings"/>
              <w:rPr>
                <w:rFonts w:ascii="Times New Roman"/>
                <w:sz w:val="20"/>
                <w:szCs w:val="20"/>
              </w:rPr>
            </w:pPr>
            <w:r w:rsidRPr="006B1E31">
              <w:rPr>
                <w:rFonts w:ascii="Times New Roman"/>
                <w:sz w:val="20"/>
                <w:szCs w:val="20"/>
              </w:rPr>
              <w:t>2007</w:t>
            </w:r>
          </w:p>
        </w:tc>
        <w:tc>
          <w:tcPr>
            <w:tcW w:w="804" w:type="dxa"/>
          </w:tcPr>
          <w:p w14:paraId="4A48D92F" w14:textId="77777777" w:rsidR="00452299" w:rsidRPr="006B1E31" w:rsidRDefault="00452299" w:rsidP="00452299">
            <w:pPr>
              <w:pStyle w:val="TableHeadings"/>
              <w:rPr>
                <w:rFonts w:ascii="Times New Roman"/>
                <w:sz w:val="20"/>
                <w:szCs w:val="20"/>
              </w:rPr>
            </w:pPr>
            <w:r w:rsidRPr="006B1E31">
              <w:rPr>
                <w:rFonts w:ascii="Times New Roman"/>
                <w:sz w:val="20"/>
                <w:szCs w:val="20"/>
              </w:rPr>
              <w:t>2009</w:t>
            </w:r>
          </w:p>
        </w:tc>
        <w:tc>
          <w:tcPr>
            <w:tcW w:w="804" w:type="dxa"/>
          </w:tcPr>
          <w:p w14:paraId="67C0AB4D" w14:textId="77777777" w:rsidR="00452299" w:rsidRPr="006B1E31" w:rsidRDefault="00452299" w:rsidP="00452299">
            <w:pPr>
              <w:pStyle w:val="TableHeadings"/>
              <w:rPr>
                <w:rFonts w:ascii="Times New Roman"/>
                <w:sz w:val="20"/>
                <w:szCs w:val="20"/>
              </w:rPr>
            </w:pPr>
            <w:r w:rsidRPr="006B1E31">
              <w:rPr>
                <w:rFonts w:ascii="Times New Roman"/>
                <w:sz w:val="20"/>
                <w:szCs w:val="20"/>
              </w:rPr>
              <w:t>2010</w:t>
            </w:r>
          </w:p>
        </w:tc>
        <w:tc>
          <w:tcPr>
            <w:tcW w:w="804" w:type="dxa"/>
          </w:tcPr>
          <w:p w14:paraId="657890E5" w14:textId="77777777" w:rsidR="00452299" w:rsidRPr="006B1E31" w:rsidRDefault="00452299" w:rsidP="00452299">
            <w:pPr>
              <w:pStyle w:val="TableHeadings"/>
              <w:rPr>
                <w:rFonts w:ascii="Times New Roman"/>
                <w:sz w:val="20"/>
                <w:szCs w:val="20"/>
              </w:rPr>
            </w:pPr>
            <w:r w:rsidRPr="006B1E31">
              <w:rPr>
                <w:rFonts w:ascii="Times New Roman"/>
                <w:sz w:val="20"/>
                <w:szCs w:val="20"/>
              </w:rPr>
              <w:t>2011</w:t>
            </w:r>
          </w:p>
        </w:tc>
        <w:tc>
          <w:tcPr>
            <w:tcW w:w="804" w:type="dxa"/>
          </w:tcPr>
          <w:p w14:paraId="5D5B9EEB" w14:textId="77777777" w:rsidR="00452299" w:rsidRPr="006B1E31" w:rsidRDefault="00452299" w:rsidP="00452299">
            <w:pPr>
              <w:pStyle w:val="TableHeadings"/>
              <w:rPr>
                <w:rFonts w:ascii="Times New Roman"/>
                <w:sz w:val="20"/>
                <w:szCs w:val="20"/>
              </w:rPr>
            </w:pPr>
            <w:r w:rsidRPr="006B1E31">
              <w:rPr>
                <w:rFonts w:ascii="Times New Roman"/>
                <w:sz w:val="20"/>
                <w:szCs w:val="20"/>
              </w:rPr>
              <w:t>2012</w:t>
            </w:r>
          </w:p>
        </w:tc>
        <w:tc>
          <w:tcPr>
            <w:tcW w:w="804" w:type="dxa"/>
          </w:tcPr>
          <w:p w14:paraId="1EEC95A2" w14:textId="77777777" w:rsidR="00452299" w:rsidRPr="006B1E31" w:rsidRDefault="00452299" w:rsidP="00452299">
            <w:pPr>
              <w:pStyle w:val="TableHeadings"/>
              <w:rPr>
                <w:rFonts w:ascii="Times New Roman"/>
                <w:sz w:val="20"/>
                <w:szCs w:val="20"/>
              </w:rPr>
            </w:pPr>
            <w:r w:rsidRPr="006B1E31">
              <w:rPr>
                <w:rFonts w:ascii="Times New Roman"/>
                <w:sz w:val="20"/>
                <w:szCs w:val="20"/>
              </w:rPr>
              <w:t>20</w:t>
            </w:r>
            <w:r w:rsidRPr="006B1E31">
              <w:rPr>
                <w:rFonts w:ascii="Times New Roman"/>
                <w:sz w:val="20"/>
                <w:szCs w:val="20"/>
                <w:lang w:val="ru-RU"/>
              </w:rPr>
              <w:t>1</w:t>
            </w:r>
            <w:r w:rsidRPr="006B1E31">
              <w:rPr>
                <w:rFonts w:ascii="Times New Roman"/>
                <w:sz w:val="20"/>
                <w:szCs w:val="20"/>
              </w:rPr>
              <w:t>3</w:t>
            </w:r>
          </w:p>
        </w:tc>
        <w:tc>
          <w:tcPr>
            <w:tcW w:w="804" w:type="dxa"/>
          </w:tcPr>
          <w:p w14:paraId="75352FC8" w14:textId="77777777" w:rsidR="00452299" w:rsidRPr="006B1E31" w:rsidRDefault="00452299" w:rsidP="00452299">
            <w:pPr>
              <w:pStyle w:val="TableHeadings"/>
              <w:rPr>
                <w:rFonts w:ascii="Times New Roman"/>
                <w:sz w:val="20"/>
                <w:szCs w:val="20"/>
              </w:rPr>
            </w:pPr>
            <w:r w:rsidRPr="006B1E31">
              <w:rPr>
                <w:rFonts w:ascii="Times New Roman"/>
                <w:sz w:val="20"/>
                <w:szCs w:val="20"/>
              </w:rPr>
              <w:t>2014</w:t>
            </w:r>
          </w:p>
        </w:tc>
        <w:tc>
          <w:tcPr>
            <w:tcW w:w="804" w:type="dxa"/>
          </w:tcPr>
          <w:p w14:paraId="1476F3E2" w14:textId="77777777" w:rsidR="00452299" w:rsidRPr="006B1E31" w:rsidRDefault="00452299" w:rsidP="00452299">
            <w:pPr>
              <w:pStyle w:val="TableHeadings"/>
              <w:rPr>
                <w:rFonts w:ascii="Times New Roman"/>
                <w:sz w:val="20"/>
                <w:szCs w:val="20"/>
                <w:lang w:val="ru-RU"/>
              </w:rPr>
            </w:pPr>
            <w:r w:rsidRPr="006B1E31">
              <w:rPr>
                <w:rFonts w:ascii="Times New Roman"/>
                <w:sz w:val="20"/>
                <w:szCs w:val="20"/>
              </w:rPr>
              <w:t>2015</w:t>
            </w:r>
          </w:p>
        </w:tc>
        <w:tc>
          <w:tcPr>
            <w:tcW w:w="804" w:type="dxa"/>
          </w:tcPr>
          <w:p w14:paraId="3276F20E" w14:textId="77777777" w:rsidR="00452299" w:rsidRPr="006B1E31" w:rsidRDefault="00452299" w:rsidP="00452299">
            <w:pPr>
              <w:pStyle w:val="TableHeadings"/>
              <w:rPr>
                <w:rFonts w:ascii="Times New Roman"/>
                <w:sz w:val="20"/>
                <w:szCs w:val="20"/>
                <w:lang w:val="ru-RU"/>
              </w:rPr>
            </w:pPr>
            <w:r w:rsidRPr="006B1E31">
              <w:rPr>
                <w:rFonts w:ascii="Times New Roman"/>
                <w:sz w:val="20"/>
                <w:szCs w:val="20"/>
              </w:rPr>
              <w:t>201</w:t>
            </w:r>
            <w:r w:rsidRPr="006B1E31">
              <w:rPr>
                <w:rFonts w:ascii="Times New Roman"/>
                <w:sz w:val="20"/>
                <w:szCs w:val="20"/>
                <w:lang w:val="ru-RU"/>
              </w:rPr>
              <w:t>6</w:t>
            </w:r>
            <w:r w:rsidRPr="006B1E31">
              <w:rPr>
                <w:rFonts w:ascii="Times New Roman"/>
                <w:sz w:val="20"/>
                <w:szCs w:val="20"/>
                <w:vertAlign w:val="superscript"/>
                <w:lang w:val="ru-RU"/>
              </w:rPr>
              <w:t>1</w:t>
            </w:r>
          </w:p>
        </w:tc>
      </w:tr>
      <w:tr w:rsidR="00452299" w:rsidRPr="006B1E31" w14:paraId="6151F29A" w14:textId="77777777" w:rsidTr="00F23856">
        <w:trPr>
          <w:jc w:val="center"/>
        </w:trPr>
        <w:tc>
          <w:tcPr>
            <w:tcW w:w="1525" w:type="dxa"/>
            <w:vAlign w:val="center"/>
          </w:tcPr>
          <w:p w14:paraId="22FA7FE8" w14:textId="77777777" w:rsidR="00452299" w:rsidRPr="006B1E31" w:rsidRDefault="00452299" w:rsidP="00452299">
            <w:pPr>
              <w:pStyle w:val="TableText1"/>
              <w:rPr>
                <w:sz w:val="20"/>
                <w:szCs w:val="20"/>
              </w:rPr>
            </w:pPr>
            <w:r w:rsidRPr="006B1E31">
              <w:rPr>
                <w:sz w:val="20"/>
                <w:szCs w:val="20"/>
              </w:rPr>
              <w:t>Recycled amount, t</w:t>
            </w:r>
          </w:p>
        </w:tc>
        <w:tc>
          <w:tcPr>
            <w:tcW w:w="803" w:type="dxa"/>
            <w:vAlign w:val="center"/>
          </w:tcPr>
          <w:p w14:paraId="7F099B6E" w14:textId="77777777" w:rsidR="00452299" w:rsidRPr="006B1E31" w:rsidRDefault="00452299" w:rsidP="00452299">
            <w:pPr>
              <w:pStyle w:val="TableText1"/>
              <w:tabs>
                <w:tab w:val="decimal" w:pos="417"/>
              </w:tabs>
              <w:rPr>
                <w:sz w:val="20"/>
                <w:szCs w:val="20"/>
              </w:rPr>
            </w:pPr>
            <w:r w:rsidRPr="006B1E31">
              <w:rPr>
                <w:sz w:val="20"/>
                <w:szCs w:val="20"/>
              </w:rPr>
              <w:t>80.0</w:t>
            </w:r>
          </w:p>
        </w:tc>
        <w:tc>
          <w:tcPr>
            <w:tcW w:w="804" w:type="dxa"/>
            <w:vAlign w:val="center"/>
          </w:tcPr>
          <w:p w14:paraId="2E9CB4FC" w14:textId="77777777" w:rsidR="00452299" w:rsidRPr="006B1E31" w:rsidRDefault="00452299" w:rsidP="00452299">
            <w:pPr>
              <w:pStyle w:val="TableText1"/>
              <w:tabs>
                <w:tab w:val="decimal" w:pos="417"/>
              </w:tabs>
              <w:rPr>
                <w:sz w:val="20"/>
                <w:szCs w:val="20"/>
              </w:rPr>
            </w:pPr>
            <w:r w:rsidRPr="006B1E31">
              <w:rPr>
                <w:sz w:val="20"/>
                <w:szCs w:val="20"/>
              </w:rPr>
              <w:t>120.0</w:t>
            </w:r>
          </w:p>
        </w:tc>
        <w:tc>
          <w:tcPr>
            <w:tcW w:w="804" w:type="dxa"/>
            <w:vAlign w:val="center"/>
          </w:tcPr>
          <w:p w14:paraId="4CD80249" w14:textId="77777777" w:rsidR="00452299" w:rsidRPr="006B1E31" w:rsidRDefault="00452299" w:rsidP="00452299">
            <w:pPr>
              <w:pStyle w:val="TableText1"/>
              <w:tabs>
                <w:tab w:val="decimal" w:pos="417"/>
              </w:tabs>
              <w:rPr>
                <w:sz w:val="20"/>
                <w:szCs w:val="20"/>
              </w:rPr>
            </w:pPr>
            <w:r w:rsidRPr="006B1E31">
              <w:rPr>
                <w:sz w:val="20"/>
                <w:szCs w:val="20"/>
              </w:rPr>
              <w:t>21.0</w:t>
            </w:r>
          </w:p>
        </w:tc>
        <w:tc>
          <w:tcPr>
            <w:tcW w:w="804" w:type="dxa"/>
            <w:vAlign w:val="center"/>
          </w:tcPr>
          <w:p w14:paraId="15DC8316" w14:textId="77777777" w:rsidR="00452299" w:rsidRPr="006B1E31" w:rsidRDefault="00452299" w:rsidP="00452299">
            <w:pPr>
              <w:pStyle w:val="TableText1"/>
              <w:tabs>
                <w:tab w:val="decimal" w:pos="417"/>
              </w:tabs>
              <w:rPr>
                <w:sz w:val="20"/>
                <w:szCs w:val="20"/>
              </w:rPr>
            </w:pPr>
            <w:r w:rsidRPr="006B1E31">
              <w:rPr>
                <w:sz w:val="20"/>
                <w:szCs w:val="20"/>
              </w:rPr>
              <w:t>23.0</w:t>
            </w:r>
          </w:p>
        </w:tc>
        <w:tc>
          <w:tcPr>
            <w:tcW w:w="804" w:type="dxa"/>
            <w:vAlign w:val="center"/>
          </w:tcPr>
          <w:p w14:paraId="479DB14B" w14:textId="77777777" w:rsidR="00452299" w:rsidRPr="006B1E31" w:rsidRDefault="00452299" w:rsidP="00452299">
            <w:pPr>
              <w:pStyle w:val="TableText1"/>
              <w:tabs>
                <w:tab w:val="decimal" w:pos="417"/>
              </w:tabs>
              <w:rPr>
                <w:sz w:val="20"/>
                <w:szCs w:val="20"/>
              </w:rPr>
            </w:pPr>
            <w:r w:rsidRPr="006B1E31">
              <w:rPr>
                <w:sz w:val="20"/>
                <w:szCs w:val="20"/>
              </w:rPr>
              <w:t>23.0</w:t>
            </w:r>
          </w:p>
        </w:tc>
        <w:tc>
          <w:tcPr>
            <w:tcW w:w="804" w:type="dxa"/>
            <w:vAlign w:val="center"/>
          </w:tcPr>
          <w:p w14:paraId="07A75CF8" w14:textId="77777777" w:rsidR="00452299" w:rsidRPr="006B1E31" w:rsidRDefault="00452299" w:rsidP="00452299">
            <w:pPr>
              <w:pStyle w:val="TableText1"/>
              <w:tabs>
                <w:tab w:val="decimal" w:pos="417"/>
              </w:tabs>
              <w:rPr>
                <w:sz w:val="20"/>
                <w:szCs w:val="20"/>
              </w:rPr>
            </w:pPr>
            <w:r w:rsidRPr="006B1E31">
              <w:rPr>
                <w:sz w:val="20"/>
                <w:szCs w:val="20"/>
              </w:rPr>
              <w:t>25.0</w:t>
            </w:r>
          </w:p>
        </w:tc>
        <w:tc>
          <w:tcPr>
            <w:tcW w:w="804" w:type="dxa"/>
            <w:vAlign w:val="center"/>
          </w:tcPr>
          <w:p w14:paraId="3AA65DF3" w14:textId="77777777" w:rsidR="00452299" w:rsidRPr="006B1E31" w:rsidRDefault="00452299" w:rsidP="00452299">
            <w:pPr>
              <w:pStyle w:val="TableText1"/>
              <w:tabs>
                <w:tab w:val="decimal" w:pos="417"/>
              </w:tabs>
              <w:rPr>
                <w:sz w:val="20"/>
                <w:szCs w:val="20"/>
              </w:rPr>
            </w:pPr>
            <w:r w:rsidRPr="006B1E31">
              <w:rPr>
                <w:sz w:val="20"/>
                <w:szCs w:val="20"/>
              </w:rPr>
              <w:t>30.0</w:t>
            </w:r>
          </w:p>
        </w:tc>
        <w:tc>
          <w:tcPr>
            <w:tcW w:w="804" w:type="dxa"/>
            <w:vAlign w:val="center"/>
          </w:tcPr>
          <w:p w14:paraId="1B6F1489" w14:textId="77777777" w:rsidR="00452299" w:rsidRPr="006B1E31" w:rsidRDefault="00452299" w:rsidP="00452299">
            <w:pPr>
              <w:pStyle w:val="TableText1"/>
              <w:tabs>
                <w:tab w:val="decimal" w:pos="417"/>
              </w:tabs>
              <w:rPr>
                <w:sz w:val="20"/>
                <w:szCs w:val="20"/>
              </w:rPr>
            </w:pPr>
            <w:r w:rsidRPr="006B1E31">
              <w:rPr>
                <w:sz w:val="20"/>
                <w:szCs w:val="20"/>
                <w:lang w:val="ru-RU"/>
              </w:rPr>
              <w:t>4</w:t>
            </w:r>
            <w:r w:rsidRPr="006B1E31">
              <w:rPr>
                <w:sz w:val="20"/>
                <w:szCs w:val="20"/>
              </w:rPr>
              <w:t>0.0</w:t>
            </w:r>
          </w:p>
        </w:tc>
        <w:tc>
          <w:tcPr>
            <w:tcW w:w="804" w:type="dxa"/>
            <w:vAlign w:val="center"/>
          </w:tcPr>
          <w:p w14:paraId="0F739CC5" w14:textId="77777777" w:rsidR="00452299" w:rsidRPr="006B1E31" w:rsidRDefault="00452299" w:rsidP="00452299">
            <w:pPr>
              <w:pStyle w:val="TableText1"/>
              <w:tabs>
                <w:tab w:val="decimal" w:pos="417"/>
              </w:tabs>
              <w:rPr>
                <w:sz w:val="20"/>
                <w:szCs w:val="20"/>
              </w:rPr>
            </w:pPr>
            <w:r w:rsidRPr="006B1E31">
              <w:rPr>
                <w:sz w:val="20"/>
                <w:szCs w:val="20"/>
                <w:lang w:val="ru-RU"/>
              </w:rPr>
              <w:t>5</w:t>
            </w:r>
            <w:r w:rsidRPr="006B1E31">
              <w:rPr>
                <w:sz w:val="20"/>
                <w:szCs w:val="20"/>
              </w:rPr>
              <w:t>0.0</w:t>
            </w:r>
          </w:p>
        </w:tc>
      </w:tr>
      <w:tr w:rsidR="00452299" w:rsidRPr="006B1E31" w14:paraId="43E36755" w14:textId="77777777" w:rsidTr="00F23856">
        <w:trPr>
          <w:jc w:val="center"/>
        </w:trPr>
        <w:tc>
          <w:tcPr>
            <w:tcW w:w="1525" w:type="dxa"/>
            <w:vAlign w:val="center"/>
          </w:tcPr>
          <w:p w14:paraId="1FD4F143" w14:textId="77777777" w:rsidR="00452299" w:rsidRPr="006B1E31" w:rsidRDefault="00452299" w:rsidP="00452299">
            <w:pPr>
              <w:pStyle w:val="TableText1"/>
              <w:rPr>
                <w:sz w:val="20"/>
                <w:szCs w:val="20"/>
              </w:rPr>
            </w:pPr>
            <w:r w:rsidRPr="006B1E31">
              <w:rPr>
                <w:sz w:val="20"/>
                <w:szCs w:val="20"/>
              </w:rPr>
              <w:t>Annual offer of free agent, t</w:t>
            </w:r>
          </w:p>
        </w:tc>
        <w:tc>
          <w:tcPr>
            <w:tcW w:w="803" w:type="dxa"/>
            <w:vAlign w:val="center"/>
          </w:tcPr>
          <w:p w14:paraId="47385FB8" w14:textId="77777777" w:rsidR="00452299" w:rsidRPr="006B1E31" w:rsidRDefault="00452299" w:rsidP="00452299">
            <w:pPr>
              <w:pStyle w:val="TableText1"/>
              <w:tabs>
                <w:tab w:val="decimal" w:pos="417"/>
              </w:tabs>
              <w:rPr>
                <w:sz w:val="20"/>
                <w:szCs w:val="20"/>
              </w:rPr>
            </w:pPr>
            <w:r w:rsidRPr="006B1E31">
              <w:rPr>
                <w:sz w:val="20"/>
                <w:szCs w:val="20"/>
              </w:rPr>
              <w:t>10.0</w:t>
            </w:r>
          </w:p>
        </w:tc>
        <w:tc>
          <w:tcPr>
            <w:tcW w:w="804" w:type="dxa"/>
            <w:vAlign w:val="center"/>
          </w:tcPr>
          <w:p w14:paraId="58BD0184" w14:textId="77777777" w:rsidR="00452299" w:rsidRPr="006B1E31" w:rsidRDefault="00452299" w:rsidP="00452299">
            <w:pPr>
              <w:pStyle w:val="TableText1"/>
              <w:tabs>
                <w:tab w:val="decimal" w:pos="417"/>
              </w:tabs>
              <w:rPr>
                <w:sz w:val="20"/>
                <w:szCs w:val="20"/>
              </w:rPr>
            </w:pPr>
            <w:r w:rsidRPr="006B1E31">
              <w:rPr>
                <w:sz w:val="20"/>
                <w:szCs w:val="20"/>
              </w:rPr>
              <w:t>20.0</w:t>
            </w:r>
          </w:p>
        </w:tc>
        <w:tc>
          <w:tcPr>
            <w:tcW w:w="804" w:type="dxa"/>
            <w:vAlign w:val="center"/>
          </w:tcPr>
          <w:p w14:paraId="65EFFF77" w14:textId="77777777" w:rsidR="00452299" w:rsidRPr="006B1E31" w:rsidRDefault="00452299" w:rsidP="00452299">
            <w:pPr>
              <w:pStyle w:val="TableText1"/>
              <w:tabs>
                <w:tab w:val="decimal" w:pos="417"/>
              </w:tabs>
              <w:rPr>
                <w:sz w:val="20"/>
                <w:szCs w:val="20"/>
              </w:rPr>
            </w:pPr>
            <w:r w:rsidRPr="006B1E31">
              <w:rPr>
                <w:sz w:val="20"/>
                <w:szCs w:val="20"/>
              </w:rPr>
              <w:t>24.0</w:t>
            </w:r>
          </w:p>
        </w:tc>
        <w:tc>
          <w:tcPr>
            <w:tcW w:w="804" w:type="dxa"/>
            <w:vAlign w:val="center"/>
          </w:tcPr>
          <w:p w14:paraId="43286241" w14:textId="77777777" w:rsidR="00452299" w:rsidRPr="006B1E31" w:rsidRDefault="00452299" w:rsidP="00452299">
            <w:pPr>
              <w:pStyle w:val="TableText1"/>
              <w:tabs>
                <w:tab w:val="decimal" w:pos="417"/>
              </w:tabs>
              <w:rPr>
                <w:sz w:val="20"/>
                <w:szCs w:val="20"/>
              </w:rPr>
            </w:pPr>
            <w:r w:rsidRPr="006B1E31">
              <w:rPr>
                <w:sz w:val="20"/>
                <w:szCs w:val="20"/>
              </w:rPr>
              <w:t>25.0</w:t>
            </w:r>
          </w:p>
        </w:tc>
        <w:tc>
          <w:tcPr>
            <w:tcW w:w="804" w:type="dxa"/>
            <w:vAlign w:val="center"/>
          </w:tcPr>
          <w:p w14:paraId="7F4E3246" w14:textId="77777777" w:rsidR="00452299" w:rsidRPr="006B1E31" w:rsidRDefault="00452299" w:rsidP="00452299">
            <w:pPr>
              <w:pStyle w:val="TableText1"/>
              <w:tabs>
                <w:tab w:val="decimal" w:pos="417"/>
              </w:tabs>
              <w:rPr>
                <w:sz w:val="20"/>
                <w:szCs w:val="20"/>
              </w:rPr>
            </w:pPr>
            <w:r w:rsidRPr="006B1E31">
              <w:rPr>
                <w:sz w:val="20"/>
                <w:szCs w:val="20"/>
              </w:rPr>
              <w:t>25.0</w:t>
            </w:r>
          </w:p>
        </w:tc>
        <w:tc>
          <w:tcPr>
            <w:tcW w:w="804" w:type="dxa"/>
            <w:vAlign w:val="center"/>
          </w:tcPr>
          <w:p w14:paraId="75EB9F63" w14:textId="77777777" w:rsidR="00452299" w:rsidRPr="006B1E31" w:rsidRDefault="00452299" w:rsidP="00452299">
            <w:pPr>
              <w:pStyle w:val="TableText1"/>
              <w:tabs>
                <w:tab w:val="decimal" w:pos="417"/>
              </w:tabs>
              <w:rPr>
                <w:sz w:val="20"/>
                <w:szCs w:val="20"/>
              </w:rPr>
            </w:pPr>
            <w:r w:rsidRPr="006B1E31">
              <w:rPr>
                <w:sz w:val="20"/>
                <w:szCs w:val="20"/>
              </w:rPr>
              <w:t>28.0</w:t>
            </w:r>
          </w:p>
        </w:tc>
        <w:tc>
          <w:tcPr>
            <w:tcW w:w="804" w:type="dxa"/>
            <w:vAlign w:val="center"/>
          </w:tcPr>
          <w:p w14:paraId="6B4E91D2" w14:textId="77777777" w:rsidR="00452299" w:rsidRPr="006B1E31" w:rsidRDefault="00452299" w:rsidP="00452299">
            <w:pPr>
              <w:pStyle w:val="TableText1"/>
              <w:tabs>
                <w:tab w:val="decimal" w:pos="417"/>
              </w:tabs>
              <w:rPr>
                <w:sz w:val="20"/>
                <w:szCs w:val="20"/>
              </w:rPr>
            </w:pPr>
            <w:r w:rsidRPr="006B1E31">
              <w:rPr>
                <w:sz w:val="20"/>
                <w:szCs w:val="20"/>
              </w:rPr>
              <w:t>30.0</w:t>
            </w:r>
          </w:p>
        </w:tc>
        <w:tc>
          <w:tcPr>
            <w:tcW w:w="804" w:type="dxa"/>
            <w:vAlign w:val="center"/>
          </w:tcPr>
          <w:p w14:paraId="403D250B" w14:textId="77777777" w:rsidR="00452299" w:rsidRPr="006B1E31" w:rsidRDefault="00452299" w:rsidP="00452299">
            <w:pPr>
              <w:pStyle w:val="TableText1"/>
              <w:tabs>
                <w:tab w:val="decimal" w:pos="417"/>
              </w:tabs>
              <w:rPr>
                <w:sz w:val="20"/>
                <w:szCs w:val="20"/>
              </w:rPr>
            </w:pPr>
            <w:r w:rsidRPr="006B1E31">
              <w:rPr>
                <w:sz w:val="20"/>
                <w:szCs w:val="20"/>
                <w:lang w:val="ru-RU"/>
              </w:rPr>
              <w:t>28</w:t>
            </w:r>
            <w:r w:rsidRPr="006B1E31">
              <w:rPr>
                <w:sz w:val="20"/>
                <w:szCs w:val="20"/>
              </w:rPr>
              <w:t>.0</w:t>
            </w:r>
          </w:p>
        </w:tc>
        <w:tc>
          <w:tcPr>
            <w:tcW w:w="804" w:type="dxa"/>
            <w:vAlign w:val="center"/>
          </w:tcPr>
          <w:p w14:paraId="04C2E54D" w14:textId="77777777" w:rsidR="00452299" w:rsidRPr="006B1E31" w:rsidRDefault="00452299" w:rsidP="00452299">
            <w:pPr>
              <w:pStyle w:val="TableText1"/>
              <w:tabs>
                <w:tab w:val="decimal" w:pos="417"/>
              </w:tabs>
              <w:rPr>
                <w:sz w:val="20"/>
                <w:szCs w:val="20"/>
              </w:rPr>
            </w:pPr>
            <w:r w:rsidRPr="006B1E31">
              <w:rPr>
                <w:sz w:val="20"/>
                <w:szCs w:val="20"/>
                <w:lang w:val="ru-RU"/>
              </w:rPr>
              <w:t>38</w:t>
            </w:r>
            <w:r w:rsidRPr="006B1E31">
              <w:rPr>
                <w:sz w:val="20"/>
                <w:szCs w:val="20"/>
              </w:rPr>
              <w:t>.0</w:t>
            </w:r>
          </w:p>
        </w:tc>
      </w:tr>
      <w:tr w:rsidR="00452299" w:rsidRPr="006B1E31" w14:paraId="24AE8609" w14:textId="77777777" w:rsidTr="00F23856">
        <w:trPr>
          <w:jc w:val="center"/>
        </w:trPr>
        <w:tc>
          <w:tcPr>
            <w:tcW w:w="1525" w:type="dxa"/>
            <w:vAlign w:val="center"/>
          </w:tcPr>
          <w:p w14:paraId="05FFEFBD" w14:textId="77777777" w:rsidR="00452299" w:rsidRPr="006B1E31" w:rsidRDefault="00452299" w:rsidP="00452299">
            <w:pPr>
              <w:pStyle w:val="TableText1"/>
              <w:rPr>
                <w:sz w:val="20"/>
                <w:szCs w:val="20"/>
              </w:rPr>
            </w:pPr>
            <w:r w:rsidRPr="006B1E31">
              <w:rPr>
                <w:sz w:val="20"/>
                <w:szCs w:val="20"/>
              </w:rPr>
              <w:t>Emissions, t</w:t>
            </w:r>
          </w:p>
        </w:tc>
        <w:tc>
          <w:tcPr>
            <w:tcW w:w="803" w:type="dxa"/>
            <w:vAlign w:val="center"/>
          </w:tcPr>
          <w:p w14:paraId="469CE08E" w14:textId="77777777" w:rsidR="00452299" w:rsidRPr="006B1E31" w:rsidRDefault="00452299" w:rsidP="00452299">
            <w:pPr>
              <w:pStyle w:val="TableText1"/>
              <w:tabs>
                <w:tab w:val="decimal" w:pos="417"/>
              </w:tabs>
              <w:rPr>
                <w:sz w:val="20"/>
                <w:szCs w:val="20"/>
              </w:rPr>
            </w:pPr>
            <w:r w:rsidRPr="006B1E31">
              <w:rPr>
                <w:sz w:val="20"/>
                <w:szCs w:val="20"/>
              </w:rPr>
              <w:t>8.0</w:t>
            </w:r>
          </w:p>
        </w:tc>
        <w:tc>
          <w:tcPr>
            <w:tcW w:w="804" w:type="dxa"/>
            <w:vAlign w:val="center"/>
          </w:tcPr>
          <w:p w14:paraId="0B5F7896" w14:textId="77777777" w:rsidR="00452299" w:rsidRPr="006B1E31" w:rsidRDefault="00452299" w:rsidP="00452299">
            <w:pPr>
              <w:pStyle w:val="TableText1"/>
              <w:tabs>
                <w:tab w:val="decimal" w:pos="417"/>
              </w:tabs>
              <w:rPr>
                <w:sz w:val="20"/>
                <w:szCs w:val="20"/>
              </w:rPr>
            </w:pPr>
            <w:r w:rsidRPr="006B1E31">
              <w:rPr>
                <w:sz w:val="20"/>
                <w:szCs w:val="20"/>
              </w:rPr>
              <w:t>10.0</w:t>
            </w:r>
          </w:p>
        </w:tc>
        <w:tc>
          <w:tcPr>
            <w:tcW w:w="804" w:type="dxa"/>
            <w:vAlign w:val="center"/>
          </w:tcPr>
          <w:p w14:paraId="68A1D387" w14:textId="77777777" w:rsidR="00452299" w:rsidRPr="006B1E31" w:rsidRDefault="00452299" w:rsidP="00452299">
            <w:pPr>
              <w:pStyle w:val="TableText1"/>
              <w:tabs>
                <w:tab w:val="decimal" w:pos="417"/>
              </w:tabs>
              <w:rPr>
                <w:sz w:val="20"/>
                <w:szCs w:val="20"/>
              </w:rPr>
            </w:pPr>
            <w:r w:rsidRPr="006B1E31">
              <w:rPr>
                <w:sz w:val="20"/>
                <w:szCs w:val="20"/>
              </w:rPr>
              <w:t>1.6</w:t>
            </w:r>
          </w:p>
        </w:tc>
        <w:tc>
          <w:tcPr>
            <w:tcW w:w="804" w:type="dxa"/>
            <w:vAlign w:val="center"/>
          </w:tcPr>
          <w:p w14:paraId="233CD55C" w14:textId="77777777" w:rsidR="00452299" w:rsidRPr="006B1E31" w:rsidRDefault="00452299" w:rsidP="00452299">
            <w:pPr>
              <w:pStyle w:val="TableText1"/>
              <w:tabs>
                <w:tab w:val="decimal" w:pos="417"/>
              </w:tabs>
              <w:rPr>
                <w:sz w:val="20"/>
                <w:szCs w:val="20"/>
              </w:rPr>
            </w:pPr>
            <w:r w:rsidRPr="006B1E31">
              <w:rPr>
                <w:sz w:val="20"/>
                <w:szCs w:val="20"/>
              </w:rPr>
              <w:t>3.0</w:t>
            </w:r>
          </w:p>
        </w:tc>
        <w:tc>
          <w:tcPr>
            <w:tcW w:w="804" w:type="dxa"/>
            <w:vAlign w:val="center"/>
          </w:tcPr>
          <w:p w14:paraId="6FD1F2CD" w14:textId="77777777" w:rsidR="00452299" w:rsidRPr="006B1E31" w:rsidRDefault="00452299" w:rsidP="00452299">
            <w:pPr>
              <w:pStyle w:val="TableText1"/>
              <w:tabs>
                <w:tab w:val="decimal" w:pos="417"/>
              </w:tabs>
              <w:rPr>
                <w:sz w:val="20"/>
                <w:szCs w:val="20"/>
              </w:rPr>
            </w:pPr>
            <w:r w:rsidRPr="006B1E31">
              <w:rPr>
                <w:sz w:val="20"/>
                <w:szCs w:val="20"/>
              </w:rPr>
              <w:t>2.2</w:t>
            </w:r>
          </w:p>
        </w:tc>
        <w:tc>
          <w:tcPr>
            <w:tcW w:w="804" w:type="dxa"/>
            <w:vAlign w:val="center"/>
          </w:tcPr>
          <w:p w14:paraId="645C8E25" w14:textId="77777777" w:rsidR="00452299" w:rsidRPr="006B1E31" w:rsidRDefault="00452299" w:rsidP="00452299">
            <w:pPr>
              <w:pStyle w:val="TableText1"/>
              <w:tabs>
                <w:tab w:val="decimal" w:pos="417"/>
              </w:tabs>
              <w:rPr>
                <w:sz w:val="20"/>
                <w:szCs w:val="20"/>
              </w:rPr>
            </w:pPr>
            <w:r w:rsidRPr="006B1E31">
              <w:rPr>
                <w:sz w:val="20"/>
                <w:szCs w:val="20"/>
              </w:rPr>
              <w:t>2.0</w:t>
            </w:r>
          </w:p>
        </w:tc>
        <w:tc>
          <w:tcPr>
            <w:tcW w:w="804" w:type="dxa"/>
            <w:vAlign w:val="center"/>
          </w:tcPr>
          <w:p w14:paraId="4DC5FC07" w14:textId="77777777" w:rsidR="00452299" w:rsidRPr="006B1E31" w:rsidRDefault="00452299" w:rsidP="00452299">
            <w:pPr>
              <w:pStyle w:val="TableText1"/>
              <w:tabs>
                <w:tab w:val="decimal" w:pos="417"/>
              </w:tabs>
              <w:rPr>
                <w:sz w:val="20"/>
                <w:szCs w:val="20"/>
              </w:rPr>
            </w:pPr>
            <w:r w:rsidRPr="006B1E31">
              <w:rPr>
                <w:sz w:val="20"/>
                <w:szCs w:val="20"/>
              </w:rPr>
              <w:t>3.0</w:t>
            </w:r>
          </w:p>
        </w:tc>
        <w:tc>
          <w:tcPr>
            <w:tcW w:w="804" w:type="dxa"/>
            <w:vAlign w:val="center"/>
          </w:tcPr>
          <w:p w14:paraId="3F628989" w14:textId="77777777" w:rsidR="00452299" w:rsidRPr="006B1E31" w:rsidRDefault="00452299" w:rsidP="00452299">
            <w:pPr>
              <w:pStyle w:val="TableText1"/>
              <w:tabs>
                <w:tab w:val="decimal" w:pos="417"/>
              </w:tabs>
              <w:rPr>
                <w:sz w:val="20"/>
                <w:szCs w:val="20"/>
                <w:lang w:val="ru-RU"/>
              </w:rPr>
            </w:pPr>
            <w:r w:rsidRPr="006B1E31">
              <w:rPr>
                <w:sz w:val="20"/>
                <w:szCs w:val="20"/>
                <w:lang w:val="ru-RU"/>
              </w:rPr>
              <w:t>3</w:t>
            </w:r>
            <w:r w:rsidRPr="006B1E31">
              <w:rPr>
                <w:sz w:val="20"/>
                <w:szCs w:val="20"/>
              </w:rPr>
              <w:t>.</w:t>
            </w:r>
            <w:r w:rsidRPr="006B1E31">
              <w:rPr>
                <w:sz w:val="20"/>
                <w:szCs w:val="20"/>
                <w:lang w:val="ru-RU"/>
              </w:rPr>
              <w:t>8</w:t>
            </w:r>
          </w:p>
        </w:tc>
        <w:tc>
          <w:tcPr>
            <w:tcW w:w="804" w:type="dxa"/>
            <w:vAlign w:val="center"/>
          </w:tcPr>
          <w:p w14:paraId="42432350" w14:textId="77777777" w:rsidR="00452299" w:rsidRPr="006B1E31" w:rsidRDefault="00452299" w:rsidP="00452299">
            <w:pPr>
              <w:pStyle w:val="TableText1"/>
              <w:tabs>
                <w:tab w:val="decimal" w:pos="417"/>
              </w:tabs>
              <w:rPr>
                <w:sz w:val="20"/>
                <w:szCs w:val="20"/>
                <w:lang w:val="ru-RU"/>
              </w:rPr>
            </w:pPr>
            <w:r w:rsidRPr="006B1E31">
              <w:rPr>
                <w:sz w:val="20"/>
                <w:szCs w:val="20"/>
                <w:lang w:val="ru-RU"/>
              </w:rPr>
              <w:t>3</w:t>
            </w:r>
            <w:r w:rsidRPr="006B1E31">
              <w:rPr>
                <w:sz w:val="20"/>
                <w:szCs w:val="20"/>
              </w:rPr>
              <w:t>.</w:t>
            </w:r>
            <w:r w:rsidRPr="006B1E31">
              <w:rPr>
                <w:sz w:val="20"/>
                <w:szCs w:val="20"/>
                <w:lang w:val="ru-RU"/>
              </w:rPr>
              <w:t>5</w:t>
            </w:r>
          </w:p>
        </w:tc>
      </w:tr>
      <w:tr w:rsidR="00452299" w:rsidRPr="006B1E31" w14:paraId="45238AD9" w14:textId="77777777" w:rsidTr="00F23856">
        <w:trPr>
          <w:jc w:val="center"/>
        </w:trPr>
        <w:tc>
          <w:tcPr>
            <w:tcW w:w="1525" w:type="dxa"/>
            <w:vAlign w:val="center"/>
          </w:tcPr>
          <w:p w14:paraId="5658D62B" w14:textId="77777777" w:rsidR="00452299" w:rsidRPr="006B1E31" w:rsidRDefault="00452299" w:rsidP="00452299">
            <w:pPr>
              <w:pStyle w:val="TableText1"/>
              <w:rPr>
                <w:sz w:val="20"/>
                <w:szCs w:val="20"/>
              </w:rPr>
            </w:pPr>
            <w:r w:rsidRPr="006B1E31">
              <w:rPr>
                <w:sz w:val="20"/>
                <w:szCs w:val="20"/>
              </w:rPr>
              <w:t>Total bank, t</w:t>
            </w:r>
          </w:p>
        </w:tc>
        <w:tc>
          <w:tcPr>
            <w:tcW w:w="803" w:type="dxa"/>
            <w:vAlign w:val="center"/>
          </w:tcPr>
          <w:p w14:paraId="291D13BA" w14:textId="77777777" w:rsidR="00452299" w:rsidRPr="006B1E31" w:rsidRDefault="00452299" w:rsidP="00452299">
            <w:pPr>
              <w:pStyle w:val="TableText1"/>
              <w:tabs>
                <w:tab w:val="decimal" w:pos="417"/>
              </w:tabs>
              <w:rPr>
                <w:sz w:val="20"/>
                <w:szCs w:val="20"/>
              </w:rPr>
            </w:pPr>
            <w:r w:rsidRPr="006B1E31">
              <w:rPr>
                <w:sz w:val="20"/>
                <w:szCs w:val="20"/>
              </w:rPr>
              <w:t>947.0</w:t>
            </w:r>
          </w:p>
        </w:tc>
        <w:tc>
          <w:tcPr>
            <w:tcW w:w="804" w:type="dxa"/>
            <w:vAlign w:val="center"/>
          </w:tcPr>
          <w:p w14:paraId="5B8A93D2" w14:textId="77777777" w:rsidR="00452299" w:rsidRPr="006B1E31" w:rsidRDefault="00452299" w:rsidP="00452299">
            <w:pPr>
              <w:pStyle w:val="TableText1"/>
              <w:tabs>
                <w:tab w:val="decimal" w:pos="417"/>
              </w:tabs>
              <w:rPr>
                <w:sz w:val="20"/>
                <w:szCs w:val="20"/>
              </w:rPr>
            </w:pPr>
            <w:r w:rsidRPr="006B1E31">
              <w:rPr>
                <w:sz w:val="20"/>
                <w:szCs w:val="20"/>
              </w:rPr>
              <w:t>941.0</w:t>
            </w:r>
          </w:p>
        </w:tc>
        <w:tc>
          <w:tcPr>
            <w:tcW w:w="804" w:type="dxa"/>
            <w:vAlign w:val="center"/>
          </w:tcPr>
          <w:p w14:paraId="6E55C38A" w14:textId="77777777" w:rsidR="00452299" w:rsidRPr="006B1E31" w:rsidRDefault="00452299" w:rsidP="00452299">
            <w:pPr>
              <w:pStyle w:val="TableText1"/>
              <w:tabs>
                <w:tab w:val="decimal" w:pos="417"/>
              </w:tabs>
              <w:rPr>
                <w:sz w:val="20"/>
                <w:szCs w:val="20"/>
              </w:rPr>
            </w:pPr>
            <w:r w:rsidRPr="006B1E31">
              <w:rPr>
                <w:sz w:val="20"/>
                <w:szCs w:val="20"/>
              </w:rPr>
              <w:t>939.4</w:t>
            </w:r>
          </w:p>
        </w:tc>
        <w:tc>
          <w:tcPr>
            <w:tcW w:w="804" w:type="dxa"/>
            <w:vAlign w:val="center"/>
          </w:tcPr>
          <w:p w14:paraId="6B3B86AE" w14:textId="77777777" w:rsidR="00452299" w:rsidRPr="006B1E31" w:rsidRDefault="00452299" w:rsidP="00452299">
            <w:pPr>
              <w:pStyle w:val="TableText1"/>
              <w:tabs>
                <w:tab w:val="decimal" w:pos="417"/>
              </w:tabs>
              <w:rPr>
                <w:sz w:val="20"/>
                <w:szCs w:val="20"/>
              </w:rPr>
            </w:pPr>
            <w:r w:rsidRPr="006B1E31">
              <w:rPr>
                <w:sz w:val="20"/>
                <w:szCs w:val="20"/>
              </w:rPr>
              <w:t>936.4</w:t>
            </w:r>
          </w:p>
        </w:tc>
        <w:tc>
          <w:tcPr>
            <w:tcW w:w="804" w:type="dxa"/>
            <w:vAlign w:val="center"/>
          </w:tcPr>
          <w:p w14:paraId="65AAC3A9" w14:textId="77777777" w:rsidR="00452299" w:rsidRPr="006B1E31" w:rsidRDefault="00452299" w:rsidP="00452299">
            <w:pPr>
              <w:pStyle w:val="TableText1"/>
              <w:tabs>
                <w:tab w:val="decimal" w:pos="417"/>
              </w:tabs>
              <w:rPr>
                <w:sz w:val="20"/>
                <w:szCs w:val="20"/>
              </w:rPr>
            </w:pPr>
            <w:r w:rsidRPr="006B1E31">
              <w:rPr>
                <w:sz w:val="20"/>
                <w:szCs w:val="20"/>
              </w:rPr>
              <w:t>934.2</w:t>
            </w:r>
          </w:p>
        </w:tc>
        <w:tc>
          <w:tcPr>
            <w:tcW w:w="804" w:type="dxa"/>
            <w:vAlign w:val="center"/>
          </w:tcPr>
          <w:p w14:paraId="63210D5F" w14:textId="77777777" w:rsidR="00452299" w:rsidRPr="006B1E31" w:rsidRDefault="00452299" w:rsidP="00452299">
            <w:pPr>
              <w:pStyle w:val="TableText1"/>
              <w:tabs>
                <w:tab w:val="decimal" w:pos="417"/>
              </w:tabs>
              <w:rPr>
                <w:sz w:val="20"/>
                <w:szCs w:val="20"/>
              </w:rPr>
            </w:pPr>
            <w:r w:rsidRPr="006B1E31">
              <w:rPr>
                <w:sz w:val="20"/>
                <w:szCs w:val="20"/>
              </w:rPr>
              <w:t>932.2</w:t>
            </w:r>
          </w:p>
        </w:tc>
        <w:tc>
          <w:tcPr>
            <w:tcW w:w="804" w:type="dxa"/>
            <w:vAlign w:val="center"/>
          </w:tcPr>
          <w:p w14:paraId="060AF3B2" w14:textId="77777777" w:rsidR="00452299" w:rsidRPr="006B1E31" w:rsidRDefault="00452299" w:rsidP="00452299">
            <w:pPr>
              <w:pStyle w:val="TableText1"/>
              <w:tabs>
                <w:tab w:val="decimal" w:pos="417"/>
              </w:tabs>
              <w:rPr>
                <w:sz w:val="20"/>
                <w:szCs w:val="20"/>
              </w:rPr>
            </w:pPr>
            <w:r w:rsidRPr="006B1E31">
              <w:rPr>
                <w:sz w:val="20"/>
                <w:szCs w:val="20"/>
              </w:rPr>
              <w:t>929.2</w:t>
            </w:r>
          </w:p>
        </w:tc>
        <w:tc>
          <w:tcPr>
            <w:tcW w:w="804" w:type="dxa"/>
            <w:vAlign w:val="center"/>
          </w:tcPr>
          <w:p w14:paraId="6D33A2A4" w14:textId="77777777" w:rsidR="00452299" w:rsidRPr="006B1E31" w:rsidRDefault="00452299" w:rsidP="00452299">
            <w:pPr>
              <w:pStyle w:val="TableText1"/>
              <w:tabs>
                <w:tab w:val="decimal" w:pos="417"/>
              </w:tabs>
              <w:rPr>
                <w:sz w:val="20"/>
                <w:szCs w:val="20"/>
                <w:lang w:val="ru-RU"/>
              </w:rPr>
            </w:pPr>
            <w:r w:rsidRPr="006B1E31">
              <w:rPr>
                <w:sz w:val="20"/>
                <w:szCs w:val="20"/>
              </w:rPr>
              <w:t>92</w:t>
            </w:r>
            <w:r w:rsidRPr="006B1E31">
              <w:rPr>
                <w:sz w:val="20"/>
                <w:szCs w:val="20"/>
                <w:lang w:val="ru-RU"/>
              </w:rPr>
              <w:t>5</w:t>
            </w:r>
            <w:r w:rsidRPr="006B1E31">
              <w:rPr>
                <w:sz w:val="20"/>
                <w:szCs w:val="20"/>
              </w:rPr>
              <w:t>.</w:t>
            </w:r>
            <w:r w:rsidRPr="006B1E31">
              <w:rPr>
                <w:sz w:val="20"/>
                <w:szCs w:val="20"/>
                <w:lang w:val="ru-RU"/>
              </w:rPr>
              <w:t>4</w:t>
            </w:r>
          </w:p>
        </w:tc>
        <w:tc>
          <w:tcPr>
            <w:tcW w:w="804" w:type="dxa"/>
            <w:vAlign w:val="center"/>
          </w:tcPr>
          <w:p w14:paraId="70F36982" w14:textId="77777777" w:rsidR="00452299" w:rsidRPr="006B1E31" w:rsidRDefault="00452299" w:rsidP="00452299">
            <w:pPr>
              <w:pStyle w:val="TableText1"/>
              <w:tabs>
                <w:tab w:val="decimal" w:pos="417"/>
              </w:tabs>
              <w:rPr>
                <w:sz w:val="20"/>
                <w:szCs w:val="20"/>
                <w:lang w:val="ru-RU"/>
              </w:rPr>
            </w:pPr>
            <w:r w:rsidRPr="006B1E31">
              <w:rPr>
                <w:sz w:val="20"/>
                <w:szCs w:val="20"/>
              </w:rPr>
              <w:t>92</w:t>
            </w:r>
            <w:r w:rsidRPr="006B1E31">
              <w:rPr>
                <w:sz w:val="20"/>
                <w:szCs w:val="20"/>
                <w:lang w:val="ru-RU"/>
              </w:rPr>
              <w:t>1</w:t>
            </w:r>
            <w:r w:rsidRPr="006B1E31">
              <w:rPr>
                <w:sz w:val="20"/>
                <w:szCs w:val="20"/>
              </w:rPr>
              <w:t>.</w:t>
            </w:r>
            <w:r w:rsidRPr="006B1E31">
              <w:rPr>
                <w:sz w:val="20"/>
                <w:szCs w:val="20"/>
                <w:lang w:val="ru-RU"/>
              </w:rPr>
              <w:t>9</w:t>
            </w:r>
          </w:p>
        </w:tc>
      </w:tr>
    </w:tbl>
    <w:p w14:paraId="7F9292F3" w14:textId="77777777" w:rsidR="00452299" w:rsidRPr="006B1E31" w:rsidRDefault="00452299" w:rsidP="00A140B1">
      <w:pPr>
        <w:pStyle w:val="Tablenote"/>
        <w:rPr>
          <w:szCs w:val="20"/>
        </w:rPr>
      </w:pPr>
      <w:r w:rsidRPr="006B1E31">
        <w:rPr>
          <w:szCs w:val="20"/>
        </w:rPr>
        <w:t>Note 1:</w:t>
      </w:r>
      <w:r w:rsidRPr="006B1E31">
        <w:rPr>
          <w:szCs w:val="20"/>
        </w:rPr>
        <w:tab/>
        <w:t>Data obtained by January 2017</w:t>
      </w:r>
    </w:p>
    <w:p w14:paraId="204B7D65" w14:textId="1C6396FA" w:rsidR="00452299" w:rsidRPr="00EE65F8" w:rsidRDefault="00335D5A" w:rsidP="00A140B1">
      <w:pPr>
        <w:rPr>
          <w:szCs w:val="22"/>
        </w:rPr>
      </w:pPr>
      <w:r>
        <w:rPr>
          <w:szCs w:val="22"/>
        </w:rPr>
        <w:br/>
      </w:r>
      <w:r w:rsidR="00452299" w:rsidRPr="00EE65F8">
        <w:rPr>
          <w:szCs w:val="22"/>
        </w:rPr>
        <w:t>There is a</w:t>
      </w:r>
      <w:r w:rsidR="00452299">
        <w:rPr>
          <w:szCs w:val="22"/>
          <w:lang w:val="en-US"/>
        </w:rPr>
        <w:t xml:space="preserve"> new foam fire suppression system with extremely high intensity of discharge (1200 dm</w:t>
      </w:r>
      <w:r w:rsidR="00452299" w:rsidRPr="008D06EA">
        <w:rPr>
          <w:szCs w:val="22"/>
          <w:vertAlign w:val="superscript"/>
          <w:lang w:val="en-US"/>
        </w:rPr>
        <w:t>3</w:t>
      </w:r>
      <w:r w:rsidR="00452299">
        <w:rPr>
          <w:szCs w:val="22"/>
          <w:lang w:val="en-US"/>
        </w:rPr>
        <w:t xml:space="preserve">/sec) in Russia </w:t>
      </w:r>
      <w:r w:rsidR="00452299" w:rsidRPr="00EE65F8">
        <w:rPr>
          <w:szCs w:val="22"/>
        </w:rPr>
        <w:t>that is being developed and tested on fuel tanks up to 20,000 cubic meters</w:t>
      </w:r>
      <w:r w:rsidR="00452299">
        <w:rPr>
          <w:szCs w:val="22"/>
        </w:rPr>
        <w:t>, which</w:t>
      </w:r>
      <w:r w:rsidR="00452299" w:rsidRPr="00EE65F8">
        <w:rPr>
          <w:szCs w:val="22"/>
        </w:rPr>
        <w:t xml:space="preserve"> has been approved for some </w:t>
      </w:r>
      <w:r w:rsidR="00452299">
        <w:rPr>
          <w:szCs w:val="22"/>
        </w:rPr>
        <w:t xml:space="preserve">former halon 2402 </w:t>
      </w:r>
      <w:r w:rsidR="00452299" w:rsidRPr="00EE65F8">
        <w:rPr>
          <w:szCs w:val="22"/>
        </w:rPr>
        <w:t xml:space="preserve">applications.  </w:t>
      </w:r>
      <w:r w:rsidR="00452299">
        <w:rPr>
          <w:szCs w:val="22"/>
        </w:rPr>
        <w:t>It is i</w:t>
      </w:r>
      <w:r w:rsidR="00452299" w:rsidRPr="00EE65F8">
        <w:rPr>
          <w:szCs w:val="22"/>
        </w:rPr>
        <w:t xml:space="preserve">ntended for open spaces </w:t>
      </w:r>
      <w:r w:rsidR="00452299">
        <w:rPr>
          <w:szCs w:val="22"/>
        </w:rPr>
        <w:t xml:space="preserve">such as </w:t>
      </w:r>
      <w:r w:rsidR="00452299" w:rsidRPr="00EE65F8">
        <w:rPr>
          <w:szCs w:val="22"/>
        </w:rPr>
        <w:t>refineries</w:t>
      </w:r>
      <w:r w:rsidR="00452299">
        <w:rPr>
          <w:szCs w:val="22"/>
        </w:rPr>
        <w:t xml:space="preserve"> a</w:t>
      </w:r>
      <w:r w:rsidR="00452299" w:rsidRPr="00EE65F8">
        <w:rPr>
          <w:szCs w:val="22"/>
        </w:rPr>
        <w:t xml:space="preserve">nd </w:t>
      </w:r>
      <w:r w:rsidR="00452299">
        <w:rPr>
          <w:szCs w:val="22"/>
        </w:rPr>
        <w:t>transport tunnel</w:t>
      </w:r>
      <w:r w:rsidR="00452299" w:rsidRPr="00EE65F8">
        <w:rPr>
          <w:szCs w:val="22"/>
        </w:rPr>
        <w:t>s.  It was tested in high wind</w:t>
      </w:r>
      <w:r w:rsidR="00452299">
        <w:rPr>
          <w:szCs w:val="22"/>
        </w:rPr>
        <w:t xml:space="preserve"> </w:t>
      </w:r>
      <w:r w:rsidR="00452299" w:rsidRPr="00EE65F8">
        <w:rPr>
          <w:szCs w:val="22"/>
        </w:rPr>
        <w:t xml:space="preserve">and </w:t>
      </w:r>
      <w:r w:rsidR="00452299">
        <w:rPr>
          <w:szCs w:val="22"/>
        </w:rPr>
        <w:t>met performance requirements</w:t>
      </w:r>
      <w:r w:rsidR="00452299" w:rsidRPr="00EE65F8">
        <w:rPr>
          <w:szCs w:val="22"/>
        </w:rPr>
        <w:t>.</w:t>
      </w:r>
    </w:p>
    <w:p w14:paraId="720EA8EF" w14:textId="798E5693" w:rsidR="00452299" w:rsidRPr="00B46C50" w:rsidRDefault="00335D5A" w:rsidP="00413E4A">
      <w:pPr>
        <w:pStyle w:val="Heading3"/>
      </w:pPr>
      <w:bookmarkStart w:id="55" w:name="_Toc484164333"/>
      <w:r>
        <w:lastRenderedPageBreak/>
        <w:t>3.5.2.</w:t>
      </w:r>
      <w:r>
        <w:tab/>
      </w:r>
      <w:r w:rsidR="00452299" w:rsidRPr="00B46C50">
        <w:t xml:space="preserve">China </w:t>
      </w:r>
      <w:r w:rsidR="00FB50B1">
        <w:t>u</w:t>
      </w:r>
      <w:r w:rsidR="00452299" w:rsidRPr="00B46C50">
        <w:t>pdate</w:t>
      </w:r>
      <w:bookmarkEnd w:id="55"/>
    </w:p>
    <w:p w14:paraId="4011A9F7" w14:textId="77777777" w:rsidR="0095770A" w:rsidRPr="00FC10C4" w:rsidRDefault="0095770A" w:rsidP="00A140B1">
      <w:pPr>
        <w:rPr>
          <w:color w:val="auto"/>
          <w:szCs w:val="22"/>
          <w:lang w:val="en-US" w:eastAsia="en-US"/>
        </w:rPr>
      </w:pPr>
      <w:r w:rsidRPr="00FC10C4">
        <w:rPr>
          <w:iCs/>
          <w:color w:val="auto"/>
          <w:szCs w:val="22"/>
        </w:rPr>
        <w:t>An agreement has been reached between the Foreign Economic Cooperation Office (FECO) and the Ministry of Public Security (MPS) to establish a halon management center (HMC) as part of the MPS Fire Safety Division.  The MPS is responsible for Fire Safety and Fire Fighting in China. The HMC will operate as a clearinghouse and plans to develop a database with information on halon 1301 and 1211 stocks and halon fire extinguishing systems in China. It may also track trading of halons. The operational details of the HMC will be developed in cooperation with FECO. Surveys on remaining halons in two Provinces have been completed.  It is expected that the identified stocks of obsolete halons will be collected under the guidance of the new HMC at the MPS facilities.  The halon 1211 stock at Dongyang has been moved to a new location as part of the relocation of the company.  When the HMC starts operating, the stock and future sale of halon 1211 from the stock will be reported by the new HMC.</w:t>
      </w:r>
    </w:p>
    <w:p w14:paraId="4E66729A" w14:textId="26ED4619" w:rsidR="0095770A" w:rsidRPr="00FC10C4" w:rsidRDefault="0095770A" w:rsidP="00A140B1">
      <w:pPr>
        <w:rPr>
          <w:color w:val="auto"/>
          <w:szCs w:val="22"/>
        </w:rPr>
      </w:pPr>
      <w:r w:rsidRPr="00FC10C4">
        <w:rPr>
          <w:iCs/>
          <w:color w:val="auto"/>
          <w:szCs w:val="22"/>
        </w:rPr>
        <w:t>A contract has been signed with Lantian SinoChem for setting up a halon 1301 recycling facility at their location in Hangzhou. The recycling facility will be the only recycling facility for halon 1301 in China. The HTOC believes that Lantian SinoChem is the only halon 1301 producer in China (for feedstock use in the manufacture of the pesticide fipronil). The World Bank plans to discuss with FECO how to avoid “leakage” from this production of halon 1301.  </w:t>
      </w:r>
    </w:p>
    <w:p w14:paraId="0DA8D882" w14:textId="6ED03107" w:rsidR="0095770A" w:rsidRPr="00FC10C4" w:rsidRDefault="0095770A" w:rsidP="00A140B1">
      <w:pPr>
        <w:rPr>
          <w:color w:val="auto"/>
          <w:szCs w:val="22"/>
        </w:rPr>
      </w:pPr>
      <w:r w:rsidRPr="00FC10C4">
        <w:rPr>
          <w:iCs/>
          <w:color w:val="auto"/>
          <w:szCs w:val="22"/>
        </w:rPr>
        <w:t> The halon 1211 recycling center at Shenjie Fire Equipment Company in Guangdong is still on hold. The company is committed to continue the project, but is still waiting for a solution regarding classification as a hazardous waste. Shenjie was bought by a c</w:t>
      </w:r>
      <w:r>
        <w:rPr>
          <w:iCs/>
          <w:color w:val="auto"/>
          <w:szCs w:val="22"/>
        </w:rPr>
        <w:t>ompany in a non-A5 party</w:t>
      </w:r>
      <w:r w:rsidRPr="00FC10C4">
        <w:rPr>
          <w:iCs/>
          <w:color w:val="auto"/>
          <w:szCs w:val="22"/>
        </w:rPr>
        <w:t xml:space="preserve"> in 2009 and maintains a majority ownership in the facility.</w:t>
      </w:r>
    </w:p>
    <w:p w14:paraId="78402AFA" w14:textId="583E730A" w:rsidR="00452299" w:rsidRPr="00AE63FD" w:rsidRDefault="00335D5A" w:rsidP="00413E4A">
      <w:pPr>
        <w:pStyle w:val="Heading3"/>
      </w:pPr>
      <w:bookmarkStart w:id="56" w:name="_Toc484164334"/>
      <w:r>
        <w:t>3.5.3.</w:t>
      </w:r>
      <w:r>
        <w:tab/>
      </w:r>
      <w:r w:rsidR="00452299" w:rsidRPr="00B46C50">
        <w:t xml:space="preserve">India </w:t>
      </w:r>
      <w:r w:rsidR="00FB50B1">
        <w:t>u</w:t>
      </w:r>
      <w:r w:rsidR="00452299" w:rsidRPr="00B46C50">
        <w:t>pdate</w:t>
      </w:r>
      <w:bookmarkEnd w:id="56"/>
    </w:p>
    <w:p w14:paraId="6F635016" w14:textId="7DED2566" w:rsidR="0095770A" w:rsidRPr="00FC10C4" w:rsidDel="001D6B71" w:rsidRDefault="0095770A" w:rsidP="00A140B1">
      <w:pPr>
        <w:pStyle w:val="Default"/>
        <w:rPr>
          <w:color w:val="auto"/>
          <w:sz w:val="22"/>
          <w:szCs w:val="22"/>
          <w:lang w:bidi="hi-IN"/>
        </w:rPr>
      </w:pPr>
      <w:r w:rsidRPr="00FC10C4">
        <w:rPr>
          <w:color w:val="auto"/>
          <w:sz w:val="22"/>
          <w:szCs w:val="22"/>
          <w:lang w:bidi="hi-IN"/>
        </w:rPr>
        <w:t xml:space="preserve">A national halon bank was initially set up in </w:t>
      </w:r>
      <w:r w:rsidR="002878D4">
        <w:rPr>
          <w:color w:val="auto"/>
          <w:sz w:val="22"/>
          <w:szCs w:val="22"/>
          <w:lang w:bidi="hi-IN"/>
        </w:rPr>
        <w:t xml:space="preserve">2004, with the MLF assistance, </w:t>
      </w:r>
      <w:r w:rsidRPr="00FC10C4">
        <w:rPr>
          <w:color w:val="auto"/>
          <w:sz w:val="22"/>
          <w:szCs w:val="22"/>
          <w:lang w:bidi="hi-IN"/>
        </w:rPr>
        <w:t>fo</w:t>
      </w:r>
      <w:r w:rsidR="002878D4">
        <w:rPr>
          <w:color w:val="auto"/>
          <w:sz w:val="22"/>
          <w:szCs w:val="22"/>
          <w:lang w:bidi="hi-IN"/>
        </w:rPr>
        <w:t>llowed by an awareness campaign</w:t>
      </w:r>
      <w:r w:rsidRPr="00FC10C4">
        <w:rPr>
          <w:color w:val="auto"/>
          <w:sz w:val="22"/>
          <w:szCs w:val="22"/>
          <w:lang w:bidi="hi-IN"/>
        </w:rPr>
        <w:t xml:space="preserve"> until 2006 that included training and numerous workshops.  From 2004–2007 only small quantiti</w:t>
      </w:r>
      <w:r w:rsidR="002878D4">
        <w:rPr>
          <w:color w:val="auto"/>
          <w:sz w:val="22"/>
          <w:szCs w:val="22"/>
          <w:lang w:bidi="hi-IN"/>
        </w:rPr>
        <w:t>es of halon, approximately 1 MT</w:t>
      </w:r>
      <w:r w:rsidRPr="00FC10C4">
        <w:rPr>
          <w:color w:val="auto"/>
          <w:sz w:val="22"/>
          <w:szCs w:val="22"/>
          <w:lang w:bidi="hi-IN"/>
        </w:rPr>
        <w:t xml:space="preserve"> was reclaimed through the national halon banking facility. The facility has remained non-functional since then, but an effort to revive the banking facility now is underway. </w:t>
      </w:r>
    </w:p>
    <w:p w14:paraId="4F2A0053" w14:textId="77777777" w:rsidR="0095770A" w:rsidRPr="00FC10C4" w:rsidRDefault="0095770A" w:rsidP="00A140B1">
      <w:pPr>
        <w:pStyle w:val="Default"/>
        <w:rPr>
          <w:color w:val="auto"/>
          <w:sz w:val="22"/>
          <w:szCs w:val="22"/>
          <w:lang w:bidi="hi-IN"/>
        </w:rPr>
      </w:pPr>
    </w:p>
    <w:p w14:paraId="195B5E99" w14:textId="77777777" w:rsidR="0095770A" w:rsidRPr="00FC10C4" w:rsidRDefault="0095770A" w:rsidP="00A140B1">
      <w:pPr>
        <w:pStyle w:val="Default"/>
        <w:rPr>
          <w:color w:val="auto"/>
          <w:sz w:val="22"/>
          <w:szCs w:val="22"/>
          <w:lang w:bidi="hi-IN"/>
        </w:rPr>
      </w:pPr>
      <w:r w:rsidRPr="00FC10C4">
        <w:rPr>
          <w:color w:val="auto"/>
          <w:sz w:val="22"/>
          <w:szCs w:val="22"/>
          <w:lang w:bidi="hi-IN"/>
        </w:rPr>
        <w:t xml:space="preserve">India in the past has reported limited recovery of halon 2402 and halon 1301 received from shipbreaking in the port of Alang. The updated quantities are under assessment. It was also reported that the recovered halon was being disposed as scrap in the Indian market and being reused by some civilian users; however, the whereabouts of these reported uses are unknown. </w:t>
      </w:r>
    </w:p>
    <w:p w14:paraId="6148E361" w14:textId="77777777" w:rsidR="0095770A" w:rsidRPr="00FC10C4" w:rsidRDefault="0095770A" w:rsidP="00A140B1">
      <w:pPr>
        <w:pStyle w:val="Default"/>
        <w:rPr>
          <w:color w:val="auto"/>
          <w:sz w:val="22"/>
          <w:szCs w:val="22"/>
          <w:lang w:bidi="hi-IN"/>
        </w:rPr>
      </w:pPr>
    </w:p>
    <w:p w14:paraId="4447EB3C" w14:textId="77777777" w:rsidR="0095770A" w:rsidRDefault="0095770A" w:rsidP="00A140B1">
      <w:pPr>
        <w:pStyle w:val="Default"/>
        <w:rPr>
          <w:color w:val="auto"/>
          <w:sz w:val="22"/>
          <w:szCs w:val="22"/>
          <w:lang w:bidi="hi-IN"/>
        </w:rPr>
      </w:pPr>
      <w:r w:rsidRPr="00FC10C4">
        <w:rPr>
          <w:color w:val="auto"/>
          <w:sz w:val="22"/>
          <w:szCs w:val="22"/>
          <w:lang w:bidi="hi-IN"/>
        </w:rPr>
        <w:t>The following is a summary of some of the halon alternatives in use:</w:t>
      </w:r>
    </w:p>
    <w:p w14:paraId="5CA240EE" w14:textId="77777777" w:rsidR="00F23856" w:rsidRPr="00FC10C4" w:rsidRDefault="00F23856" w:rsidP="00A140B1">
      <w:pPr>
        <w:pStyle w:val="Default"/>
        <w:rPr>
          <w:color w:val="auto"/>
          <w:sz w:val="22"/>
          <w:szCs w:val="22"/>
          <w:lang w:bidi="hi-IN"/>
        </w:rPr>
      </w:pPr>
    </w:p>
    <w:p w14:paraId="16184553" w14:textId="256D685B" w:rsidR="0095770A" w:rsidRPr="00FC10C4" w:rsidRDefault="00F23856" w:rsidP="00A140B1">
      <w:pPr>
        <w:pStyle w:val="Default"/>
        <w:numPr>
          <w:ilvl w:val="0"/>
          <w:numId w:val="59"/>
        </w:numPr>
        <w:rPr>
          <w:color w:val="auto"/>
          <w:sz w:val="22"/>
          <w:szCs w:val="22"/>
          <w:lang w:bidi="hi-IN"/>
        </w:rPr>
      </w:pPr>
      <w:r>
        <w:rPr>
          <w:color w:val="auto"/>
          <w:sz w:val="22"/>
          <w:szCs w:val="22"/>
          <w:lang w:bidi="hi-IN"/>
        </w:rPr>
        <w:t>F</w:t>
      </w:r>
      <w:r w:rsidR="0095770A" w:rsidRPr="00FC10C4">
        <w:rPr>
          <w:color w:val="auto"/>
          <w:sz w:val="22"/>
          <w:szCs w:val="22"/>
          <w:lang w:bidi="hi-IN"/>
        </w:rPr>
        <w:t>loating roof tanks are being equipped with foam systems in place of halon 2402;</w:t>
      </w:r>
    </w:p>
    <w:p w14:paraId="3C28438A" w14:textId="43060737" w:rsidR="0095770A" w:rsidRPr="00FC10C4" w:rsidRDefault="00F23856" w:rsidP="00A140B1">
      <w:pPr>
        <w:pStyle w:val="Default"/>
        <w:numPr>
          <w:ilvl w:val="0"/>
          <w:numId w:val="59"/>
        </w:numPr>
        <w:rPr>
          <w:color w:val="auto"/>
          <w:sz w:val="22"/>
          <w:szCs w:val="22"/>
          <w:lang w:bidi="hi-IN"/>
        </w:rPr>
      </w:pPr>
      <w:r>
        <w:rPr>
          <w:color w:val="auto"/>
          <w:sz w:val="22"/>
          <w:szCs w:val="22"/>
          <w:lang w:bidi="hi-IN"/>
        </w:rPr>
        <w:t>M</w:t>
      </w:r>
      <w:r w:rsidR="0095770A" w:rsidRPr="00FC10C4">
        <w:rPr>
          <w:color w:val="auto"/>
          <w:sz w:val="22"/>
          <w:szCs w:val="22"/>
          <w:lang w:bidi="hi-IN"/>
        </w:rPr>
        <w:t>ore than 50% of the portable halon extinguishers have been replaced with dry chemical powder extinguishants, where about 20% are now using carbon dioxide, and less than 20% are utilizing HFCs; and</w:t>
      </w:r>
    </w:p>
    <w:p w14:paraId="6FB3DC6C" w14:textId="594F9209" w:rsidR="0095770A" w:rsidRPr="00FC10C4" w:rsidRDefault="00F23856" w:rsidP="00A140B1">
      <w:pPr>
        <w:pStyle w:val="Default"/>
        <w:numPr>
          <w:ilvl w:val="0"/>
          <w:numId w:val="59"/>
        </w:numPr>
        <w:rPr>
          <w:color w:val="auto"/>
          <w:sz w:val="22"/>
          <w:szCs w:val="22"/>
          <w:lang w:bidi="hi-IN"/>
        </w:rPr>
      </w:pPr>
      <w:r>
        <w:rPr>
          <w:color w:val="auto"/>
          <w:sz w:val="22"/>
          <w:szCs w:val="22"/>
          <w:lang w:bidi="hi-IN"/>
        </w:rPr>
        <w:t>S</w:t>
      </w:r>
      <w:r w:rsidR="0095770A" w:rsidRPr="00FC10C4">
        <w:rPr>
          <w:color w:val="auto"/>
          <w:sz w:val="22"/>
          <w:szCs w:val="22"/>
          <w:lang w:bidi="hi-IN"/>
        </w:rPr>
        <w:t>ome existing fixed systems had been replaced with HCFCs and inert gas systems.</w:t>
      </w:r>
      <w:r w:rsidR="0095770A" w:rsidRPr="00FC10C4" w:rsidDel="007F0223">
        <w:rPr>
          <w:color w:val="auto"/>
          <w:sz w:val="22"/>
          <w:szCs w:val="22"/>
          <w:lang w:bidi="hi-IN"/>
        </w:rPr>
        <w:t xml:space="preserve"> </w:t>
      </w:r>
    </w:p>
    <w:p w14:paraId="7780E365" w14:textId="77777777" w:rsidR="00F23856" w:rsidRDefault="00F23856" w:rsidP="00A140B1">
      <w:pPr>
        <w:pStyle w:val="Default"/>
        <w:rPr>
          <w:color w:val="auto"/>
          <w:sz w:val="22"/>
          <w:szCs w:val="22"/>
          <w:lang w:bidi="hi-IN"/>
        </w:rPr>
      </w:pPr>
    </w:p>
    <w:p w14:paraId="621C0C86" w14:textId="77777777" w:rsidR="0095770A" w:rsidRPr="00FC10C4" w:rsidRDefault="0095770A" w:rsidP="00A140B1">
      <w:pPr>
        <w:pStyle w:val="Default"/>
        <w:rPr>
          <w:color w:val="auto"/>
          <w:sz w:val="22"/>
          <w:szCs w:val="22"/>
          <w:lang w:bidi="hi-IN"/>
        </w:rPr>
      </w:pPr>
      <w:r w:rsidRPr="00FC10C4">
        <w:rPr>
          <w:color w:val="auto"/>
          <w:sz w:val="22"/>
          <w:szCs w:val="22"/>
          <w:lang w:bidi="hi-IN"/>
        </w:rPr>
        <w:t>Now no new halon systems are being installed in the civil sector, however, dry powders and clean agents such as HFC and CO</w:t>
      </w:r>
      <w:r w:rsidRPr="00FC10C4">
        <w:rPr>
          <w:color w:val="auto"/>
          <w:sz w:val="22"/>
          <w:szCs w:val="22"/>
          <w:vertAlign w:val="subscript"/>
          <w:lang w:bidi="hi-IN"/>
        </w:rPr>
        <w:t>2</w:t>
      </w:r>
      <w:r w:rsidRPr="00FC10C4">
        <w:rPr>
          <w:color w:val="auto"/>
          <w:sz w:val="22"/>
          <w:szCs w:val="22"/>
          <w:lang w:bidi="hi-IN"/>
        </w:rPr>
        <w:t xml:space="preserve"> are being reported in both portables and fixed systems. The use of HCFC and its blends has been decreasing drastically and is now less than 5% of the installations. Additionally, a regulation was passed in 2014 banning the import of HCFCs and limiting their use in many applications. </w:t>
      </w:r>
    </w:p>
    <w:p w14:paraId="69196318" w14:textId="77777777" w:rsidR="0095770A" w:rsidRPr="00FC10C4" w:rsidRDefault="0095770A" w:rsidP="00A140B1">
      <w:pPr>
        <w:pStyle w:val="Default"/>
        <w:rPr>
          <w:color w:val="auto"/>
          <w:sz w:val="22"/>
          <w:szCs w:val="22"/>
          <w:lang w:bidi="hi-IN"/>
        </w:rPr>
      </w:pPr>
    </w:p>
    <w:p w14:paraId="0DFB7793" w14:textId="77777777" w:rsidR="0095770A" w:rsidRPr="00FC10C4" w:rsidRDefault="0095770A" w:rsidP="00A140B1">
      <w:pPr>
        <w:pStyle w:val="Default"/>
        <w:rPr>
          <w:color w:val="auto"/>
          <w:sz w:val="22"/>
          <w:szCs w:val="22"/>
          <w:lang w:bidi="hi-IN"/>
        </w:rPr>
      </w:pPr>
      <w:r w:rsidRPr="00FC10C4">
        <w:rPr>
          <w:color w:val="auto"/>
          <w:sz w:val="22"/>
          <w:szCs w:val="22"/>
          <w:lang w:bidi="hi-IN"/>
        </w:rPr>
        <w:lastRenderedPageBreak/>
        <w:t xml:space="preserve">It is reported that the armed forces utilize halon 1211 and halon 1301 for their mission critical uses and have procured the reclaimed quantities needed to support their remaining applications. The military does not currently use dry powder systems, water mist systems, or halon 2402 for </w:t>
      </w:r>
      <w:r w:rsidRPr="00FC10C4">
        <w:rPr>
          <w:color w:val="auto"/>
          <w:sz w:val="22"/>
          <w:szCs w:val="22"/>
          <w:lang w:val="en-GB" w:bidi="hi-IN"/>
        </w:rPr>
        <w:t>armoured</w:t>
      </w:r>
      <w:r w:rsidRPr="00FC10C4">
        <w:rPr>
          <w:color w:val="auto"/>
          <w:sz w:val="22"/>
          <w:szCs w:val="22"/>
          <w:lang w:bidi="hi-IN"/>
        </w:rPr>
        <w:t xml:space="preserve"> vehicles; they still require halon 1301 and halon 1211 and are in the process of developing and commissioning banking to support this application as it is expected to be a medium to long-term requirement. The Navy is considering replacing their halon systems with HFC 227ea and/or water mist systems for shipboard applications. </w:t>
      </w:r>
    </w:p>
    <w:p w14:paraId="0326EC71" w14:textId="77777777" w:rsidR="0095770A" w:rsidRPr="00FC10C4" w:rsidRDefault="0095770A" w:rsidP="00A140B1">
      <w:pPr>
        <w:pStyle w:val="Default"/>
        <w:rPr>
          <w:color w:val="auto"/>
          <w:sz w:val="22"/>
          <w:szCs w:val="22"/>
          <w:lang w:bidi="hi-IN"/>
        </w:rPr>
      </w:pPr>
    </w:p>
    <w:p w14:paraId="660AA57C" w14:textId="7D5E80FD" w:rsidR="00452299" w:rsidRPr="00AE63FD" w:rsidRDefault="0095770A" w:rsidP="00A140B1">
      <w:pPr>
        <w:autoSpaceDE w:val="0"/>
        <w:autoSpaceDN w:val="0"/>
        <w:adjustRightInd w:val="0"/>
        <w:rPr>
          <w:color w:val="FF0000"/>
        </w:rPr>
      </w:pPr>
      <w:r w:rsidRPr="00FC10C4">
        <w:rPr>
          <w:color w:val="auto"/>
          <w:szCs w:val="22"/>
        </w:rPr>
        <w:t>India has an HPMP in place to addres</w:t>
      </w:r>
      <w:r w:rsidR="002878D4">
        <w:rPr>
          <w:color w:val="auto"/>
          <w:szCs w:val="22"/>
        </w:rPr>
        <w:t>s the phase-out of HCFCs. Multi</w:t>
      </w:r>
      <w:r w:rsidRPr="00FC10C4">
        <w:rPr>
          <w:color w:val="auto"/>
          <w:szCs w:val="22"/>
        </w:rPr>
        <w:t>lateral Fund support is being provided to assist India in moving forward the phase-out dates for HCFCs from 2040 to 2025.</w:t>
      </w:r>
    </w:p>
    <w:p w14:paraId="2A616BAB" w14:textId="77777777" w:rsidR="00642379" w:rsidRDefault="00642379" w:rsidP="00A140B1">
      <w:pPr>
        <w:rPr>
          <w:rStyle w:val="Heading1Char3"/>
          <w:b/>
          <w:sz w:val="22"/>
          <w:szCs w:val="22"/>
        </w:rPr>
        <w:sectPr w:rsidR="00642379" w:rsidSect="008D06EA">
          <w:footnotePr>
            <w:numRestart w:val="eachSect"/>
          </w:footnotePr>
          <w:type w:val="oddPage"/>
          <w:pgSz w:w="11907" w:h="16839" w:code="9"/>
          <w:pgMar w:top="1440" w:right="1797" w:bottom="1525" w:left="1797" w:header="720" w:footer="794" w:gutter="0"/>
          <w:pgNumType w:start="0"/>
          <w:cols w:space="720"/>
          <w:docGrid w:linePitch="299"/>
        </w:sectPr>
      </w:pPr>
      <w:bookmarkStart w:id="57" w:name="_Toc515246693"/>
      <w:bookmarkStart w:id="58" w:name="_Toc39573689"/>
    </w:p>
    <w:p w14:paraId="5E873DB0" w14:textId="77777777" w:rsidR="00AD4B2A" w:rsidRPr="00FD4EE9" w:rsidRDefault="009501A1" w:rsidP="00413E4A">
      <w:pPr>
        <w:pStyle w:val="Heading1"/>
        <w:rPr>
          <w:rStyle w:val="Heading1Char2"/>
          <w:rFonts w:ascii="Times New Roman" w:hAnsi="Times New Roman"/>
        </w:rPr>
      </w:pPr>
      <w:bookmarkStart w:id="59" w:name="_Toc351916854"/>
      <w:bookmarkStart w:id="60" w:name="_Toc353428415"/>
      <w:bookmarkStart w:id="61" w:name="_Toc388648345"/>
      <w:bookmarkStart w:id="62" w:name="_Toc295406121"/>
      <w:bookmarkStart w:id="63" w:name="_Toc484164335"/>
      <w:bookmarkStart w:id="64" w:name="_Toc316306131"/>
      <w:r w:rsidRPr="00FD4EE9">
        <w:rPr>
          <w:rStyle w:val="Heading1Char2"/>
          <w:rFonts w:ascii="Times New Roman" w:hAnsi="Times New Roman"/>
        </w:rPr>
        <w:lastRenderedPageBreak/>
        <w:t>4</w:t>
      </w:r>
      <w:r w:rsidR="00591AA8" w:rsidRPr="00FD4EE9">
        <w:rPr>
          <w:rStyle w:val="Heading1Char2"/>
          <w:rFonts w:ascii="Times New Roman" w:hAnsi="Times New Roman"/>
        </w:rPr>
        <w:tab/>
        <w:t>Methyl Bromide TOC (MBTOC) Progress Report</w:t>
      </w:r>
      <w:bookmarkEnd w:id="59"/>
      <w:bookmarkEnd w:id="60"/>
      <w:bookmarkEnd w:id="61"/>
      <w:bookmarkEnd w:id="62"/>
      <w:bookmarkEnd w:id="63"/>
      <w:r w:rsidR="00591AA8" w:rsidRPr="00FD4EE9">
        <w:rPr>
          <w:rStyle w:val="Heading1Char2"/>
          <w:rFonts w:ascii="Times New Roman" w:hAnsi="Times New Roman"/>
        </w:rPr>
        <w:t xml:space="preserve"> </w:t>
      </w:r>
    </w:p>
    <w:p w14:paraId="660DE7EA" w14:textId="2DD9EF00" w:rsidR="00F73340" w:rsidRPr="00C94F4B" w:rsidRDefault="00FB50B1" w:rsidP="00413E4A">
      <w:pPr>
        <w:pStyle w:val="Heading2"/>
      </w:pPr>
      <w:bookmarkStart w:id="65" w:name="_Toc484164336"/>
      <w:bookmarkStart w:id="66" w:name="_Toc230592156"/>
      <w:bookmarkEnd w:id="57"/>
      <w:bookmarkEnd w:id="58"/>
      <w:bookmarkEnd w:id="64"/>
      <w:r>
        <w:t>Executive Summary</w:t>
      </w:r>
      <w:bookmarkEnd w:id="65"/>
    </w:p>
    <w:p w14:paraId="3E86FA7D" w14:textId="09A8BC08" w:rsidR="00F73340" w:rsidRPr="002F5665" w:rsidRDefault="00F73340" w:rsidP="00A140B1">
      <w:pPr>
        <w:shd w:val="clear" w:color="auto" w:fill="FFFFFF"/>
        <w:spacing w:after="0"/>
        <w:rPr>
          <w:color w:val="auto"/>
          <w:szCs w:val="22"/>
          <w:lang w:val="en-US" w:eastAsia="fr-FR"/>
        </w:rPr>
      </w:pPr>
      <w:r w:rsidRPr="002F5665">
        <w:rPr>
          <w:color w:val="auto"/>
          <w:szCs w:val="22"/>
          <w:lang w:val="en-US" w:eastAsia="fr-FR"/>
        </w:rPr>
        <w:t xml:space="preserve">The 2017 MBTOC Progress Report </w:t>
      </w:r>
      <w:r w:rsidR="009427BE">
        <w:rPr>
          <w:color w:val="auto"/>
          <w:szCs w:val="22"/>
          <w:lang w:val="en-US" w:eastAsia="fr-FR"/>
        </w:rPr>
        <w:t>provides an update on the production, consumption and emissions of methyl bromide</w:t>
      </w:r>
      <w:r w:rsidR="00A635AA">
        <w:rPr>
          <w:color w:val="auto"/>
          <w:szCs w:val="22"/>
          <w:lang w:val="en-US" w:eastAsia="fr-FR"/>
        </w:rPr>
        <w:t xml:space="preserve"> (MB)</w:t>
      </w:r>
      <w:r w:rsidR="009427BE">
        <w:rPr>
          <w:color w:val="auto"/>
          <w:szCs w:val="22"/>
          <w:lang w:val="en-US" w:eastAsia="fr-FR"/>
        </w:rPr>
        <w:t xml:space="preserve">. It also provides an update on recent developments </w:t>
      </w:r>
      <w:r w:rsidR="00A635AA">
        <w:rPr>
          <w:color w:val="auto"/>
          <w:szCs w:val="22"/>
          <w:lang w:val="en-US" w:eastAsia="fr-FR"/>
        </w:rPr>
        <w:t xml:space="preserve">with </w:t>
      </w:r>
      <w:r w:rsidR="00A635AA" w:rsidRPr="002F5665">
        <w:rPr>
          <w:color w:val="auto"/>
          <w:szCs w:val="22"/>
          <w:lang w:val="en-US" w:eastAsia="fr-FR"/>
        </w:rPr>
        <w:t>alternatives</w:t>
      </w:r>
      <w:r w:rsidRPr="002F5665">
        <w:rPr>
          <w:color w:val="auto"/>
          <w:szCs w:val="22"/>
          <w:lang w:val="en-US" w:eastAsia="fr-FR"/>
        </w:rPr>
        <w:t xml:space="preserve"> to MB</w:t>
      </w:r>
      <w:r w:rsidR="009427BE">
        <w:rPr>
          <w:color w:val="auto"/>
          <w:szCs w:val="22"/>
          <w:lang w:val="en-US" w:eastAsia="fr-FR"/>
        </w:rPr>
        <w:t xml:space="preserve"> focusing on</w:t>
      </w:r>
      <w:r w:rsidRPr="002F5665">
        <w:rPr>
          <w:color w:val="auto"/>
          <w:szCs w:val="22"/>
          <w:lang w:val="en-US" w:eastAsia="fr-FR"/>
        </w:rPr>
        <w:t xml:space="preserve"> specific sectors for which cr</w:t>
      </w:r>
      <w:r w:rsidR="00A635AA">
        <w:rPr>
          <w:color w:val="auto"/>
          <w:szCs w:val="22"/>
          <w:lang w:val="en-US" w:eastAsia="fr-FR"/>
        </w:rPr>
        <w:t>itical uses are still requested</w:t>
      </w:r>
      <w:r w:rsidRPr="002F5665">
        <w:rPr>
          <w:color w:val="auto"/>
          <w:szCs w:val="22"/>
          <w:lang w:val="en-US" w:eastAsia="fr-FR"/>
        </w:rPr>
        <w:t xml:space="preserve"> </w:t>
      </w:r>
      <w:r w:rsidR="00A635AA">
        <w:rPr>
          <w:color w:val="auto"/>
          <w:szCs w:val="22"/>
          <w:lang w:val="en-US" w:eastAsia="fr-FR"/>
        </w:rPr>
        <w:t>or</w:t>
      </w:r>
      <w:r w:rsidRPr="002F5665">
        <w:rPr>
          <w:color w:val="auto"/>
          <w:szCs w:val="22"/>
          <w:lang w:val="en-US" w:eastAsia="fr-FR"/>
        </w:rPr>
        <w:t xml:space="preserve"> where additional information</w:t>
      </w:r>
      <w:r w:rsidR="00A635AA">
        <w:rPr>
          <w:color w:val="auto"/>
          <w:szCs w:val="22"/>
          <w:lang w:val="en-US" w:eastAsia="fr-FR"/>
        </w:rPr>
        <w:t xml:space="preserve"> on alternatives is useful for further phase out of MB</w:t>
      </w:r>
      <w:r w:rsidRPr="002F5665">
        <w:rPr>
          <w:color w:val="auto"/>
          <w:szCs w:val="22"/>
          <w:lang w:val="en-US" w:eastAsia="fr-FR"/>
        </w:rPr>
        <w:t xml:space="preserve">. Consumption and production of MB for both controlled and exempted (QPS) uses are </w:t>
      </w:r>
      <w:r w:rsidR="00A635AA">
        <w:rPr>
          <w:color w:val="auto"/>
          <w:szCs w:val="22"/>
          <w:lang w:val="en-US" w:eastAsia="fr-FR"/>
        </w:rPr>
        <w:t>provided</w:t>
      </w:r>
      <w:r w:rsidRPr="002F5665">
        <w:rPr>
          <w:color w:val="auto"/>
          <w:szCs w:val="22"/>
          <w:lang w:val="en-US" w:eastAsia="fr-FR"/>
        </w:rPr>
        <w:t xml:space="preserve"> and a section on remaining challenges, including possible illegal trade and unreported/ erroneously reported MB </w:t>
      </w:r>
      <w:r w:rsidR="00A635AA">
        <w:rPr>
          <w:color w:val="auto"/>
          <w:szCs w:val="22"/>
          <w:lang w:val="en-US" w:eastAsia="fr-FR"/>
        </w:rPr>
        <w:t>is</w:t>
      </w:r>
      <w:r w:rsidRPr="002F5665">
        <w:rPr>
          <w:color w:val="auto"/>
          <w:szCs w:val="22"/>
          <w:lang w:val="en-US" w:eastAsia="fr-FR"/>
        </w:rPr>
        <w:t xml:space="preserve"> also presented.</w:t>
      </w:r>
    </w:p>
    <w:p w14:paraId="5B445843" w14:textId="77777777" w:rsidR="00F73340" w:rsidRPr="002F5665" w:rsidRDefault="00F73340" w:rsidP="00A140B1">
      <w:pPr>
        <w:shd w:val="clear" w:color="auto" w:fill="FFFFFF"/>
        <w:spacing w:after="0"/>
        <w:rPr>
          <w:color w:val="auto"/>
          <w:szCs w:val="22"/>
          <w:lang w:val="en-US" w:eastAsia="en-US"/>
        </w:rPr>
      </w:pPr>
    </w:p>
    <w:p w14:paraId="2D49D25E" w14:textId="48C04C94" w:rsidR="00A635AA" w:rsidRPr="002F5665" w:rsidRDefault="00F73340" w:rsidP="00A140B1">
      <w:pPr>
        <w:shd w:val="clear" w:color="auto" w:fill="FFFFFF"/>
        <w:spacing w:after="0"/>
        <w:rPr>
          <w:szCs w:val="22"/>
          <w:lang w:val="en-US" w:eastAsia="en-US"/>
        </w:rPr>
      </w:pPr>
      <w:r w:rsidRPr="002F5665">
        <w:rPr>
          <w:color w:val="auto"/>
          <w:szCs w:val="22"/>
          <w:lang w:val="en-US" w:eastAsia="en-US"/>
        </w:rPr>
        <w:t xml:space="preserve">Despite successful reduction of </w:t>
      </w:r>
      <w:r w:rsidR="00506F55">
        <w:rPr>
          <w:color w:val="auto"/>
          <w:szCs w:val="22"/>
          <w:lang w:val="en-US" w:eastAsia="en-US"/>
        </w:rPr>
        <w:t>MB</w:t>
      </w:r>
      <w:r w:rsidRPr="002F5665">
        <w:rPr>
          <w:color w:val="auto"/>
          <w:szCs w:val="22"/>
          <w:lang w:val="en-US" w:eastAsia="en-US"/>
        </w:rPr>
        <w:t xml:space="preserve"> for controlled uses under the Montreal Protocol, emission studies show that about 3</w:t>
      </w:r>
      <w:r w:rsidR="00A635AA">
        <w:rPr>
          <w:color w:val="auto"/>
          <w:szCs w:val="22"/>
          <w:lang w:val="en-US" w:eastAsia="en-US"/>
        </w:rPr>
        <w:t>1</w:t>
      </w:r>
      <w:r w:rsidRPr="002F5665">
        <w:rPr>
          <w:color w:val="auto"/>
          <w:szCs w:val="22"/>
          <w:lang w:val="en-US" w:eastAsia="en-US"/>
        </w:rPr>
        <w:t>% of the baseline emissions are still being measured in the atmosphere.  As discussed in this and recent reports, it appears that this annual anthropogenic emission of methyl bromide corresponds to a global consumption of approximately 2</w:t>
      </w:r>
      <w:r w:rsidR="00A635AA">
        <w:rPr>
          <w:color w:val="auto"/>
          <w:szCs w:val="22"/>
          <w:lang w:val="en-US" w:eastAsia="en-US"/>
        </w:rPr>
        <w:t>2</w:t>
      </w:r>
      <w:r w:rsidRPr="002F5665">
        <w:rPr>
          <w:color w:val="auto"/>
          <w:szCs w:val="22"/>
          <w:lang w:val="en-US" w:eastAsia="en-US"/>
        </w:rPr>
        <w:t>,000 t</w:t>
      </w:r>
      <w:r w:rsidR="00506F55">
        <w:rPr>
          <w:color w:val="auto"/>
          <w:szCs w:val="22"/>
          <w:lang w:val="en-US" w:eastAsia="en-US"/>
        </w:rPr>
        <w:t>onnes</w:t>
      </w:r>
      <w:r w:rsidRPr="002F5665">
        <w:rPr>
          <w:color w:val="auto"/>
          <w:szCs w:val="22"/>
          <w:lang w:val="en-US" w:eastAsia="en-US"/>
        </w:rPr>
        <w:t xml:space="preserve">.  Uses reported for quarantine and pre-shipment (QPS, about </w:t>
      </w:r>
      <w:r w:rsidR="00EE5FF1">
        <w:rPr>
          <w:color w:val="auto"/>
          <w:szCs w:val="22"/>
          <w:lang w:val="en-US" w:eastAsia="en-US"/>
        </w:rPr>
        <w:t xml:space="preserve">8,00 - </w:t>
      </w:r>
      <w:r w:rsidRPr="002F5665">
        <w:rPr>
          <w:color w:val="auto"/>
          <w:szCs w:val="22"/>
          <w:lang w:val="en-US" w:eastAsia="en-US"/>
        </w:rPr>
        <w:t>10,000 t</w:t>
      </w:r>
      <w:r w:rsidR="00506F55">
        <w:rPr>
          <w:color w:val="auto"/>
          <w:szCs w:val="22"/>
          <w:lang w:val="en-US" w:eastAsia="en-US"/>
        </w:rPr>
        <w:t>onnes</w:t>
      </w:r>
      <w:r w:rsidRPr="002F5665">
        <w:rPr>
          <w:color w:val="auto"/>
          <w:szCs w:val="22"/>
          <w:lang w:val="en-US" w:eastAsia="en-US"/>
        </w:rPr>
        <w:t xml:space="preserve"> annually) contribute to </w:t>
      </w:r>
      <w:r w:rsidR="00A635AA">
        <w:rPr>
          <w:color w:val="auto"/>
          <w:szCs w:val="22"/>
          <w:lang w:val="en-US" w:eastAsia="en-US"/>
        </w:rPr>
        <w:t>less than half</w:t>
      </w:r>
      <w:r w:rsidRPr="002F5665">
        <w:rPr>
          <w:color w:val="auto"/>
          <w:szCs w:val="22"/>
          <w:lang w:val="en-US" w:eastAsia="en-US"/>
        </w:rPr>
        <w:t xml:space="preserve"> of the </w:t>
      </w:r>
      <w:r w:rsidR="00506F55">
        <w:rPr>
          <w:color w:val="auto"/>
          <w:szCs w:val="22"/>
          <w:lang w:val="en-US" w:eastAsia="en-US"/>
        </w:rPr>
        <w:t>MB</w:t>
      </w:r>
      <w:r w:rsidRPr="002F5665">
        <w:rPr>
          <w:color w:val="auto"/>
          <w:szCs w:val="22"/>
          <w:lang w:val="en-US" w:eastAsia="en-US"/>
        </w:rPr>
        <w:t xml:space="preserve"> emitted, </w:t>
      </w:r>
      <w:r w:rsidR="00A635AA">
        <w:rPr>
          <w:color w:val="auto"/>
          <w:szCs w:val="22"/>
          <w:lang w:val="en-US" w:eastAsia="en-US"/>
        </w:rPr>
        <w:t>and</w:t>
      </w:r>
      <w:r w:rsidRPr="002F5665">
        <w:rPr>
          <w:color w:val="auto"/>
          <w:szCs w:val="22"/>
          <w:lang w:val="en-US" w:eastAsia="en-US"/>
        </w:rPr>
        <w:t xml:space="preserve"> the remaining amount is most likely due to unreported </w:t>
      </w:r>
      <w:r w:rsidR="00A635AA" w:rsidRPr="002F5665">
        <w:rPr>
          <w:color w:val="auto"/>
          <w:szCs w:val="22"/>
          <w:lang w:val="en-US" w:eastAsia="en-US"/>
        </w:rPr>
        <w:t xml:space="preserve">consumption </w:t>
      </w:r>
      <w:r w:rsidR="00A635AA">
        <w:rPr>
          <w:color w:val="auto"/>
          <w:szCs w:val="22"/>
          <w:lang w:val="en-US" w:eastAsia="en-US"/>
        </w:rPr>
        <w:t>and</w:t>
      </w:r>
      <w:r w:rsidR="00A635AA" w:rsidRPr="002F5665">
        <w:rPr>
          <w:color w:val="auto"/>
          <w:szCs w:val="22"/>
          <w:lang w:val="en-US" w:eastAsia="en-US"/>
        </w:rPr>
        <w:t xml:space="preserve"> </w:t>
      </w:r>
      <w:r w:rsidR="00A635AA">
        <w:rPr>
          <w:color w:val="auto"/>
          <w:szCs w:val="22"/>
          <w:lang w:val="en-US" w:eastAsia="en-US"/>
        </w:rPr>
        <w:t>partly due to changes</w:t>
      </w:r>
      <w:r w:rsidR="00A635AA" w:rsidRPr="002F5665">
        <w:rPr>
          <w:color w:val="auto"/>
          <w:szCs w:val="22"/>
          <w:lang w:val="en-US" w:eastAsia="en-US"/>
        </w:rPr>
        <w:t xml:space="preserve"> in the </w:t>
      </w:r>
      <w:r w:rsidR="00A635AA">
        <w:rPr>
          <w:color w:val="auto"/>
          <w:szCs w:val="22"/>
          <w:lang w:val="en-US" w:eastAsia="en-US"/>
        </w:rPr>
        <w:t xml:space="preserve">natural </w:t>
      </w:r>
      <w:r w:rsidR="00A635AA" w:rsidRPr="002F5665">
        <w:rPr>
          <w:color w:val="auto"/>
          <w:szCs w:val="22"/>
          <w:lang w:val="en-US" w:eastAsia="en-US"/>
        </w:rPr>
        <w:t>baseline emissions</w:t>
      </w:r>
      <w:r w:rsidR="00A635AA">
        <w:rPr>
          <w:color w:val="auto"/>
          <w:szCs w:val="22"/>
          <w:lang w:val="en-US" w:eastAsia="en-US"/>
        </w:rPr>
        <w:t xml:space="preserve"> due to climate effects (e.g. El Ni</w:t>
      </w:r>
      <w:r w:rsidR="00D3337C">
        <w:rPr>
          <w:color w:val="auto"/>
          <w:szCs w:val="22"/>
          <w:lang w:val="en-US" w:eastAsia="en-US"/>
        </w:rPr>
        <w:t>ñ</w:t>
      </w:r>
      <w:r w:rsidR="00A635AA">
        <w:rPr>
          <w:color w:val="auto"/>
          <w:szCs w:val="22"/>
          <w:lang w:val="en-US" w:eastAsia="en-US"/>
        </w:rPr>
        <w:t>o)</w:t>
      </w:r>
      <w:r w:rsidR="00A635AA" w:rsidRPr="002F5665">
        <w:rPr>
          <w:color w:val="auto"/>
          <w:szCs w:val="22"/>
          <w:lang w:val="en-US" w:eastAsia="en-US"/>
        </w:rPr>
        <w:t>.  This unreported amount dwarfs present consumption for critical uses (around 500 tonnes) and is offsetting the benefit gained by progress in phasing out methyl bromide for Critical Use Exemption (CUE) uses. Parties may wish to address this issue</w:t>
      </w:r>
      <w:r w:rsidR="00A635AA">
        <w:rPr>
          <w:color w:val="auto"/>
          <w:szCs w:val="22"/>
          <w:lang w:val="en-US" w:eastAsia="en-US"/>
        </w:rPr>
        <w:t>.  For e</w:t>
      </w:r>
      <w:r w:rsidR="00A635AA" w:rsidRPr="002F5665">
        <w:rPr>
          <w:color w:val="auto"/>
          <w:szCs w:val="22"/>
          <w:lang w:val="en-US" w:eastAsia="en-US"/>
        </w:rPr>
        <w:t>xample</w:t>
      </w:r>
      <w:r w:rsidR="00A635AA">
        <w:rPr>
          <w:color w:val="auto"/>
          <w:szCs w:val="22"/>
          <w:lang w:val="en-US" w:eastAsia="en-US"/>
        </w:rPr>
        <w:t xml:space="preserve">, </w:t>
      </w:r>
      <w:r w:rsidR="00A635AA" w:rsidRPr="002F5665">
        <w:rPr>
          <w:color w:val="auto"/>
          <w:szCs w:val="22"/>
          <w:lang w:val="en-US" w:eastAsia="en-US"/>
        </w:rPr>
        <w:t xml:space="preserve">by </w:t>
      </w:r>
      <w:r w:rsidR="00A635AA">
        <w:rPr>
          <w:color w:val="auto"/>
          <w:szCs w:val="22"/>
          <w:lang w:val="en-US" w:eastAsia="en-US"/>
        </w:rPr>
        <w:t xml:space="preserve">implementing methods to report on amounts distributed by </w:t>
      </w:r>
      <w:r w:rsidR="00A635AA" w:rsidRPr="002F5665">
        <w:rPr>
          <w:color w:val="auto"/>
          <w:szCs w:val="22"/>
          <w:lang w:val="en-US" w:eastAsia="en-US"/>
        </w:rPr>
        <w:t xml:space="preserve">manufacturers/distributors of MB, supporting ways to improve reporting/management of unreported and/or illegal uses that may be occurring in certain countries or regions and others. </w:t>
      </w:r>
    </w:p>
    <w:p w14:paraId="208123FE" w14:textId="75C1F02F" w:rsidR="00F73340" w:rsidRPr="00A635AA" w:rsidRDefault="00F73340" w:rsidP="00A140B1">
      <w:pPr>
        <w:shd w:val="clear" w:color="auto" w:fill="FFFFFF"/>
        <w:spacing w:after="0"/>
        <w:rPr>
          <w:szCs w:val="22"/>
          <w:lang w:val="en-US" w:eastAsia="en-US"/>
        </w:rPr>
      </w:pPr>
      <w:r w:rsidRPr="002F5665">
        <w:rPr>
          <w:color w:val="auto"/>
          <w:szCs w:val="22"/>
          <w:lang w:val="en-US" w:eastAsia="en-US"/>
        </w:rPr>
        <w:t xml:space="preserve"> </w:t>
      </w:r>
    </w:p>
    <w:p w14:paraId="154E974D" w14:textId="7943DE49" w:rsidR="00F73340" w:rsidRPr="002F5665" w:rsidRDefault="00F73340" w:rsidP="00A140B1">
      <w:pPr>
        <w:shd w:val="clear" w:color="auto" w:fill="FFFFFF"/>
        <w:spacing w:after="0"/>
        <w:rPr>
          <w:szCs w:val="22"/>
          <w:lang w:val="en-US"/>
        </w:rPr>
      </w:pPr>
      <w:r w:rsidRPr="002F5665">
        <w:rPr>
          <w:rFonts w:asciiTheme="majorBidi" w:hAnsiTheme="majorBidi" w:cstheme="majorBidi"/>
          <w:color w:val="auto"/>
          <w:szCs w:val="22"/>
          <w:lang w:val="en-US" w:eastAsia="fr-FR"/>
        </w:rPr>
        <w:t xml:space="preserve">Phase-out of controlled uses of MB has continued progressing under the Critical Use Exemption, in both A5 and non-A5 parties. In 2015, controlled uses amounted to less than 1% of the global baseline, (about </w:t>
      </w:r>
      <w:r w:rsidR="009C7E14">
        <w:rPr>
          <w:rFonts w:asciiTheme="majorBidi" w:hAnsiTheme="majorBidi" w:cstheme="majorBidi"/>
          <w:color w:val="auto"/>
          <w:szCs w:val="22"/>
          <w:lang w:val="en-US" w:eastAsia="fr-FR"/>
        </w:rPr>
        <w:t>56</w:t>
      </w:r>
      <w:r w:rsidRPr="002F5665">
        <w:rPr>
          <w:rFonts w:asciiTheme="majorBidi" w:hAnsiTheme="majorBidi" w:cstheme="majorBidi"/>
          <w:color w:val="auto"/>
          <w:szCs w:val="22"/>
          <w:lang w:val="en-US" w:eastAsia="fr-FR"/>
        </w:rPr>
        <w:t>,000 tonnes</w:t>
      </w:r>
      <w:r w:rsidR="009C7E14">
        <w:rPr>
          <w:rFonts w:asciiTheme="majorBidi" w:hAnsiTheme="majorBidi" w:cstheme="majorBidi"/>
          <w:color w:val="auto"/>
          <w:szCs w:val="22"/>
          <w:lang w:val="en-US" w:eastAsia="fr-FR"/>
        </w:rPr>
        <w:t xml:space="preserve"> for non-A5 and 16,000 for A5 parties</w:t>
      </w:r>
      <w:r w:rsidRPr="002F5665">
        <w:rPr>
          <w:rFonts w:asciiTheme="majorBidi" w:hAnsiTheme="majorBidi" w:cstheme="majorBidi"/>
          <w:color w:val="auto"/>
          <w:szCs w:val="22"/>
          <w:lang w:val="en-US" w:eastAsia="fr-FR"/>
        </w:rPr>
        <w:t>) showing successful development and adoption of alternatives in the vast majority of sectors where MB was once used, both as a soil fumigant and a postharvest or structural treatment. MBTOC notes however that progress in phasing out certain critical uses</w:t>
      </w:r>
      <w:r w:rsidRPr="002F5665">
        <w:rPr>
          <w:color w:val="auto"/>
          <w:szCs w:val="22"/>
          <w:lang w:val="en-US" w:eastAsia="fr-FR"/>
        </w:rPr>
        <w:t xml:space="preserve">, such as for strawberry runners produced as planting stock, </w:t>
      </w:r>
      <w:r w:rsidRPr="002F5665">
        <w:rPr>
          <w:rFonts w:asciiTheme="majorBidi" w:hAnsiTheme="majorBidi" w:cstheme="majorBidi"/>
          <w:color w:val="auto"/>
          <w:szCs w:val="22"/>
          <w:lang w:val="en-US" w:eastAsia="fr-FR"/>
        </w:rPr>
        <w:t xml:space="preserve">seems to have stalled. </w:t>
      </w:r>
      <w:r w:rsidRPr="002F5665">
        <w:rPr>
          <w:color w:val="auto"/>
          <w:szCs w:val="22"/>
          <w:lang w:val="en-US" w:eastAsia="fr-FR"/>
        </w:rPr>
        <w:t>In some countries, alternatives have not been developed that are acceptable to government agencies tasked with certifying planting stock</w:t>
      </w:r>
      <w:r>
        <w:rPr>
          <w:rFonts w:asciiTheme="majorBidi" w:hAnsiTheme="majorBidi" w:cstheme="majorBidi"/>
          <w:color w:val="auto"/>
          <w:szCs w:val="22"/>
          <w:lang w:val="en-US" w:eastAsia="fr-FR"/>
        </w:rPr>
        <w:t xml:space="preserve"> or environmental issues.</w:t>
      </w:r>
      <w:r w:rsidRPr="002F5665">
        <w:rPr>
          <w:rFonts w:asciiTheme="majorBidi" w:hAnsiTheme="majorBidi" w:cstheme="majorBidi"/>
          <w:color w:val="auto"/>
          <w:szCs w:val="22"/>
          <w:lang w:val="en-US" w:eastAsia="fr-FR"/>
        </w:rPr>
        <w:t xml:space="preserve"> </w:t>
      </w:r>
      <w:r>
        <w:rPr>
          <w:rFonts w:asciiTheme="majorBidi" w:hAnsiTheme="majorBidi" w:cstheme="majorBidi"/>
          <w:color w:val="auto"/>
          <w:szCs w:val="22"/>
          <w:lang w:val="en-US" w:eastAsia="fr-FR"/>
        </w:rPr>
        <w:t>S</w:t>
      </w:r>
      <w:r w:rsidRPr="002F5665">
        <w:rPr>
          <w:rFonts w:asciiTheme="majorBidi" w:hAnsiTheme="majorBidi" w:cstheme="majorBidi"/>
          <w:color w:val="auto"/>
          <w:szCs w:val="22"/>
          <w:lang w:val="en-US" w:eastAsia="fr-FR"/>
        </w:rPr>
        <w:t>ome nominations</w:t>
      </w:r>
      <w:r>
        <w:rPr>
          <w:rFonts w:asciiTheme="majorBidi" w:hAnsiTheme="majorBidi" w:cstheme="majorBidi"/>
          <w:color w:val="auto"/>
          <w:szCs w:val="22"/>
          <w:lang w:val="en-US" w:eastAsia="fr-FR"/>
        </w:rPr>
        <w:t xml:space="preserve"> thus</w:t>
      </w:r>
      <w:r w:rsidRPr="002F5665">
        <w:rPr>
          <w:rFonts w:asciiTheme="majorBidi" w:hAnsiTheme="majorBidi" w:cstheme="majorBidi"/>
          <w:color w:val="auto"/>
          <w:szCs w:val="22"/>
          <w:lang w:val="en-US" w:eastAsia="fr-FR"/>
        </w:rPr>
        <w:t xml:space="preserve"> continue, under the same conditions and often the same amounts, after 12 years in non-A5 parties. </w:t>
      </w:r>
      <w:r w:rsidRPr="002F5665">
        <w:rPr>
          <w:szCs w:val="22"/>
          <w:lang w:val="en-US"/>
        </w:rPr>
        <w:t xml:space="preserve"> MBTOC considers that continuous recommendation of these CUEs may be acting as an almost certain guarantee of MB supply to users involved – and could be becoming in itself a barrier to technological change and adoption of alternatives. In other instances, MB used for production </w:t>
      </w:r>
      <w:r w:rsidR="00271CAA">
        <w:rPr>
          <w:szCs w:val="22"/>
          <w:lang w:val="en-US"/>
        </w:rPr>
        <w:t xml:space="preserve">of </w:t>
      </w:r>
      <w:r w:rsidRPr="002F5665">
        <w:rPr>
          <w:szCs w:val="22"/>
          <w:lang w:val="en-US"/>
        </w:rPr>
        <w:t xml:space="preserve">certified plant stock </w:t>
      </w:r>
      <w:r w:rsidR="00271CAA">
        <w:rPr>
          <w:szCs w:val="22"/>
          <w:lang w:val="en-US"/>
        </w:rPr>
        <w:t>has been reclassified as exempt</w:t>
      </w:r>
      <w:r w:rsidRPr="002F5665">
        <w:rPr>
          <w:szCs w:val="22"/>
          <w:lang w:val="en-US"/>
        </w:rPr>
        <w:t xml:space="preserve"> under QPS</w:t>
      </w:r>
      <w:r w:rsidR="00271CAA">
        <w:rPr>
          <w:szCs w:val="22"/>
          <w:lang w:val="en-US"/>
        </w:rPr>
        <w:t xml:space="preserve"> and therefore the MB use has not actually been phased out as a controlled use</w:t>
      </w:r>
      <w:r w:rsidRPr="002F5665">
        <w:rPr>
          <w:szCs w:val="22"/>
          <w:lang w:val="en-US"/>
        </w:rPr>
        <w:t>. MBTOC thus urges the Parties to review regulations and other hurdles to the adoption of alternatives, to help move the MB phase out process forward.</w:t>
      </w:r>
    </w:p>
    <w:p w14:paraId="030F1827" w14:textId="0D0AEC60" w:rsidR="00F73340" w:rsidRPr="00197447" w:rsidRDefault="00F73340" w:rsidP="00413E4A">
      <w:pPr>
        <w:pStyle w:val="Heading2"/>
        <w:rPr>
          <w:rFonts w:asciiTheme="majorBidi" w:hAnsiTheme="majorBidi" w:cstheme="majorBidi"/>
          <w:szCs w:val="24"/>
          <w:lang w:eastAsia="fr-FR"/>
        </w:rPr>
      </w:pPr>
      <w:bookmarkStart w:id="67" w:name="_Toc484164337"/>
      <w:bookmarkStart w:id="68" w:name="_Toc413659283"/>
      <w:bookmarkStart w:id="69" w:name="_Toc413659346"/>
      <w:bookmarkStart w:id="70" w:name="_Toc413659413"/>
      <w:bookmarkStart w:id="71" w:name="_Toc413659848"/>
      <w:bookmarkStart w:id="72" w:name="_Toc414934266"/>
      <w:bookmarkStart w:id="73" w:name="_Toc418842501"/>
      <w:bookmarkStart w:id="74" w:name="_Toc295406123"/>
      <w:bookmarkStart w:id="75" w:name="_Toc442363534"/>
      <w:bookmarkStart w:id="76" w:name="_Toc442692019"/>
      <w:r>
        <w:t>4</w:t>
      </w:r>
      <w:r w:rsidRPr="00C94F4B">
        <w:t>.</w:t>
      </w:r>
      <w:r w:rsidR="00FB50B1">
        <w:t>1</w:t>
      </w:r>
      <w:r w:rsidRPr="00C94F4B">
        <w:t>.</w:t>
      </w:r>
      <w:r>
        <w:t xml:space="preserve"> </w:t>
      </w:r>
      <w:r>
        <w:tab/>
        <w:t>Global MB production and consumption</w:t>
      </w:r>
      <w:bookmarkEnd w:id="67"/>
      <w:r>
        <w:t xml:space="preserve"> </w:t>
      </w:r>
    </w:p>
    <w:p w14:paraId="751E45F7" w14:textId="46F7E2B1" w:rsidR="00F73340" w:rsidRPr="002F5665" w:rsidRDefault="00F73340" w:rsidP="00A140B1">
      <w:pPr>
        <w:rPr>
          <w:rFonts w:asciiTheme="majorBidi" w:hAnsiTheme="majorBidi" w:cstheme="majorBidi"/>
          <w:szCs w:val="22"/>
        </w:rPr>
      </w:pPr>
      <w:r w:rsidRPr="002F5665">
        <w:rPr>
          <w:rFonts w:asciiTheme="majorBidi" w:hAnsiTheme="majorBidi" w:cstheme="majorBidi"/>
          <w:szCs w:val="22"/>
        </w:rPr>
        <w:t xml:space="preserve">By the end of 2015, over 99 % of the global consumption baseline for </w:t>
      </w:r>
      <w:r>
        <w:rPr>
          <w:rFonts w:asciiTheme="majorBidi" w:hAnsiTheme="majorBidi" w:cstheme="majorBidi"/>
          <w:szCs w:val="22"/>
        </w:rPr>
        <w:t>pre-plant</w:t>
      </w:r>
      <w:r w:rsidRPr="002F5665">
        <w:rPr>
          <w:rFonts w:asciiTheme="majorBidi" w:hAnsiTheme="majorBidi" w:cstheme="majorBidi"/>
          <w:szCs w:val="22"/>
        </w:rPr>
        <w:t xml:space="preserve"> and postharvest uses, excluding QPS and feedstock uses, had</w:t>
      </w:r>
      <w:r w:rsidR="00271CAA">
        <w:rPr>
          <w:rFonts w:asciiTheme="majorBidi" w:hAnsiTheme="majorBidi" w:cstheme="majorBidi"/>
          <w:szCs w:val="22"/>
        </w:rPr>
        <w:t xml:space="preserve"> reportedly</w:t>
      </w:r>
      <w:r w:rsidRPr="002F5665">
        <w:rPr>
          <w:rFonts w:asciiTheme="majorBidi" w:hAnsiTheme="majorBidi" w:cstheme="majorBidi"/>
          <w:szCs w:val="22"/>
        </w:rPr>
        <w:t xml:space="preserve"> been replaced with alternatives (or re-categorised to QPS). Reported consumption</w:t>
      </w:r>
      <w:r w:rsidR="00271CAA">
        <w:rPr>
          <w:rFonts w:asciiTheme="majorBidi" w:hAnsiTheme="majorBidi" w:cstheme="majorBidi"/>
          <w:szCs w:val="22"/>
        </w:rPr>
        <w:t xml:space="preserve"> as of the end of 2015</w:t>
      </w:r>
      <w:r w:rsidRPr="002F5665">
        <w:rPr>
          <w:rFonts w:asciiTheme="majorBidi" w:hAnsiTheme="majorBidi" w:cstheme="majorBidi"/>
          <w:szCs w:val="22"/>
        </w:rPr>
        <w:t xml:space="preserve"> for controlled uses in A5 and non- A5 parties is now almost equivalent, at 333 and 281 metric tonnes respectively.</w:t>
      </w:r>
    </w:p>
    <w:p w14:paraId="256EFE9C" w14:textId="64DF5296" w:rsidR="00F73340" w:rsidRPr="002F5665" w:rsidRDefault="00F73340" w:rsidP="00A140B1">
      <w:pPr>
        <w:rPr>
          <w:rFonts w:asciiTheme="majorBidi" w:hAnsiTheme="majorBidi" w:cstheme="majorBidi"/>
          <w:szCs w:val="22"/>
        </w:rPr>
      </w:pPr>
      <w:r w:rsidRPr="002F5665">
        <w:rPr>
          <w:rFonts w:asciiTheme="majorBidi" w:hAnsiTheme="majorBidi" w:cstheme="majorBidi"/>
          <w:szCs w:val="22"/>
        </w:rPr>
        <w:lastRenderedPageBreak/>
        <w:t xml:space="preserve">Figures </w:t>
      </w:r>
      <w:r w:rsidR="00271CAA">
        <w:rPr>
          <w:rFonts w:asciiTheme="majorBidi" w:hAnsiTheme="majorBidi" w:cstheme="majorBidi"/>
          <w:szCs w:val="22"/>
        </w:rPr>
        <w:t>4.</w:t>
      </w:r>
      <w:r w:rsidRPr="002F5665">
        <w:rPr>
          <w:rFonts w:asciiTheme="majorBidi" w:hAnsiTheme="majorBidi" w:cstheme="majorBidi"/>
          <w:szCs w:val="22"/>
        </w:rPr>
        <w:t xml:space="preserve">1 and </w:t>
      </w:r>
      <w:r w:rsidR="00271CAA">
        <w:rPr>
          <w:rFonts w:asciiTheme="majorBidi" w:hAnsiTheme="majorBidi" w:cstheme="majorBidi"/>
          <w:szCs w:val="22"/>
        </w:rPr>
        <w:t>4.</w:t>
      </w:r>
      <w:r w:rsidRPr="002F5665">
        <w:rPr>
          <w:rFonts w:asciiTheme="majorBidi" w:hAnsiTheme="majorBidi" w:cstheme="majorBidi"/>
          <w:szCs w:val="22"/>
        </w:rPr>
        <w:t>2 below illustrate MB global consumption for controlled and exempted (QPS) uses up to 2015, the last year for which full Article 7 data is available at the Ozone Secretariat’s Data Access Centre</w:t>
      </w:r>
      <w:r>
        <w:rPr>
          <w:rFonts w:asciiTheme="majorBidi" w:hAnsiTheme="majorBidi" w:cstheme="majorBidi"/>
          <w:szCs w:val="22"/>
        </w:rPr>
        <w:t xml:space="preserve"> (</w:t>
      </w:r>
      <w:hyperlink r:id="rId35" w:history="1">
        <w:r w:rsidR="00271CAA" w:rsidRPr="00D607D4">
          <w:rPr>
            <w:rStyle w:val="Hyperlink"/>
            <w:rFonts w:asciiTheme="majorBidi" w:hAnsiTheme="majorBidi" w:cstheme="majorBidi"/>
            <w:szCs w:val="22"/>
          </w:rPr>
          <w:t>http://ozone.unep.org/en/data-reporting/data-centre</w:t>
        </w:r>
      </w:hyperlink>
      <w:r w:rsidR="00271CAA">
        <w:rPr>
          <w:rFonts w:asciiTheme="majorBidi" w:hAnsiTheme="majorBidi" w:cstheme="majorBidi"/>
          <w:szCs w:val="22"/>
        </w:rPr>
        <w:t xml:space="preserve"> </w:t>
      </w:r>
      <w:r>
        <w:rPr>
          <w:rFonts w:asciiTheme="majorBidi" w:hAnsiTheme="majorBidi" w:cstheme="majorBidi"/>
          <w:szCs w:val="22"/>
        </w:rPr>
        <w:t>)</w:t>
      </w:r>
      <w:r w:rsidRPr="002F5665">
        <w:rPr>
          <w:rFonts w:asciiTheme="majorBidi" w:hAnsiTheme="majorBidi" w:cstheme="majorBidi"/>
          <w:szCs w:val="22"/>
        </w:rPr>
        <w:t>. Note that the non-A5 consumption baseline was about 56,000 metric tonnes</w:t>
      </w:r>
      <w:r w:rsidR="00271CAA">
        <w:rPr>
          <w:rFonts w:asciiTheme="majorBidi" w:hAnsiTheme="majorBidi" w:cstheme="majorBidi"/>
          <w:szCs w:val="22"/>
        </w:rPr>
        <w:t xml:space="preserve"> (consumption in 1991)</w:t>
      </w:r>
      <w:r w:rsidRPr="002F5665">
        <w:rPr>
          <w:rFonts w:asciiTheme="majorBidi" w:hAnsiTheme="majorBidi" w:cstheme="majorBidi"/>
          <w:szCs w:val="22"/>
        </w:rPr>
        <w:t xml:space="preserve"> and the A5 baseline </w:t>
      </w:r>
      <w:r w:rsidR="00271CAA">
        <w:rPr>
          <w:rFonts w:asciiTheme="majorBidi" w:hAnsiTheme="majorBidi" w:cstheme="majorBidi"/>
          <w:szCs w:val="22"/>
        </w:rPr>
        <w:t xml:space="preserve">about </w:t>
      </w:r>
      <w:r w:rsidRPr="002F5665">
        <w:rPr>
          <w:rFonts w:asciiTheme="majorBidi" w:hAnsiTheme="majorBidi" w:cstheme="majorBidi"/>
          <w:szCs w:val="22"/>
        </w:rPr>
        <w:t>16,000 metric tonnes</w:t>
      </w:r>
      <w:r w:rsidR="00271CAA">
        <w:rPr>
          <w:rFonts w:asciiTheme="majorBidi" w:hAnsiTheme="majorBidi" w:cstheme="majorBidi"/>
          <w:szCs w:val="22"/>
        </w:rPr>
        <w:t xml:space="preserve"> (average consumption 1995 – 1998)</w:t>
      </w:r>
      <w:r w:rsidRPr="002F5665">
        <w:rPr>
          <w:rFonts w:asciiTheme="majorBidi" w:hAnsiTheme="majorBidi" w:cstheme="majorBidi"/>
          <w:szCs w:val="22"/>
        </w:rPr>
        <w:t xml:space="preserve">. The phaseout deadline for controlled uses for non-A5 Parties was 1 January 2005, whilst that for A5 Parties was 1 January 2015. Fig. </w:t>
      </w:r>
      <w:r w:rsidR="00271CAA">
        <w:rPr>
          <w:rFonts w:asciiTheme="majorBidi" w:hAnsiTheme="majorBidi" w:cstheme="majorBidi"/>
          <w:szCs w:val="22"/>
        </w:rPr>
        <w:t>4.</w:t>
      </w:r>
      <w:r w:rsidRPr="002F5665">
        <w:rPr>
          <w:rFonts w:asciiTheme="majorBidi" w:hAnsiTheme="majorBidi" w:cstheme="majorBidi"/>
          <w:szCs w:val="22"/>
        </w:rPr>
        <w:t>3 refers to MB production for exempted uses (QPS).</w:t>
      </w:r>
    </w:p>
    <w:p w14:paraId="2B4CA468" w14:textId="771AE441" w:rsidR="00F73340" w:rsidRPr="00A1743E" w:rsidRDefault="00F73340" w:rsidP="00A140B1">
      <w:pPr>
        <w:rPr>
          <w:rFonts w:asciiTheme="majorBidi" w:hAnsiTheme="majorBidi" w:cstheme="majorBidi"/>
          <w:b/>
          <w:i/>
          <w:sz w:val="24"/>
          <w:szCs w:val="24"/>
        </w:rPr>
      </w:pPr>
      <w:proofErr w:type="gramStart"/>
      <w:r w:rsidRPr="00A1743E">
        <w:rPr>
          <w:rFonts w:asciiTheme="majorBidi" w:hAnsiTheme="majorBidi" w:cstheme="majorBidi"/>
          <w:b/>
          <w:i/>
          <w:sz w:val="24"/>
          <w:szCs w:val="24"/>
        </w:rPr>
        <w:t xml:space="preserve">Figure </w:t>
      </w:r>
      <w:r w:rsidR="00FB50B1">
        <w:rPr>
          <w:rFonts w:asciiTheme="majorBidi" w:hAnsiTheme="majorBidi" w:cstheme="majorBidi"/>
          <w:b/>
          <w:i/>
          <w:sz w:val="24"/>
          <w:szCs w:val="24"/>
        </w:rPr>
        <w:t>4.</w:t>
      </w:r>
      <w:r w:rsidRPr="00A1743E">
        <w:rPr>
          <w:rFonts w:asciiTheme="majorBidi" w:hAnsiTheme="majorBidi" w:cstheme="majorBidi"/>
          <w:b/>
          <w:i/>
          <w:sz w:val="24"/>
          <w:szCs w:val="24"/>
        </w:rPr>
        <w:t>1.</w:t>
      </w:r>
      <w:proofErr w:type="gramEnd"/>
      <w:r w:rsidRPr="00A1743E">
        <w:rPr>
          <w:rFonts w:asciiTheme="majorBidi" w:hAnsiTheme="majorBidi" w:cstheme="majorBidi"/>
          <w:b/>
          <w:i/>
          <w:sz w:val="24"/>
          <w:szCs w:val="24"/>
        </w:rPr>
        <w:t xml:space="preserve"> Global consumption of MB for controlled uses </w:t>
      </w:r>
    </w:p>
    <w:p w14:paraId="364BFC47" w14:textId="77777777" w:rsidR="00F73340" w:rsidRPr="00AE03EA" w:rsidRDefault="00F73340" w:rsidP="00F73340">
      <w:r>
        <w:rPr>
          <w:noProof/>
          <w:lang w:val="en-US" w:eastAsia="en-US"/>
        </w:rPr>
        <w:drawing>
          <wp:inline distT="0" distB="0" distL="0" distR="0" wp14:anchorId="709FECE9" wp14:editId="42508E45">
            <wp:extent cx="5024755" cy="2520315"/>
            <wp:effectExtent l="0" t="0" r="29845" b="1968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Pr>
          <w:sz w:val="20"/>
        </w:rPr>
        <w:t>Source: Ozone Secretariat Data Access Centre, 2017</w:t>
      </w:r>
    </w:p>
    <w:p w14:paraId="1C1A091C" w14:textId="5DB39975" w:rsidR="00F73340" w:rsidRPr="00A1743E" w:rsidRDefault="00F73340" w:rsidP="00F73340">
      <w:pPr>
        <w:rPr>
          <w:rFonts w:asciiTheme="majorBidi" w:hAnsiTheme="majorBidi" w:cstheme="majorBidi"/>
          <w:b/>
          <w:i/>
          <w:sz w:val="24"/>
          <w:szCs w:val="24"/>
        </w:rPr>
      </w:pPr>
      <w:proofErr w:type="gramStart"/>
      <w:r w:rsidRPr="00A1743E">
        <w:rPr>
          <w:rFonts w:asciiTheme="majorBidi" w:hAnsiTheme="majorBidi" w:cstheme="majorBidi"/>
          <w:b/>
          <w:i/>
          <w:sz w:val="24"/>
          <w:szCs w:val="24"/>
        </w:rPr>
        <w:t xml:space="preserve">Figure </w:t>
      </w:r>
      <w:r w:rsidR="00FB50B1">
        <w:rPr>
          <w:rFonts w:asciiTheme="majorBidi" w:hAnsiTheme="majorBidi" w:cstheme="majorBidi"/>
          <w:b/>
          <w:i/>
          <w:sz w:val="24"/>
          <w:szCs w:val="24"/>
        </w:rPr>
        <w:t>4.</w:t>
      </w:r>
      <w:r w:rsidRPr="00A1743E">
        <w:rPr>
          <w:rFonts w:asciiTheme="majorBidi" w:hAnsiTheme="majorBidi" w:cstheme="majorBidi"/>
          <w:b/>
          <w:i/>
          <w:sz w:val="24"/>
          <w:szCs w:val="24"/>
        </w:rPr>
        <w:t>2.</w:t>
      </w:r>
      <w:proofErr w:type="gramEnd"/>
      <w:r w:rsidRPr="00A1743E">
        <w:rPr>
          <w:rFonts w:asciiTheme="majorBidi" w:hAnsiTheme="majorBidi" w:cstheme="majorBidi"/>
          <w:b/>
          <w:i/>
          <w:sz w:val="24"/>
          <w:szCs w:val="24"/>
        </w:rPr>
        <w:t xml:space="preserve"> Global and regional consumption of MB for QPS purposes </w:t>
      </w:r>
    </w:p>
    <w:p w14:paraId="2DDC3E6E" w14:textId="77777777" w:rsidR="00F73340" w:rsidRDefault="00F73340" w:rsidP="00F73340">
      <w:pPr>
        <w:rPr>
          <w:rFonts w:asciiTheme="majorBidi" w:hAnsiTheme="majorBidi" w:cstheme="majorBidi"/>
          <w:b/>
          <w:szCs w:val="22"/>
        </w:rPr>
      </w:pPr>
      <w:r>
        <w:rPr>
          <w:noProof/>
          <w:lang w:val="en-US" w:eastAsia="en-US"/>
        </w:rPr>
        <w:drawing>
          <wp:inline distT="0" distB="0" distL="0" distR="0" wp14:anchorId="276ECF00" wp14:editId="6107F5FC">
            <wp:extent cx="5253828" cy="2624928"/>
            <wp:effectExtent l="0" t="0" r="23495" b="2349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553D1D5" w14:textId="77777777" w:rsidR="00F73340" w:rsidRPr="00691E27" w:rsidRDefault="00F73340" w:rsidP="00F73340">
      <w:pPr>
        <w:rPr>
          <w:sz w:val="20"/>
        </w:rPr>
      </w:pPr>
      <w:r>
        <w:rPr>
          <w:sz w:val="20"/>
        </w:rPr>
        <w:t>Source: Ozone Secretariat Data Access Centre, 2017</w:t>
      </w:r>
    </w:p>
    <w:p w14:paraId="2BA5CA59" w14:textId="3FD082C4" w:rsidR="00F73340" w:rsidRDefault="00F73340" w:rsidP="00A140B1">
      <w:pPr>
        <w:rPr>
          <w:szCs w:val="22"/>
        </w:rPr>
      </w:pPr>
      <w:r w:rsidRPr="002F5665">
        <w:rPr>
          <w:rFonts w:asciiTheme="majorBidi" w:hAnsiTheme="majorBidi" w:cstheme="majorBidi"/>
          <w:szCs w:val="22"/>
        </w:rPr>
        <w:t>MB consumption for QPS uses typically shows variations from year to year but appears to continue at an average of around 10,000 metric tonnes per year. In 2015 there appeared to be a fall from this long</w:t>
      </w:r>
      <w:r w:rsidR="002878D4">
        <w:rPr>
          <w:rFonts w:asciiTheme="majorBidi" w:hAnsiTheme="majorBidi" w:cstheme="majorBidi"/>
          <w:szCs w:val="22"/>
        </w:rPr>
        <w:t>-</w:t>
      </w:r>
      <w:r w:rsidRPr="002F5665">
        <w:rPr>
          <w:rFonts w:asciiTheme="majorBidi" w:hAnsiTheme="majorBidi" w:cstheme="majorBidi"/>
          <w:szCs w:val="22"/>
        </w:rPr>
        <w:t xml:space="preserve">term trend, with total reported QPS consumption of </w:t>
      </w:r>
      <w:r w:rsidR="00271CAA">
        <w:rPr>
          <w:rFonts w:asciiTheme="majorBidi" w:hAnsiTheme="majorBidi" w:cstheme="majorBidi"/>
          <w:szCs w:val="22"/>
        </w:rPr>
        <w:t xml:space="preserve">about </w:t>
      </w:r>
      <w:r w:rsidRPr="002F5665">
        <w:rPr>
          <w:rFonts w:asciiTheme="majorBidi" w:hAnsiTheme="majorBidi" w:cstheme="majorBidi"/>
          <w:szCs w:val="22"/>
        </w:rPr>
        <w:t>8,</w:t>
      </w:r>
      <w:r w:rsidR="00321E9C">
        <w:rPr>
          <w:rFonts w:asciiTheme="majorBidi" w:hAnsiTheme="majorBidi" w:cstheme="majorBidi"/>
          <w:szCs w:val="22"/>
        </w:rPr>
        <w:t>3</w:t>
      </w:r>
      <w:r w:rsidRPr="002F5665">
        <w:rPr>
          <w:rFonts w:asciiTheme="majorBidi" w:hAnsiTheme="majorBidi" w:cstheme="majorBidi"/>
          <w:szCs w:val="22"/>
        </w:rPr>
        <w:t>00 tonnes (in A5 Parties amounted to about 4,700 metric tonnes, whilst that of non-A5 Parties was 3,500 metric tonnes).</w:t>
      </w:r>
      <w:r w:rsidRPr="002F5665">
        <w:rPr>
          <w:szCs w:val="22"/>
        </w:rPr>
        <w:t xml:space="preserve"> </w:t>
      </w:r>
    </w:p>
    <w:p w14:paraId="12507673" w14:textId="252B834C" w:rsidR="00F73340" w:rsidRPr="002F5665" w:rsidRDefault="00F73340" w:rsidP="00A140B1">
      <w:pPr>
        <w:rPr>
          <w:rFonts w:asciiTheme="majorBidi" w:hAnsiTheme="majorBidi" w:cstheme="majorBidi"/>
          <w:szCs w:val="22"/>
        </w:rPr>
      </w:pPr>
      <w:r w:rsidRPr="004469AE">
        <w:rPr>
          <w:szCs w:val="22"/>
        </w:rPr>
        <w:lastRenderedPageBreak/>
        <w:t>Information on global production of MB for QPS purposes has become more complete as of 2015, with India now reporting production of 1,333 metric tonnes of MB in that year. It is the first time India reports any production of MB since 2002. Total world production of MB for QPS amounted to about 8,450 metric tonnes in 2015.</w:t>
      </w:r>
      <w:r>
        <w:rPr>
          <w:szCs w:val="22"/>
        </w:rPr>
        <w:t xml:space="preserve"> Five parties, two A5 (China, India) and </w:t>
      </w:r>
      <w:r w:rsidR="00506F55">
        <w:rPr>
          <w:szCs w:val="22"/>
        </w:rPr>
        <w:t>three</w:t>
      </w:r>
      <w:r>
        <w:rPr>
          <w:szCs w:val="22"/>
        </w:rPr>
        <w:t xml:space="preserve"> non-A5</w:t>
      </w:r>
      <w:r w:rsidR="00506F55">
        <w:rPr>
          <w:szCs w:val="22"/>
        </w:rPr>
        <w:t>s</w:t>
      </w:r>
      <w:r>
        <w:rPr>
          <w:szCs w:val="22"/>
        </w:rPr>
        <w:t xml:space="preserve"> (</w:t>
      </w:r>
      <w:r w:rsidR="0070607D">
        <w:rPr>
          <w:szCs w:val="22"/>
        </w:rPr>
        <w:t>US</w:t>
      </w:r>
      <w:r>
        <w:rPr>
          <w:szCs w:val="22"/>
        </w:rPr>
        <w:t>, Israel and Japan) presently produce MB for QPS, as seen in Fig. 4 below.</w:t>
      </w:r>
    </w:p>
    <w:p w14:paraId="33DCE382" w14:textId="4E13037B" w:rsidR="00F73340" w:rsidRPr="00A1743E" w:rsidRDefault="00F73340" w:rsidP="00A140B1">
      <w:pPr>
        <w:rPr>
          <w:b/>
          <w:i/>
          <w:sz w:val="24"/>
          <w:szCs w:val="24"/>
        </w:rPr>
      </w:pPr>
      <w:proofErr w:type="gramStart"/>
      <w:r w:rsidRPr="00A1743E">
        <w:rPr>
          <w:b/>
          <w:i/>
          <w:sz w:val="24"/>
          <w:szCs w:val="24"/>
        </w:rPr>
        <w:t xml:space="preserve">Figure </w:t>
      </w:r>
      <w:r w:rsidR="00FB50B1">
        <w:rPr>
          <w:b/>
          <w:i/>
          <w:sz w:val="24"/>
          <w:szCs w:val="24"/>
        </w:rPr>
        <w:t>4.</w:t>
      </w:r>
      <w:r w:rsidRPr="00A1743E">
        <w:rPr>
          <w:b/>
          <w:i/>
          <w:sz w:val="24"/>
          <w:szCs w:val="24"/>
        </w:rPr>
        <w:t>3.</w:t>
      </w:r>
      <w:proofErr w:type="gramEnd"/>
      <w:r w:rsidRPr="00A1743E">
        <w:rPr>
          <w:b/>
          <w:i/>
          <w:sz w:val="24"/>
          <w:szCs w:val="24"/>
        </w:rPr>
        <w:t xml:space="preserve"> Global MB production for QPS purposes</w:t>
      </w:r>
    </w:p>
    <w:p w14:paraId="3C10C1E0" w14:textId="77777777" w:rsidR="00F73340" w:rsidRDefault="00F73340" w:rsidP="00F73340">
      <w:r>
        <w:rPr>
          <w:noProof/>
          <w:lang w:val="en-US" w:eastAsia="en-US"/>
        </w:rPr>
        <w:drawing>
          <wp:inline distT="0" distB="0" distL="0" distR="0" wp14:anchorId="0974AD3A" wp14:editId="5C263407">
            <wp:extent cx="5372100" cy="2743200"/>
            <wp:effectExtent l="0" t="0" r="12700" b="2540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9EA8B6F" w14:textId="77777777" w:rsidR="00F73340" w:rsidRPr="00691E27" w:rsidRDefault="00F73340" w:rsidP="00F73340">
      <w:pPr>
        <w:rPr>
          <w:sz w:val="20"/>
        </w:rPr>
      </w:pPr>
      <w:r>
        <w:rPr>
          <w:sz w:val="20"/>
        </w:rPr>
        <w:t>Source: Ozone Secretariat Data Access Centre, 2017</w:t>
      </w:r>
      <w:r w:rsidRPr="00E83F36">
        <w:rPr>
          <w:szCs w:val="22"/>
        </w:rPr>
        <w:t xml:space="preserve"> </w:t>
      </w:r>
    </w:p>
    <w:p w14:paraId="65F41217" w14:textId="2E8BBB42" w:rsidR="00F73340" w:rsidRPr="00C94F4B" w:rsidRDefault="00F73340" w:rsidP="00413E4A">
      <w:pPr>
        <w:pStyle w:val="Heading2"/>
      </w:pPr>
      <w:bookmarkStart w:id="77" w:name="_Toc484164338"/>
      <w:r>
        <w:t>4.</w:t>
      </w:r>
      <w:r w:rsidR="00FB50B1">
        <w:t>2</w:t>
      </w:r>
      <w:r>
        <w:t>.</w:t>
      </w:r>
      <w:r>
        <w:tab/>
        <w:t>Update on a</w:t>
      </w:r>
      <w:r w:rsidRPr="00C94F4B">
        <w:t xml:space="preserve">lternatives for </w:t>
      </w:r>
      <w:bookmarkEnd w:id="68"/>
      <w:bookmarkEnd w:id="69"/>
      <w:bookmarkEnd w:id="70"/>
      <w:bookmarkEnd w:id="71"/>
      <w:bookmarkEnd w:id="72"/>
      <w:bookmarkEnd w:id="73"/>
      <w:bookmarkEnd w:id="74"/>
      <w:bookmarkEnd w:id="75"/>
      <w:bookmarkEnd w:id="76"/>
      <w:r>
        <w:t>remaining critical uses</w:t>
      </w:r>
      <w:bookmarkEnd w:id="77"/>
    </w:p>
    <w:p w14:paraId="5F66E45B" w14:textId="77777777" w:rsidR="00F73340" w:rsidRPr="002F5665" w:rsidRDefault="00F73340" w:rsidP="00A140B1">
      <w:pPr>
        <w:contextualSpacing/>
        <w:rPr>
          <w:rFonts w:asciiTheme="majorBidi" w:hAnsiTheme="majorBidi" w:cstheme="majorBidi"/>
          <w:szCs w:val="22"/>
        </w:rPr>
      </w:pPr>
      <w:r w:rsidRPr="002F5665">
        <w:rPr>
          <w:rFonts w:asciiTheme="majorBidi" w:hAnsiTheme="majorBidi" w:cstheme="majorBidi"/>
          <w:szCs w:val="22"/>
        </w:rPr>
        <w:t xml:space="preserve">Technically and economically feasible chemical and non-chemical alternatives to MB have been found for virtually all soils, structural and commodity applications for which MB was used in the past with comprehensive information available for these uses (MBTOC, 2015). </w:t>
      </w:r>
    </w:p>
    <w:p w14:paraId="09535566" w14:textId="5477BF1A" w:rsidR="00F73340" w:rsidRDefault="00F73340" w:rsidP="00413E4A">
      <w:pPr>
        <w:pStyle w:val="Heading3"/>
      </w:pPr>
      <w:bookmarkStart w:id="78" w:name="_Toc413659851"/>
      <w:bookmarkStart w:id="79" w:name="_Toc414934269"/>
      <w:bookmarkStart w:id="80" w:name="_Toc418842503"/>
      <w:bookmarkStart w:id="81" w:name="_Toc295406125"/>
      <w:bookmarkStart w:id="82" w:name="_Toc442363536"/>
      <w:bookmarkStart w:id="83" w:name="_Toc442692021"/>
      <w:bookmarkStart w:id="84" w:name="_Toc484164339"/>
      <w:r>
        <w:t>4</w:t>
      </w:r>
      <w:r w:rsidRPr="00C94F4B">
        <w:t>.</w:t>
      </w:r>
      <w:r w:rsidR="00FB50B1">
        <w:t>2</w:t>
      </w:r>
      <w:r w:rsidRPr="00C94F4B">
        <w:t>.</w:t>
      </w:r>
      <w:r>
        <w:t>1</w:t>
      </w:r>
      <w:r w:rsidR="00642379">
        <w:t>.</w:t>
      </w:r>
      <w:r w:rsidR="00642379">
        <w:tab/>
      </w:r>
      <w:r>
        <w:t>Alternatives for remaining CUNs in the s</w:t>
      </w:r>
      <w:r w:rsidRPr="00C94F4B">
        <w:t>oil sector</w:t>
      </w:r>
      <w:bookmarkEnd w:id="78"/>
      <w:bookmarkEnd w:id="79"/>
      <w:bookmarkEnd w:id="80"/>
      <w:bookmarkEnd w:id="81"/>
      <w:bookmarkEnd w:id="82"/>
      <w:bookmarkEnd w:id="83"/>
      <w:bookmarkEnd w:id="84"/>
      <w:r>
        <w:t xml:space="preserve"> </w:t>
      </w:r>
    </w:p>
    <w:p w14:paraId="5CFFD177" w14:textId="387E48DD" w:rsidR="00F73340" w:rsidRPr="007C3005" w:rsidRDefault="00F73340" w:rsidP="00413E4A">
      <w:pPr>
        <w:pStyle w:val="Heading4"/>
      </w:pPr>
      <w:bookmarkStart w:id="85" w:name="_Toc483916004"/>
      <w:r w:rsidRPr="007C3005">
        <w:t>4.</w:t>
      </w:r>
      <w:r w:rsidR="00FB50B1">
        <w:t>2</w:t>
      </w:r>
      <w:r w:rsidRPr="007C3005">
        <w:t>.1.1</w:t>
      </w:r>
      <w:r w:rsidRPr="007C3005">
        <w:tab/>
        <w:t>False rootknot nematode of tomato</w:t>
      </w:r>
      <w:bookmarkEnd w:id="85"/>
    </w:p>
    <w:p w14:paraId="5D13B0E6" w14:textId="0F87DE51" w:rsidR="00F73340" w:rsidRPr="002F5665" w:rsidRDefault="00271CAA" w:rsidP="00A140B1">
      <w:pPr>
        <w:autoSpaceDE w:val="0"/>
        <w:autoSpaceDN w:val="0"/>
        <w:adjustRightInd w:val="0"/>
        <w:rPr>
          <w:rFonts w:asciiTheme="majorBidi" w:hAnsiTheme="majorBidi" w:cstheme="majorBidi"/>
          <w:szCs w:val="22"/>
        </w:rPr>
      </w:pPr>
      <w:r>
        <w:rPr>
          <w:rFonts w:asciiTheme="majorBidi" w:hAnsiTheme="majorBidi" w:cstheme="majorBidi"/>
          <w:iCs/>
          <w:szCs w:val="22"/>
        </w:rPr>
        <w:t xml:space="preserve">Control of the false root-knot nematode is proving difficult in protected cultivation (i.e. in plastic greenhouses) in Argentina.  </w:t>
      </w:r>
      <w:r w:rsidR="00F73340" w:rsidRPr="002F5665">
        <w:rPr>
          <w:rFonts w:asciiTheme="majorBidi" w:hAnsiTheme="majorBidi" w:cstheme="majorBidi"/>
          <w:iCs/>
          <w:szCs w:val="22"/>
        </w:rPr>
        <w:t xml:space="preserve">The false rootknot nematode, </w:t>
      </w:r>
      <w:r w:rsidR="00F73340" w:rsidRPr="002F5665">
        <w:rPr>
          <w:rFonts w:asciiTheme="majorBidi" w:hAnsiTheme="majorBidi" w:cstheme="majorBidi"/>
          <w:i/>
          <w:iCs/>
          <w:szCs w:val="22"/>
        </w:rPr>
        <w:t>Nacobbus aberrans</w:t>
      </w:r>
      <w:r w:rsidR="00F73340" w:rsidRPr="002F5665">
        <w:rPr>
          <w:rFonts w:asciiTheme="majorBidi" w:hAnsiTheme="majorBidi" w:cstheme="majorBidi"/>
          <w:szCs w:val="22"/>
        </w:rPr>
        <w:t xml:space="preserve">, has a very wide host range, the most significant being tomatoes and potatoes, but also including brassica crops, peppers, carrots, cucumbers, lettuce, sugar beet and various weeds. Several pathotypes of </w:t>
      </w:r>
      <w:r w:rsidR="00F73340" w:rsidRPr="002F5665">
        <w:rPr>
          <w:rFonts w:asciiTheme="majorBidi" w:hAnsiTheme="majorBidi" w:cstheme="majorBidi"/>
          <w:i/>
          <w:iCs/>
          <w:szCs w:val="22"/>
        </w:rPr>
        <w:t>Nacobbus</w:t>
      </w:r>
      <w:r w:rsidR="00F73340" w:rsidRPr="002F5665">
        <w:rPr>
          <w:rFonts w:asciiTheme="majorBidi" w:hAnsiTheme="majorBidi" w:cstheme="majorBidi"/>
          <w:szCs w:val="22"/>
        </w:rPr>
        <w:t xml:space="preserve"> have been reported (Lax </w:t>
      </w:r>
      <w:r w:rsidR="00F73340" w:rsidRPr="002F5665">
        <w:rPr>
          <w:rFonts w:asciiTheme="majorBidi" w:hAnsiTheme="majorBidi" w:cstheme="majorBidi"/>
          <w:i/>
          <w:szCs w:val="22"/>
        </w:rPr>
        <w:t>et al</w:t>
      </w:r>
      <w:r w:rsidR="00F73340" w:rsidRPr="002F5665">
        <w:rPr>
          <w:rFonts w:asciiTheme="majorBidi" w:hAnsiTheme="majorBidi" w:cstheme="majorBidi"/>
          <w:szCs w:val="22"/>
        </w:rPr>
        <w:t xml:space="preserve">., 2011). It is one of the top 10 nematodes based on economic importance (Jones </w:t>
      </w:r>
      <w:r w:rsidR="00F73340" w:rsidRPr="002F5665">
        <w:rPr>
          <w:rFonts w:asciiTheme="majorBidi" w:hAnsiTheme="majorBidi" w:cstheme="majorBidi"/>
          <w:i/>
          <w:szCs w:val="22"/>
        </w:rPr>
        <w:t>et al</w:t>
      </w:r>
      <w:r w:rsidR="00F73340" w:rsidRPr="002F5665">
        <w:rPr>
          <w:rFonts w:asciiTheme="majorBidi" w:hAnsiTheme="majorBidi" w:cstheme="majorBidi"/>
          <w:szCs w:val="22"/>
        </w:rPr>
        <w:t>., 2013) and is mainly particularly prevalent in Mexico, Argentina, Bolivia, Chile, Ecuador and Peru (Sher, 1970, Canto-S</w:t>
      </w:r>
      <w:r w:rsidR="00F73340">
        <w:rPr>
          <w:rFonts w:asciiTheme="majorBidi" w:hAnsiTheme="majorBidi" w:cstheme="majorBidi"/>
          <w:szCs w:val="22"/>
        </w:rPr>
        <w:t>á</w:t>
      </w:r>
      <w:r w:rsidR="00F73340" w:rsidRPr="002F5665">
        <w:rPr>
          <w:rFonts w:asciiTheme="majorBidi" w:hAnsiTheme="majorBidi" w:cstheme="majorBidi"/>
          <w:szCs w:val="22"/>
        </w:rPr>
        <w:t xml:space="preserve">enz </w:t>
      </w:r>
      <w:r w:rsidR="00F73340" w:rsidRPr="002F5665">
        <w:rPr>
          <w:rFonts w:asciiTheme="majorBidi" w:hAnsiTheme="majorBidi" w:cstheme="majorBidi"/>
          <w:i/>
          <w:szCs w:val="22"/>
        </w:rPr>
        <w:t>et al</w:t>
      </w:r>
      <w:r w:rsidR="00F73340" w:rsidRPr="002F5665">
        <w:rPr>
          <w:rFonts w:asciiTheme="majorBidi" w:hAnsiTheme="majorBidi" w:cstheme="majorBidi"/>
          <w:szCs w:val="22"/>
        </w:rPr>
        <w:t xml:space="preserve"> 1996). It is of quarantine importance in some countries (EPPO, 2009). In Argentina, </w:t>
      </w:r>
      <w:r w:rsidR="00F73340" w:rsidRPr="002F5665">
        <w:rPr>
          <w:rFonts w:asciiTheme="majorBidi" w:hAnsiTheme="majorBidi" w:cstheme="majorBidi"/>
          <w:i/>
          <w:iCs/>
          <w:szCs w:val="22"/>
        </w:rPr>
        <w:t>N. aberrans</w:t>
      </w:r>
      <w:r w:rsidR="00F73340" w:rsidRPr="002F5665">
        <w:rPr>
          <w:rFonts w:asciiTheme="majorBidi" w:hAnsiTheme="majorBidi" w:cstheme="majorBidi"/>
          <w:szCs w:val="22"/>
        </w:rPr>
        <w:t xml:space="preserve"> has been reported from several provinces (Chaves and Sisler, 1980; Costilla and Ojeda, 1985; Del Toro </w:t>
      </w:r>
      <w:r w:rsidR="00F73340" w:rsidRPr="002F5665">
        <w:rPr>
          <w:rFonts w:asciiTheme="majorBidi" w:hAnsiTheme="majorBidi" w:cstheme="majorBidi"/>
          <w:i/>
          <w:szCs w:val="22"/>
        </w:rPr>
        <w:t>et al</w:t>
      </w:r>
      <w:r w:rsidR="00F73340" w:rsidRPr="002F5665">
        <w:rPr>
          <w:rFonts w:asciiTheme="majorBidi" w:hAnsiTheme="majorBidi" w:cstheme="majorBidi"/>
          <w:szCs w:val="22"/>
        </w:rPr>
        <w:t xml:space="preserve">., 2004; Doucet and Lax, 2005), causing particularly high damage in greenhouse crops.  </w:t>
      </w:r>
    </w:p>
    <w:p w14:paraId="57764C42" w14:textId="77777777" w:rsidR="00F73340" w:rsidRPr="002F5665" w:rsidRDefault="00F73340" w:rsidP="00A140B1">
      <w:pPr>
        <w:autoSpaceDE w:val="0"/>
        <w:autoSpaceDN w:val="0"/>
        <w:adjustRightInd w:val="0"/>
        <w:rPr>
          <w:rFonts w:asciiTheme="majorBidi" w:hAnsiTheme="majorBidi" w:cstheme="majorBidi"/>
          <w:szCs w:val="22"/>
        </w:rPr>
      </w:pPr>
      <w:r w:rsidRPr="002F5665">
        <w:rPr>
          <w:rFonts w:asciiTheme="majorBidi" w:hAnsiTheme="majorBidi" w:cstheme="majorBidi"/>
          <w:szCs w:val="22"/>
        </w:rPr>
        <w:t xml:space="preserve">Control of </w:t>
      </w:r>
      <w:r w:rsidRPr="002F5665">
        <w:rPr>
          <w:rFonts w:asciiTheme="majorBidi" w:hAnsiTheme="majorBidi" w:cstheme="majorBidi"/>
          <w:i/>
          <w:szCs w:val="22"/>
        </w:rPr>
        <w:t>Nacobbus</w:t>
      </w:r>
      <w:r w:rsidRPr="002F5665">
        <w:rPr>
          <w:rFonts w:asciiTheme="majorBidi" w:hAnsiTheme="majorBidi" w:cstheme="majorBidi"/>
          <w:szCs w:val="22"/>
        </w:rPr>
        <w:t xml:space="preserve"> is complex due to its wide host range and variable behaviour between populations (Costilla, 1990; Doucet and Gardenal 1992, Boluarte and Jatala 1999; Lax </w:t>
      </w:r>
      <w:r w:rsidRPr="002F5665">
        <w:rPr>
          <w:rFonts w:asciiTheme="majorBidi" w:hAnsiTheme="majorBidi" w:cstheme="majorBidi"/>
          <w:i/>
          <w:szCs w:val="22"/>
        </w:rPr>
        <w:t>et al</w:t>
      </w:r>
      <w:r w:rsidRPr="002F5665">
        <w:rPr>
          <w:rFonts w:asciiTheme="majorBidi" w:hAnsiTheme="majorBidi" w:cstheme="majorBidi"/>
          <w:szCs w:val="22"/>
        </w:rPr>
        <w:t xml:space="preserve">., 2011). This led to frequent treatments with methyl bromide in the past and research has been conducted on both non-chemical and chemical alternatives. </w:t>
      </w:r>
    </w:p>
    <w:p w14:paraId="70585E9C" w14:textId="0519E35C" w:rsidR="00F73340" w:rsidRPr="002F5665" w:rsidRDefault="00271CAA" w:rsidP="00A140B1">
      <w:pPr>
        <w:autoSpaceDE w:val="0"/>
        <w:autoSpaceDN w:val="0"/>
        <w:adjustRightInd w:val="0"/>
        <w:rPr>
          <w:szCs w:val="22"/>
          <w:lang w:eastAsia="fr-FR"/>
        </w:rPr>
      </w:pPr>
      <w:r>
        <w:rPr>
          <w:rFonts w:asciiTheme="majorBidi" w:hAnsiTheme="majorBidi" w:cstheme="majorBidi"/>
          <w:iCs/>
          <w:szCs w:val="22"/>
        </w:rPr>
        <w:lastRenderedPageBreak/>
        <w:t xml:space="preserve">MB use for several other pathogens of tomatoes in the past was avoided by use of resistant cultivars, </w:t>
      </w:r>
      <w:r w:rsidRPr="002F5665">
        <w:rPr>
          <w:rFonts w:asciiTheme="majorBidi" w:hAnsiTheme="majorBidi" w:cstheme="majorBidi"/>
          <w:szCs w:val="22"/>
        </w:rPr>
        <w:t xml:space="preserve">but no commercial tomato cultivars resistant to </w:t>
      </w:r>
      <w:r w:rsidRPr="002F5665">
        <w:rPr>
          <w:rFonts w:asciiTheme="majorBidi" w:hAnsiTheme="majorBidi" w:cstheme="majorBidi"/>
          <w:i/>
          <w:szCs w:val="22"/>
        </w:rPr>
        <w:t>N. aberrans</w:t>
      </w:r>
      <w:r w:rsidRPr="002F5665">
        <w:rPr>
          <w:rFonts w:asciiTheme="majorBidi" w:hAnsiTheme="majorBidi" w:cstheme="majorBidi"/>
          <w:szCs w:val="22"/>
        </w:rPr>
        <w:t xml:space="preserve"> are yet available. Cultivars and rootstocks with specific resistance to this nematode have been sought for many years for tomato, pepper and potato (Sisler and Pelicano de Casaurang, 1983, Manzanilla-Lopez </w:t>
      </w:r>
      <w:r w:rsidRPr="002F5665">
        <w:rPr>
          <w:rFonts w:asciiTheme="majorBidi" w:hAnsiTheme="majorBidi" w:cstheme="majorBidi"/>
          <w:i/>
          <w:szCs w:val="22"/>
        </w:rPr>
        <w:t>et al</w:t>
      </w:r>
      <w:r w:rsidRPr="002F5665">
        <w:rPr>
          <w:rFonts w:asciiTheme="majorBidi" w:hAnsiTheme="majorBidi" w:cstheme="majorBidi"/>
          <w:szCs w:val="22"/>
        </w:rPr>
        <w:t xml:space="preserve">., 2002, Thies and Ariss, 2009, Djian-Caporalino </w:t>
      </w:r>
      <w:r w:rsidRPr="002F5665">
        <w:rPr>
          <w:rFonts w:asciiTheme="majorBidi" w:hAnsiTheme="majorBidi" w:cstheme="majorBidi"/>
          <w:i/>
          <w:szCs w:val="22"/>
        </w:rPr>
        <w:t>et al</w:t>
      </w:r>
      <w:r w:rsidRPr="002F5665">
        <w:rPr>
          <w:rFonts w:asciiTheme="majorBidi" w:hAnsiTheme="majorBidi" w:cstheme="majorBidi"/>
          <w:szCs w:val="22"/>
        </w:rPr>
        <w:t>., 2009)</w:t>
      </w:r>
      <w:r>
        <w:rPr>
          <w:rFonts w:asciiTheme="majorBidi" w:hAnsiTheme="majorBidi" w:cstheme="majorBidi"/>
          <w:szCs w:val="22"/>
        </w:rPr>
        <w:t>.</w:t>
      </w:r>
      <w:r w:rsidRPr="002F5665">
        <w:rPr>
          <w:rFonts w:asciiTheme="majorBidi" w:hAnsiTheme="majorBidi" w:cstheme="majorBidi"/>
          <w:szCs w:val="22"/>
        </w:rPr>
        <w:t xml:space="preserve">, Although past research evaluating tomato cultivars and wild tomato species was not successful for identifying resistance genes that can help reduce yield losses in tomatoes attacked by this nematode (see for example, </w:t>
      </w:r>
      <w:r w:rsidRPr="002F5665">
        <w:rPr>
          <w:szCs w:val="22"/>
          <w:lang w:eastAsia="fr-FR"/>
        </w:rPr>
        <w:t xml:space="preserve">Veremis </w:t>
      </w:r>
      <w:r w:rsidRPr="002F5665">
        <w:rPr>
          <w:i/>
          <w:szCs w:val="22"/>
          <w:lang w:eastAsia="fr-FR"/>
        </w:rPr>
        <w:t>et al.,</w:t>
      </w:r>
      <w:r w:rsidRPr="002F5665">
        <w:rPr>
          <w:szCs w:val="22"/>
          <w:lang w:eastAsia="fr-FR"/>
        </w:rPr>
        <w:t xml:space="preserve"> 1997), </w:t>
      </w:r>
      <w:r>
        <w:rPr>
          <w:szCs w:val="22"/>
          <w:lang w:eastAsia="fr-FR"/>
        </w:rPr>
        <w:t>current r</w:t>
      </w:r>
      <w:r w:rsidRPr="002F5665">
        <w:rPr>
          <w:szCs w:val="22"/>
          <w:lang w:eastAsia="fr-FR"/>
        </w:rPr>
        <w:t xml:space="preserve">esearch has yielded encouraging results (Lax </w:t>
      </w:r>
      <w:r w:rsidRPr="002F5665">
        <w:rPr>
          <w:i/>
          <w:szCs w:val="22"/>
          <w:lang w:eastAsia="fr-FR"/>
        </w:rPr>
        <w:t>et al.,</w:t>
      </w:r>
      <w:r w:rsidRPr="002F5665">
        <w:rPr>
          <w:szCs w:val="22"/>
          <w:lang w:eastAsia="fr-FR"/>
        </w:rPr>
        <w:t xml:space="preserve"> 2016).</w:t>
      </w:r>
    </w:p>
    <w:p w14:paraId="09327053" w14:textId="77777777" w:rsidR="00F73340" w:rsidRPr="002F5665" w:rsidRDefault="00F73340" w:rsidP="00A140B1">
      <w:pPr>
        <w:rPr>
          <w:rFonts w:asciiTheme="majorBidi" w:hAnsiTheme="majorBidi" w:cstheme="majorBidi"/>
          <w:szCs w:val="22"/>
        </w:rPr>
      </w:pPr>
      <w:r w:rsidRPr="002F5665">
        <w:rPr>
          <w:rFonts w:asciiTheme="majorBidi" w:hAnsiTheme="majorBidi" w:cstheme="majorBidi"/>
          <w:szCs w:val="22"/>
        </w:rPr>
        <w:t xml:space="preserve">An Integrated Management program to control </w:t>
      </w:r>
      <w:r w:rsidRPr="002F5665">
        <w:rPr>
          <w:rFonts w:asciiTheme="majorBidi" w:hAnsiTheme="majorBidi" w:cstheme="majorBidi"/>
          <w:i/>
          <w:szCs w:val="22"/>
        </w:rPr>
        <w:t xml:space="preserve">Naccobus </w:t>
      </w:r>
      <w:r w:rsidRPr="002F5665">
        <w:rPr>
          <w:rFonts w:asciiTheme="majorBidi" w:hAnsiTheme="majorBidi" w:cstheme="majorBidi"/>
          <w:szCs w:val="22"/>
        </w:rPr>
        <w:t xml:space="preserve">was developed by Cristobal-Alejo </w:t>
      </w:r>
      <w:r w:rsidRPr="002F5665">
        <w:rPr>
          <w:rFonts w:asciiTheme="majorBidi" w:hAnsiTheme="majorBidi" w:cstheme="majorBidi"/>
          <w:i/>
          <w:iCs/>
          <w:szCs w:val="22"/>
        </w:rPr>
        <w:t>et al.,</w:t>
      </w:r>
      <w:r w:rsidRPr="002F5665">
        <w:rPr>
          <w:rFonts w:asciiTheme="majorBidi" w:hAnsiTheme="majorBidi" w:cstheme="majorBidi"/>
          <w:szCs w:val="22"/>
        </w:rPr>
        <w:t xml:space="preserve"> (2006) in Mexico, comprising fertilization, nematicide applications (ethoprop) and biofumigation with chicken manure. This resulted in significant increases of plant height, foliage dry weight, stem diameter and crop yield. </w:t>
      </w:r>
      <w:r w:rsidRPr="002F5665">
        <w:rPr>
          <w:rFonts w:asciiTheme="majorBidi" w:hAnsiTheme="majorBidi" w:cstheme="majorBidi"/>
          <w:i/>
          <w:szCs w:val="22"/>
        </w:rPr>
        <w:t>N.aberrans</w:t>
      </w:r>
      <w:r w:rsidRPr="002F5665">
        <w:rPr>
          <w:rFonts w:asciiTheme="majorBidi" w:hAnsiTheme="majorBidi" w:cstheme="majorBidi"/>
          <w:szCs w:val="22"/>
        </w:rPr>
        <w:t xml:space="preserve"> is controlled on greenhouse pepper in Mexico with various chemical (carbofuran) and non-chemical control methods such as biofumigation, biological control with </w:t>
      </w:r>
      <w:r w:rsidRPr="002F5665">
        <w:rPr>
          <w:rFonts w:asciiTheme="majorBidi" w:hAnsiTheme="majorBidi" w:cstheme="majorBidi"/>
          <w:i/>
          <w:szCs w:val="22"/>
        </w:rPr>
        <w:t>Pochonia chlamydospora</w:t>
      </w:r>
      <w:r w:rsidRPr="002F5665">
        <w:rPr>
          <w:rFonts w:asciiTheme="majorBidi" w:hAnsiTheme="majorBidi" w:cstheme="majorBidi"/>
          <w:szCs w:val="22"/>
        </w:rPr>
        <w:t xml:space="preserve"> (Pérez-Rodríguez </w:t>
      </w:r>
      <w:r w:rsidRPr="002F5665">
        <w:rPr>
          <w:rFonts w:asciiTheme="majorBidi" w:hAnsiTheme="majorBidi" w:cstheme="majorBidi"/>
          <w:i/>
          <w:szCs w:val="22"/>
        </w:rPr>
        <w:t>et al.,</w:t>
      </w:r>
      <w:r w:rsidRPr="002F5665">
        <w:rPr>
          <w:rFonts w:asciiTheme="majorBidi" w:hAnsiTheme="majorBidi" w:cstheme="majorBidi"/>
          <w:szCs w:val="22"/>
        </w:rPr>
        <w:t xml:space="preserve"> 2010). </w:t>
      </w:r>
    </w:p>
    <w:p w14:paraId="6F0BD81F" w14:textId="51BB8C5B" w:rsidR="00F73340" w:rsidRPr="002F5665" w:rsidRDefault="00F73340" w:rsidP="00A140B1">
      <w:pPr>
        <w:pStyle w:val="Default"/>
        <w:rPr>
          <w:rFonts w:asciiTheme="majorBidi" w:hAnsiTheme="majorBidi" w:cstheme="majorBidi"/>
          <w:color w:val="auto"/>
          <w:sz w:val="22"/>
          <w:szCs w:val="22"/>
          <w:lang w:eastAsia="fr-FR"/>
        </w:rPr>
      </w:pPr>
      <w:r w:rsidRPr="002F5665">
        <w:rPr>
          <w:rFonts w:asciiTheme="majorBidi" w:hAnsiTheme="majorBidi" w:cstheme="majorBidi"/>
          <w:color w:val="auto"/>
          <w:sz w:val="22"/>
          <w:szCs w:val="22"/>
          <w:lang w:eastAsia="fr-FR"/>
        </w:rPr>
        <w:t>Recently,</w:t>
      </w:r>
      <w:r w:rsidRPr="002F5665">
        <w:rPr>
          <w:rFonts w:asciiTheme="majorBidi" w:hAnsiTheme="majorBidi" w:cstheme="majorBidi"/>
          <w:b/>
          <w:color w:val="auto"/>
          <w:sz w:val="22"/>
          <w:szCs w:val="22"/>
          <w:lang w:eastAsia="fr-FR"/>
        </w:rPr>
        <w:t xml:space="preserve"> </w:t>
      </w:r>
      <w:r w:rsidRPr="007C3005">
        <w:rPr>
          <w:rStyle w:val="A20"/>
          <w:rFonts w:asciiTheme="majorBidi" w:eastAsia="MS ????" w:hAnsiTheme="majorBidi" w:cstheme="majorBidi"/>
          <w:b w:val="0"/>
          <w:bCs/>
          <w:color w:val="auto"/>
          <w:sz w:val="22"/>
          <w:szCs w:val="22"/>
        </w:rPr>
        <w:t xml:space="preserve">Hidalgo </w:t>
      </w:r>
      <w:r w:rsidRPr="007C3005">
        <w:rPr>
          <w:rStyle w:val="A20"/>
          <w:rFonts w:asciiTheme="majorBidi" w:hAnsiTheme="majorBidi" w:cstheme="majorBidi"/>
          <w:b w:val="0"/>
          <w:bCs/>
          <w:i/>
          <w:color w:val="auto"/>
          <w:sz w:val="22"/>
          <w:szCs w:val="22"/>
        </w:rPr>
        <w:t>et al.,</w:t>
      </w:r>
      <w:r w:rsidRPr="007C3005">
        <w:rPr>
          <w:rStyle w:val="A20"/>
          <w:rFonts w:asciiTheme="majorBidi" w:hAnsiTheme="majorBidi" w:cstheme="majorBidi"/>
          <w:b w:val="0"/>
          <w:bCs/>
          <w:color w:val="auto"/>
          <w:sz w:val="22"/>
          <w:szCs w:val="22"/>
        </w:rPr>
        <w:t xml:space="preserve"> (2015) reported significant reduction of </w:t>
      </w:r>
      <w:r w:rsidRPr="007C3005">
        <w:rPr>
          <w:rStyle w:val="A20"/>
          <w:rFonts w:asciiTheme="majorBidi" w:eastAsia="MS ????" w:hAnsiTheme="majorBidi" w:cstheme="majorBidi"/>
          <w:b w:val="0"/>
          <w:bCs/>
          <w:color w:val="auto"/>
          <w:sz w:val="22"/>
          <w:szCs w:val="22"/>
        </w:rPr>
        <w:t xml:space="preserve">population density, reproduction rate, and root galling of </w:t>
      </w:r>
      <w:r w:rsidRPr="007C3005">
        <w:rPr>
          <w:rStyle w:val="A20"/>
          <w:rFonts w:asciiTheme="majorBidi" w:eastAsia="MS ????" w:hAnsiTheme="majorBidi" w:cstheme="majorBidi"/>
          <w:b w:val="0"/>
          <w:bCs/>
          <w:i/>
          <w:iCs/>
          <w:color w:val="auto"/>
          <w:sz w:val="22"/>
          <w:szCs w:val="22"/>
        </w:rPr>
        <w:t xml:space="preserve">N. aberrans </w:t>
      </w:r>
      <w:r w:rsidRPr="007C3005">
        <w:rPr>
          <w:rStyle w:val="A20"/>
          <w:rFonts w:asciiTheme="majorBidi" w:eastAsia="MS ????" w:hAnsiTheme="majorBidi" w:cstheme="majorBidi"/>
          <w:b w:val="0"/>
          <w:bCs/>
          <w:iCs/>
          <w:color w:val="auto"/>
          <w:sz w:val="22"/>
          <w:szCs w:val="22"/>
        </w:rPr>
        <w:t xml:space="preserve">in tomato crops </w:t>
      </w:r>
      <w:r w:rsidRPr="007C3005">
        <w:rPr>
          <w:rStyle w:val="A20"/>
          <w:rFonts w:asciiTheme="majorBidi" w:hAnsiTheme="majorBidi" w:cstheme="majorBidi"/>
          <w:b w:val="0"/>
          <w:bCs/>
          <w:color w:val="auto"/>
          <w:sz w:val="22"/>
          <w:szCs w:val="22"/>
        </w:rPr>
        <w:t xml:space="preserve">with </w:t>
      </w:r>
      <w:r w:rsidRPr="007C3005">
        <w:rPr>
          <w:rStyle w:val="A20"/>
          <w:rFonts w:asciiTheme="majorBidi" w:eastAsia="MS ????" w:hAnsiTheme="majorBidi" w:cstheme="majorBidi"/>
          <w:b w:val="0"/>
          <w:bCs/>
          <w:color w:val="auto"/>
          <w:sz w:val="22"/>
          <w:szCs w:val="22"/>
        </w:rPr>
        <w:t>fluensulfone</w:t>
      </w:r>
      <w:r w:rsidRPr="007C3005">
        <w:rPr>
          <w:rFonts w:asciiTheme="majorBidi" w:hAnsiTheme="majorBidi" w:cstheme="majorBidi"/>
          <w:b/>
          <w:color w:val="auto"/>
          <w:sz w:val="22"/>
          <w:szCs w:val="22"/>
          <w:lang w:eastAsia="fr-FR"/>
        </w:rPr>
        <w:t xml:space="preserve"> </w:t>
      </w:r>
      <w:r w:rsidRPr="002F5665">
        <w:rPr>
          <w:rFonts w:asciiTheme="majorBidi" w:hAnsiTheme="majorBidi" w:cstheme="majorBidi"/>
          <w:color w:val="auto"/>
          <w:sz w:val="22"/>
          <w:szCs w:val="22"/>
          <w:lang w:eastAsia="fr-FR"/>
        </w:rPr>
        <w:t>(Nimitz®)</w:t>
      </w:r>
      <w:r w:rsidRPr="002F5665">
        <w:rPr>
          <w:rStyle w:val="A20"/>
          <w:rFonts w:asciiTheme="majorBidi" w:eastAsia="MS ????" w:hAnsiTheme="majorBidi" w:cstheme="majorBidi"/>
          <w:bCs/>
          <w:color w:val="auto"/>
          <w:sz w:val="22"/>
          <w:szCs w:val="22"/>
        </w:rPr>
        <w:t xml:space="preserve"> </w:t>
      </w:r>
      <w:r w:rsidRPr="002F5665">
        <w:rPr>
          <w:rFonts w:asciiTheme="majorBidi" w:hAnsiTheme="majorBidi" w:cstheme="majorBidi"/>
          <w:color w:val="auto"/>
          <w:sz w:val="22"/>
          <w:szCs w:val="22"/>
          <w:lang w:eastAsia="fr-FR"/>
        </w:rPr>
        <w:t>a contact nematicide. Results were</w:t>
      </w:r>
      <w:r w:rsidRPr="002F5665">
        <w:rPr>
          <w:rStyle w:val="A20"/>
          <w:rFonts w:asciiTheme="majorBidi" w:hAnsiTheme="majorBidi" w:cstheme="majorBidi"/>
          <w:bCs/>
          <w:iCs/>
          <w:color w:val="auto"/>
          <w:sz w:val="22"/>
          <w:szCs w:val="22"/>
        </w:rPr>
        <w:t xml:space="preserve"> </w:t>
      </w:r>
      <w:r w:rsidRPr="003D3418">
        <w:rPr>
          <w:rStyle w:val="A20"/>
          <w:rFonts w:asciiTheme="majorBidi" w:hAnsiTheme="majorBidi" w:cstheme="majorBidi"/>
          <w:b w:val="0"/>
          <w:bCs/>
          <w:iCs/>
          <w:color w:val="auto"/>
          <w:sz w:val="22"/>
          <w:szCs w:val="22"/>
        </w:rPr>
        <w:t xml:space="preserve">similar to those obtained with 1,3-D/Pic, and </w:t>
      </w:r>
      <w:r w:rsidRPr="003D3418">
        <w:rPr>
          <w:rStyle w:val="A20"/>
          <w:rFonts w:asciiTheme="majorBidi" w:hAnsiTheme="majorBidi" w:cstheme="majorBidi"/>
          <w:bCs/>
          <w:iCs/>
          <w:color w:val="auto"/>
          <w:sz w:val="22"/>
          <w:szCs w:val="22"/>
        </w:rPr>
        <w:t>t</w:t>
      </w:r>
      <w:r w:rsidRPr="003D3418">
        <w:rPr>
          <w:rFonts w:asciiTheme="majorBidi" w:hAnsiTheme="majorBidi" w:cstheme="majorBidi"/>
          <w:color w:val="auto"/>
          <w:sz w:val="22"/>
          <w:szCs w:val="22"/>
        </w:rPr>
        <w:t>hey concluded that</w:t>
      </w:r>
      <w:r w:rsidRPr="003D3418">
        <w:rPr>
          <w:rFonts w:asciiTheme="majorBidi" w:hAnsiTheme="majorBidi" w:cstheme="majorBidi"/>
          <w:b/>
          <w:bCs/>
          <w:color w:val="auto"/>
          <w:sz w:val="22"/>
          <w:szCs w:val="22"/>
        </w:rPr>
        <w:t xml:space="preserve"> </w:t>
      </w:r>
      <w:r w:rsidRPr="003D3418">
        <w:rPr>
          <w:rStyle w:val="A20"/>
          <w:rFonts w:asciiTheme="majorBidi" w:eastAsia="MS ????" w:hAnsiTheme="majorBidi" w:cstheme="majorBidi"/>
          <w:b w:val="0"/>
          <w:bCs/>
          <w:color w:val="auto"/>
          <w:sz w:val="22"/>
          <w:szCs w:val="22"/>
        </w:rPr>
        <w:t>fluensulfone, which poses less risk to</w:t>
      </w:r>
      <w:r w:rsidRPr="003D3418">
        <w:rPr>
          <w:rFonts w:asciiTheme="majorBidi" w:hAnsiTheme="majorBidi" w:cstheme="majorBidi"/>
          <w:b/>
          <w:color w:val="auto"/>
          <w:sz w:val="22"/>
          <w:szCs w:val="22"/>
          <w:lang w:eastAsia="fr-FR"/>
        </w:rPr>
        <w:t xml:space="preserve"> </w:t>
      </w:r>
      <w:r w:rsidRPr="003D3418">
        <w:rPr>
          <w:rFonts w:asciiTheme="majorBidi" w:hAnsiTheme="majorBidi" w:cstheme="majorBidi"/>
          <w:color w:val="auto"/>
          <w:sz w:val="22"/>
          <w:szCs w:val="22"/>
          <w:lang w:eastAsia="fr-FR"/>
        </w:rPr>
        <w:t>human health and the environment than fumigants,</w:t>
      </w:r>
      <w:r w:rsidRPr="003D3418">
        <w:rPr>
          <w:rStyle w:val="A20"/>
          <w:rFonts w:asciiTheme="majorBidi" w:eastAsia="MS ????" w:hAnsiTheme="majorBidi" w:cstheme="majorBidi"/>
          <w:b w:val="0"/>
          <w:bCs/>
          <w:color w:val="auto"/>
          <w:sz w:val="22"/>
          <w:szCs w:val="22"/>
        </w:rPr>
        <w:t xml:space="preserve"> </w:t>
      </w:r>
      <w:r w:rsidRPr="003D3418">
        <w:rPr>
          <w:rStyle w:val="A20"/>
          <w:rFonts w:asciiTheme="majorBidi" w:hAnsiTheme="majorBidi" w:cstheme="majorBidi"/>
          <w:b w:val="0"/>
          <w:bCs/>
          <w:iCs/>
          <w:color w:val="auto"/>
          <w:sz w:val="22"/>
          <w:szCs w:val="22"/>
        </w:rPr>
        <w:t xml:space="preserve">could be considered </w:t>
      </w:r>
      <w:r w:rsidRPr="003D3418">
        <w:rPr>
          <w:rStyle w:val="A20"/>
          <w:rFonts w:asciiTheme="majorBidi" w:eastAsia="MS ????" w:hAnsiTheme="majorBidi" w:cstheme="majorBidi"/>
          <w:b w:val="0"/>
          <w:bCs/>
          <w:color w:val="auto"/>
          <w:sz w:val="22"/>
          <w:szCs w:val="22"/>
        </w:rPr>
        <w:t xml:space="preserve">a good alternative to </w:t>
      </w:r>
      <w:r w:rsidR="00271CAA">
        <w:rPr>
          <w:rStyle w:val="A20"/>
          <w:rFonts w:asciiTheme="majorBidi" w:eastAsia="MS ????" w:hAnsiTheme="majorBidi" w:cstheme="majorBidi"/>
          <w:b w:val="0"/>
          <w:bCs/>
          <w:color w:val="auto"/>
          <w:sz w:val="22"/>
          <w:szCs w:val="22"/>
        </w:rPr>
        <w:t>MB</w:t>
      </w:r>
      <w:r w:rsidRPr="003D3418">
        <w:rPr>
          <w:rStyle w:val="A20"/>
          <w:rFonts w:asciiTheme="majorBidi" w:eastAsia="MS ????" w:hAnsiTheme="majorBidi" w:cstheme="majorBidi"/>
          <w:b w:val="0"/>
          <w:bCs/>
          <w:color w:val="auto"/>
          <w:sz w:val="22"/>
          <w:szCs w:val="22"/>
        </w:rPr>
        <w:t xml:space="preserve"> for tomato and cucumber crops affected by </w:t>
      </w:r>
      <w:r w:rsidRPr="003D3418">
        <w:rPr>
          <w:rStyle w:val="A20"/>
          <w:rFonts w:asciiTheme="majorBidi" w:eastAsia="MS ????" w:hAnsiTheme="majorBidi" w:cstheme="majorBidi"/>
          <w:b w:val="0"/>
          <w:bCs/>
          <w:i/>
          <w:iCs/>
          <w:color w:val="auto"/>
          <w:sz w:val="22"/>
          <w:szCs w:val="22"/>
        </w:rPr>
        <w:t>N. aberrans</w:t>
      </w:r>
      <w:r w:rsidRPr="003D3418">
        <w:rPr>
          <w:rStyle w:val="A20"/>
          <w:rFonts w:asciiTheme="majorBidi" w:eastAsia="MS ????" w:hAnsiTheme="majorBidi" w:cstheme="majorBidi"/>
          <w:b w:val="0"/>
          <w:color w:val="auto"/>
          <w:sz w:val="22"/>
          <w:szCs w:val="22"/>
        </w:rPr>
        <w:t xml:space="preserve">.  </w:t>
      </w:r>
      <w:r w:rsidRPr="003D3418">
        <w:rPr>
          <w:rFonts w:asciiTheme="majorBidi" w:hAnsiTheme="majorBidi" w:cstheme="majorBidi"/>
          <w:color w:val="auto"/>
          <w:sz w:val="22"/>
          <w:szCs w:val="22"/>
          <w:lang w:eastAsia="fr-FR"/>
        </w:rPr>
        <w:t xml:space="preserve">Fluensulfone has also been identified as an effective alternative to MB for nematode control on different crops including tomato (Castillo </w:t>
      </w:r>
      <w:r w:rsidRPr="003D3418">
        <w:rPr>
          <w:rFonts w:asciiTheme="majorBidi" w:hAnsiTheme="majorBidi" w:cstheme="majorBidi"/>
          <w:i/>
          <w:color w:val="auto"/>
          <w:sz w:val="22"/>
          <w:szCs w:val="22"/>
          <w:lang w:eastAsia="fr-FR"/>
        </w:rPr>
        <w:t>et al</w:t>
      </w:r>
      <w:r w:rsidRPr="003D3418">
        <w:rPr>
          <w:rFonts w:asciiTheme="majorBidi" w:hAnsiTheme="majorBidi" w:cstheme="majorBidi"/>
          <w:color w:val="auto"/>
          <w:sz w:val="22"/>
          <w:szCs w:val="22"/>
          <w:lang w:eastAsia="fr-FR"/>
        </w:rPr>
        <w:t xml:space="preserve"> 2016)</w:t>
      </w:r>
      <w:r w:rsidR="00271CAA">
        <w:rPr>
          <w:rFonts w:asciiTheme="majorBidi" w:hAnsiTheme="majorBidi" w:cstheme="majorBidi"/>
          <w:color w:val="auto"/>
          <w:sz w:val="22"/>
          <w:szCs w:val="22"/>
          <w:lang w:eastAsia="fr-FR"/>
        </w:rPr>
        <w:t>.</w:t>
      </w:r>
      <w:r w:rsidRPr="003D3418">
        <w:rPr>
          <w:rFonts w:asciiTheme="majorBidi" w:hAnsiTheme="majorBidi" w:cstheme="majorBidi"/>
          <w:color w:val="auto"/>
          <w:sz w:val="22"/>
          <w:szCs w:val="22"/>
          <w:lang w:eastAsia="fr-FR"/>
        </w:rPr>
        <w:t xml:space="preserve"> </w:t>
      </w:r>
      <w:r w:rsidR="00271CAA">
        <w:rPr>
          <w:rFonts w:asciiTheme="majorBidi" w:hAnsiTheme="majorBidi" w:cstheme="majorBidi"/>
          <w:color w:val="auto"/>
          <w:sz w:val="22"/>
          <w:szCs w:val="22"/>
          <w:lang w:eastAsia="fr-FR"/>
        </w:rPr>
        <w:t>W</w:t>
      </w:r>
      <w:r w:rsidRPr="003D3418">
        <w:rPr>
          <w:rFonts w:asciiTheme="majorBidi" w:hAnsiTheme="majorBidi" w:cstheme="majorBidi"/>
          <w:color w:val="auto"/>
          <w:sz w:val="22"/>
          <w:szCs w:val="22"/>
          <w:lang w:eastAsia="fr-FR"/>
        </w:rPr>
        <w:t>hen</w:t>
      </w:r>
      <w:r w:rsidR="00271CAA">
        <w:rPr>
          <w:rFonts w:asciiTheme="majorBidi" w:hAnsiTheme="majorBidi" w:cstheme="majorBidi"/>
          <w:color w:val="auto"/>
          <w:sz w:val="22"/>
          <w:szCs w:val="22"/>
          <w:lang w:eastAsia="fr-FR"/>
        </w:rPr>
        <w:t xml:space="preserve"> this product was</w:t>
      </w:r>
      <w:r w:rsidRPr="003D3418">
        <w:rPr>
          <w:rFonts w:asciiTheme="majorBidi" w:hAnsiTheme="majorBidi" w:cstheme="majorBidi"/>
          <w:b/>
          <w:color w:val="auto"/>
          <w:sz w:val="22"/>
          <w:szCs w:val="22"/>
          <w:lang w:eastAsia="fr-FR"/>
        </w:rPr>
        <w:t xml:space="preserve"> </w:t>
      </w:r>
      <w:r w:rsidRPr="00271CAA">
        <w:rPr>
          <w:rFonts w:asciiTheme="majorBidi" w:hAnsiTheme="majorBidi" w:cstheme="majorBidi"/>
          <w:color w:val="auto"/>
          <w:sz w:val="22"/>
          <w:szCs w:val="22"/>
          <w:lang w:eastAsia="fr-FR"/>
        </w:rPr>
        <w:t>co</w:t>
      </w:r>
      <w:r w:rsidRPr="002F5665">
        <w:rPr>
          <w:rFonts w:asciiTheme="majorBidi" w:hAnsiTheme="majorBidi" w:cstheme="majorBidi"/>
          <w:color w:val="auto"/>
          <w:sz w:val="22"/>
          <w:szCs w:val="22"/>
          <w:lang w:eastAsia="fr-FR"/>
        </w:rPr>
        <w:t xml:space="preserve">mbined with Pic-Clor 60 </w:t>
      </w:r>
      <w:r>
        <w:rPr>
          <w:rFonts w:asciiTheme="majorBidi" w:hAnsiTheme="majorBidi" w:cstheme="majorBidi"/>
          <w:color w:val="auto"/>
          <w:sz w:val="22"/>
          <w:szCs w:val="22"/>
          <w:lang w:eastAsia="fr-FR"/>
        </w:rPr>
        <w:t xml:space="preserve">a combination of chloropicrin and 1,3-Dichloropropene </w:t>
      </w:r>
      <w:r w:rsidRPr="002F5665">
        <w:rPr>
          <w:rFonts w:asciiTheme="majorBidi" w:hAnsiTheme="majorBidi" w:cstheme="majorBidi"/>
          <w:color w:val="auto"/>
          <w:sz w:val="22"/>
          <w:szCs w:val="22"/>
          <w:lang w:eastAsia="fr-FR"/>
        </w:rPr>
        <w:t xml:space="preserve">(Pic + 1,3-D) showed lower galling index </w:t>
      </w:r>
      <w:r w:rsidR="00271CAA">
        <w:rPr>
          <w:rFonts w:asciiTheme="majorBidi" w:hAnsiTheme="majorBidi" w:cstheme="majorBidi"/>
          <w:color w:val="auto"/>
          <w:sz w:val="22"/>
          <w:szCs w:val="22"/>
          <w:lang w:eastAsia="fr-FR"/>
        </w:rPr>
        <w:t xml:space="preserve">was shown </w:t>
      </w:r>
      <w:r w:rsidRPr="002F5665">
        <w:rPr>
          <w:rFonts w:asciiTheme="majorBidi" w:hAnsiTheme="majorBidi" w:cstheme="majorBidi"/>
          <w:color w:val="auto"/>
          <w:sz w:val="22"/>
          <w:szCs w:val="22"/>
          <w:lang w:eastAsia="fr-FR"/>
        </w:rPr>
        <w:t xml:space="preserve">as compared to Pic-Clor 60 alone (Castillo </w:t>
      </w:r>
      <w:r w:rsidRPr="002F5665">
        <w:rPr>
          <w:rFonts w:asciiTheme="majorBidi" w:hAnsiTheme="majorBidi" w:cstheme="majorBidi"/>
          <w:i/>
          <w:color w:val="auto"/>
          <w:sz w:val="22"/>
          <w:szCs w:val="22"/>
          <w:lang w:eastAsia="fr-FR"/>
        </w:rPr>
        <w:t>et al.,</w:t>
      </w:r>
      <w:r w:rsidRPr="002F5665">
        <w:rPr>
          <w:rFonts w:asciiTheme="majorBidi" w:hAnsiTheme="majorBidi" w:cstheme="majorBidi"/>
          <w:color w:val="auto"/>
          <w:sz w:val="22"/>
          <w:szCs w:val="22"/>
          <w:lang w:eastAsia="fr-FR"/>
        </w:rPr>
        <w:t xml:space="preserve"> 2016). </w:t>
      </w:r>
    </w:p>
    <w:p w14:paraId="346F1167" w14:textId="77777777" w:rsidR="00F73340" w:rsidRDefault="00F73340" w:rsidP="00F73340">
      <w:pPr>
        <w:autoSpaceDE w:val="0"/>
        <w:autoSpaceDN w:val="0"/>
        <w:adjustRightInd w:val="0"/>
        <w:spacing w:after="0"/>
        <w:rPr>
          <w:rFonts w:asciiTheme="majorBidi" w:hAnsiTheme="majorBidi" w:cstheme="majorBidi"/>
          <w:color w:val="auto"/>
          <w:sz w:val="24"/>
          <w:szCs w:val="24"/>
        </w:rPr>
      </w:pPr>
    </w:p>
    <w:p w14:paraId="23FB64E0" w14:textId="190BFE05" w:rsidR="00F73340" w:rsidRDefault="00F73340" w:rsidP="00413E4A">
      <w:pPr>
        <w:pStyle w:val="Heading4"/>
      </w:pPr>
      <w:bookmarkStart w:id="86" w:name="_Toc483916005"/>
      <w:r>
        <w:t>4.</w:t>
      </w:r>
      <w:r w:rsidR="00FB50B1">
        <w:t>2</w:t>
      </w:r>
      <w:r>
        <w:t>.1.2. Alternatives for strawberry runner production</w:t>
      </w:r>
      <w:bookmarkEnd w:id="86"/>
      <w:r>
        <w:tab/>
      </w:r>
    </w:p>
    <w:p w14:paraId="6B60AD56" w14:textId="14B91589" w:rsidR="00271CAA" w:rsidRDefault="00271CAA" w:rsidP="00271CAA">
      <w:pPr>
        <w:rPr>
          <w:szCs w:val="22"/>
          <w:lang w:val="en-US"/>
        </w:rPr>
      </w:pPr>
      <w:r w:rsidRPr="002F5665">
        <w:rPr>
          <w:rFonts w:asciiTheme="majorBidi" w:hAnsiTheme="majorBidi" w:cstheme="majorBidi"/>
          <w:szCs w:val="22"/>
          <w:lang w:val="en-US" w:eastAsia="fr-FR"/>
        </w:rPr>
        <w:t>Many strawberry runner nurseries around the world relied on methyl bromide soil fumigation to produce disease-free transplants in the past, but most</w:t>
      </w:r>
      <w:r w:rsidRPr="002F5665">
        <w:rPr>
          <w:szCs w:val="22"/>
          <w:lang w:val="en-US"/>
        </w:rPr>
        <w:t xml:space="preserve"> have phased-out MB and successfully implemented alternatives (García-Sinovas </w:t>
      </w:r>
      <w:r w:rsidRPr="002F5665">
        <w:rPr>
          <w:i/>
          <w:szCs w:val="22"/>
          <w:lang w:val="en-US"/>
        </w:rPr>
        <w:t>et al</w:t>
      </w:r>
      <w:r w:rsidRPr="002F5665">
        <w:rPr>
          <w:szCs w:val="22"/>
          <w:lang w:val="en-US"/>
        </w:rPr>
        <w:t xml:space="preserve">., 2014; López-Aranda, 2016). </w:t>
      </w:r>
      <w:r>
        <w:rPr>
          <w:szCs w:val="22"/>
          <w:lang w:val="en-US"/>
        </w:rPr>
        <w:t>Several countries still use MB, but continue to seek alternatives under the critical use process (e.g. Australia, Canada) and another (</w:t>
      </w:r>
      <w:r w:rsidR="0070607D">
        <w:rPr>
          <w:szCs w:val="22"/>
          <w:lang w:val="en-US"/>
        </w:rPr>
        <w:t>US</w:t>
      </w:r>
      <w:r>
        <w:rPr>
          <w:szCs w:val="22"/>
          <w:lang w:val="en-US"/>
        </w:rPr>
        <w:t xml:space="preserve">) has the use classified under the Quarantine and Preshipment exemption.  </w:t>
      </w:r>
    </w:p>
    <w:p w14:paraId="76E69B66" w14:textId="0903BC11" w:rsidR="00271CAA" w:rsidRDefault="00271CAA" w:rsidP="00271CAA">
      <w:pPr>
        <w:rPr>
          <w:szCs w:val="22"/>
          <w:lang w:val="en-US"/>
        </w:rPr>
      </w:pPr>
      <w:r>
        <w:rPr>
          <w:szCs w:val="22"/>
          <w:lang w:val="en-US"/>
        </w:rPr>
        <w:t>MBTOC is concerned that MB may be being used for this sector in other countries, but that this use is not being reported.  Pre 2015 stocks may also be being used for this purpose in non</w:t>
      </w:r>
      <w:r w:rsidR="00321E9C">
        <w:rPr>
          <w:szCs w:val="22"/>
          <w:lang w:val="en-US"/>
        </w:rPr>
        <w:t>-</w:t>
      </w:r>
      <w:r>
        <w:rPr>
          <w:szCs w:val="22"/>
          <w:lang w:val="en-US"/>
        </w:rPr>
        <w:t>A5 parties, but this MB is still required to be reported.</w:t>
      </w:r>
    </w:p>
    <w:p w14:paraId="07E48C46" w14:textId="77777777" w:rsidR="00271CAA" w:rsidRPr="002F5665" w:rsidRDefault="00271CAA" w:rsidP="00271CAA">
      <w:pPr>
        <w:rPr>
          <w:szCs w:val="22"/>
          <w:lang w:val="en-US"/>
        </w:rPr>
      </w:pPr>
      <w:r>
        <w:rPr>
          <w:szCs w:val="22"/>
          <w:lang w:val="en-US"/>
        </w:rPr>
        <w:t>In come countries, policies exist (e.g. certification) which makes it mor difficult to implement alternatives, but parties are encouraged to expediate consideration of any alternative so these policies do not become a barrier to adoption of the alternatives.</w:t>
      </w:r>
    </w:p>
    <w:p w14:paraId="52012A0F" w14:textId="65E6026A" w:rsidR="00F73340" w:rsidRPr="002F5665" w:rsidRDefault="00271CAA" w:rsidP="00A140B1">
      <w:pPr>
        <w:rPr>
          <w:rFonts w:asciiTheme="majorBidi" w:eastAsiaTheme="minorHAnsi" w:hAnsiTheme="majorBidi" w:cstheme="majorBidi"/>
          <w:color w:val="auto"/>
          <w:szCs w:val="22"/>
          <w:lang w:val="en-US" w:eastAsia="en-US"/>
        </w:rPr>
      </w:pPr>
      <w:r w:rsidRPr="002F5665">
        <w:rPr>
          <w:szCs w:val="22"/>
          <w:lang w:val="en-US"/>
        </w:rPr>
        <w:t xml:space="preserve">Lopez Aranda </w:t>
      </w:r>
      <w:r w:rsidRPr="002F5665">
        <w:rPr>
          <w:i/>
          <w:szCs w:val="22"/>
          <w:lang w:val="en-US"/>
        </w:rPr>
        <w:t>et al</w:t>
      </w:r>
      <w:r w:rsidRPr="002F5665">
        <w:rPr>
          <w:szCs w:val="22"/>
          <w:lang w:val="en-US"/>
        </w:rPr>
        <w:t xml:space="preserve"> </w:t>
      </w:r>
      <w:r>
        <w:rPr>
          <w:szCs w:val="22"/>
          <w:lang w:val="en-US"/>
        </w:rPr>
        <w:t>(</w:t>
      </w:r>
      <w:r w:rsidRPr="002F5665">
        <w:rPr>
          <w:szCs w:val="22"/>
          <w:lang w:val="en-US"/>
        </w:rPr>
        <w:t>2016</w:t>
      </w:r>
      <w:r>
        <w:rPr>
          <w:szCs w:val="22"/>
          <w:lang w:val="en-US"/>
        </w:rPr>
        <w:t>)</w:t>
      </w:r>
      <w:r w:rsidRPr="002F5665">
        <w:rPr>
          <w:szCs w:val="22"/>
          <w:lang w:val="en-US"/>
        </w:rPr>
        <w:t xml:space="preserve"> recently conducted a comprehensive survey of 41 European and other strawberry industries (fruit and nursery). With respect to strawberry nurseries (more than 5,755 ha identified, with different soil and climate situations), the survey showed that 32% were fumigated with metham sodium (spading), 31% used crop rotation with cereals, grasses, oilseed crops, legumes, and other crops i.e. green manures like oil radish, mustards, winter rye, and buckwheat and/or change of location; 19.3% w</w:t>
      </w:r>
      <w:r>
        <w:rPr>
          <w:szCs w:val="22"/>
          <w:lang w:val="en-US"/>
        </w:rPr>
        <w:t xml:space="preserve">ere </w:t>
      </w:r>
      <w:r w:rsidRPr="002F5665">
        <w:rPr>
          <w:szCs w:val="22"/>
          <w:lang w:val="en-US"/>
        </w:rPr>
        <w:t>fumigated with 1,3D and/or 1,3D+Chloropicrin; 8.6% relied on non-chemical methods (cover/catch crops, soil solarisation, and ASD), 7.2% was fumigated with dazomet (Mix-Tiller), and the remaining 1.9% used other chemical options. None of the nurseries in the sample used MB.</w:t>
      </w:r>
    </w:p>
    <w:p w14:paraId="11B76BED" w14:textId="77777777" w:rsidR="00F73340" w:rsidRPr="002F5665" w:rsidRDefault="00F73340" w:rsidP="00A140B1">
      <w:pPr>
        <w:rPr>
          <w:szCs w:val="22"/>
        </w:rPr>
      </w:pPr>
      <w:r w:rsidRPr="002F5665">
        <w:rPr>
          <w:rFonts w:asciiTheme="majorBidi" w:eastAsiaTheme="minorHAnsi" w:hAnsiTheme="majorBidi" w:cstheme="majorBidi"/>
          <w:color w:val="auto"/>
          <w:szCs w:val="22"/>
          <w:lang w:val="en-US" w:eastAsia="en-US"/>
        </w:rPr>
        <w:lastRenderedPageBreak/>
        <w:t>Further, production in substrates has been adopted at various locations. Strawberry transplants may be bare root or plugs. Bare root transplants are obtained from runners rooted in the soil, while plug transplants are rooted in containers or trays filled with substrate (</w:t>
      </w:r>
      <w:r w:rsidRPr="002F5665">
        <w:rPr>
          <w:rFonts w:asciiTheme="majorBidi" w:hAnsiTheme="majorBidi" w:cstheme="majorBidi"/>
          <w:szCs w:val="22"/>
          <w:lang w:val="en-US"/>
        </w:rPr>
        <w:t xml:space="preserve">Durner </w:t>
      </w:r>
      <w:r w:rsidRPr="002F5665">
        <w:rPr>
          <w:rFonts w:asciiTheme="majorBidi" w:hAnsiTheme="majorBidi" w:cstheme="majorBidi"/>
          <w:i/>
          <w:iCs/>
          <w:szCs w:val="22"/>
          <w:lang w:val="en-US"/>
        </w:rPr>
        <w:t>et al</w:t>
      </w:r>
      <w:r w:rsidRPr="002F5665">
        <w:rPr>
          <w:rFonts w:asciiTheme="majorBidi" w:hAnsiTheme="majorBidi" w:cstheme="majorBidi"/>
          <w:szCs w:val="22"/>
          <w:lang w:val="en-US"/>
        </w:rPr>
        <w:t xml:space="preserve">, 2002, </w:t>
      </w:r>
      <w:r w:rsidRPr="002F5665">
        <w:rPr>
          <w:rFonts w:asciiTheme="majorBidi" w:eastAsiaTheme="minorHAnsi" w:hAnsiTheme="majorBidi" w:cstheme="majorBidi"/>
          <w:color w:val="auto"/>
          <w:szCs w:val="22"/>
          <w:lang w:val="en-US" w:eastAsia="en-US"/>
        </w:rPr>
        <w:t xml:space="preserve">Giménez </w:t>
      </w:r>
      <w:r w:rsidRPr="002F5665">
        <w:rPr>
          <w:rFonts w:asciiTheme="majorBidi" w:eastAsiaTheme="minorHAnsi" w:hAnsiTheme="majorBidi" w:cstheme="majorBidi"/>
          <w:i/>
          <w:iCs/>
          <w:color w:val="auto"/>
          <w:szCs w:val="22"/>
          <w:lang w:val="en-US" w:eastAsia="en-US"/>
        </w:rPr>
        <w:t>et al</w:t>
      </w:r>
      <w:r w:rsidRPr="002F5665">
        <w:rPr>
          <w:rFonts w:asciiTheme="majorBidi" w:eastAsiaTheme="minorHAnsi" w:hAnsiTheme="majorBidi" w:cstheme="majorBidi"/>
          <w:color w:val="auto"/>
          <w:szCs w:val="22"/>
          <w:lang w:val="en-US" w:eastAsia="en-US"/>
        </w:rPr>
        <w:t>.</w:t>
      </w:r>
      <w:r>
        <w:rPr>
          <w:rFonts w:asciiTheme="majorBidi" w:eastAsiaTheme="minorHAnsi" w:hAnsiTheme="majorBidi" w:cstheme="majorBidi"/>
          <w:color w:val="auto"/>
          <w:szCs w:val="22"/>
          <w:lang w:val="en-US" w:eastAsia="en-US"/>
        </w:rPr>
        <w:t xml:space="preserve">, </w:t>
      </w:r>
      <w:r w:rsidRPr="002F5665">
        <w:rPr>
          <w:rFonts w:asciiTheme="majorBidi" w:eastAsiaTheme="minorHAnsi" w:hAnsiTheme="majorBidi" w:cstheme="majorBidi"/>
          <w:color w:val="auto"/>
          <w:szCs w:val="22"/>
          <w:lang w:val="en-US" w:eastAsia="en-US"/>
        </w:rPr>
        <w:t>2008). Plugs have the root system embodied by the substrate and have advantages in relation to crop stand, earliness, and disease and pest management.</w:t>
      </w:r>
    </w:p>
    <w:p w14:paraId="44B41AD8" w14:textId="75F198EC" w:rsidR="00F73340" w:rsidRPr="00D9343A" w:rsidRDefault="00F73340" w:rsidP="00413E4A">
      <w:pPr>
        <w:pStyle w:val="Heading4"/>
      </w:pPr>
      <w:bookmarkStart w:id="87" w:name="_Toc483916006"/>
      <w:r>
        <w:t>4.</w:t>
      </w:r>
      <w:r w:rsidR="00FB50B1">
        <w:t>2</w:t>
      </w:r>
      <w:r>
        <w:t>.1.3.</w:t>
      </w:r>
      <w:r>
        <w:tab/>
        <w:t>Barrier films</w:t>
      </w:r>
      <w:bookmarkEnd w:id="87"/>
    </w:p>
    <w:p w14:paraId="4C76AFB4" w14:textId="11606873" w:rsidR="00F73340" w:rsidRPr="002B179C" w:rsidRDefault="003D3418" w:rsidP="00A140B1">
      <w:pPr>
        <w:autoSpaceDE w:val="0"/>
        <w:autoSpaceDN w:val="0"/>
        <w:adjustRightInd w:val="0"/>
        <w:spacing w:after="0"/>
        <w:rPr>
          <w:rFonts w:asciiTheme="majorBidi" w:hAnsiTheme="majorBidi" w:cstheme="majorBidi"/>
          <w:color w:val="008000"/>
          <w:szCs w:val="22"/>
        </w:rPr>
      </w:pPr>
      <w:r w:rsidRPr="004155F3">
        <w:rPr>
          <w:rFonts w:asciiTheme="majorBidi" w:hAnsiTheme="majorBidi" w:cstheme="majorBidi"/>
          <w:color w:val="auto"/>
          <w:szCs w:val="22"/>
        </w:rPr>
        <w:t xml:space="preserve">For many years MBTOC has indicated the benefits of using barrier films when using soil fumigants, as these provide a way of reducing emissions and increasing effectiveness of fumigants, allowing for much lower dosages that without such films. </w:t>
      </w:r>
      <w:r w:rsidR="00271CAA">
        <w:rPr>
          <w:rFonts w:asciiTheme="majorBidi" w:hAnsiTheme="majorBidi" w:cstheme="majorBidi"/>
          <w:color w:val="auto"/>
          <w:szCs w:val="22"/>
        </w:rPr>
        <w:t xml:space="preserve">Decisions condsider the practices which minimise emissions of MB as an essential criteria, and research for many years has show the benefit of barrier films to reduce MB dosage rates needed to control pathogens and weeds. </w:t>
      </w:r>
      <w:r w:rsidR="00271CAA" w:rsidRPr="004155F3">
        <w:rPr>
          <w:rFonts w:asciiTheme="majorBidi" w:hAnsiTheme="majorBidi" w:cstheme="majorBidi"/>
          <w:color w:val="auto"/>
          <w:szCs w:val="22"/>
        </w:rPr>
        <w:t xml:space="preserve">Barrier films are </w:t>
      </w:r>
      <w:r w:rsidR="00271CAA">
        <w:rPr>
          <w:rFonts w:asciiTheme="majorBidi" w:hAnsiTheme="majorBidi" w:cstheme="majorBidi"/>
          <w:color w:val="auto"/>
          <w:szCs w:val="22"/>
        </w:rPr>
        <w:t xml:space="preserve">also </w:t>
      </w:r>
      <w:r w:rsidR="00271CAA" w:rsidRPr="004155F3">
        <w:rPr>
          <w:rFonts w:asciiTheme="majorBidi" w:hAnsiTheme="majorBidi" w:cstheme="majorBidi"/>
          <w:color w:val="auto"/>
          <w:szCs w:val="22"/>
        </w:rPr>
        <w:t xml:space="preserve">now mandatory or at the very least strongly encouraged for </w:t>
      </w:r>
      <w:r w:rsidR="00271CAA">
        <w:rPr>
          <w:rFonts w:asciiTheme="majorBidi" w:hAnsiTheme="majorBidi" w:cstheme="majorBidi"/>
          <w:color w:val="auto"/>
          <w:szCs w:val="22"/>
        </w:rPr>
        <w:t xml:space="preserve">use with </w:t>
      </w:r>
      <w:r w:rsidR="00271CAA" w:rsidRPr="004155F3">
        <w:rPr>
          <w:rFonts w:asciiTheme="majorBidi" w:hAnsiTheme="majorBidi" w:cstheme="majorBidi"/>
          <w:color w:val="auto"/>
          <w:szCs w:val="22"/>
        </w:rPr>
        <w:t>all fumigants in various countries (TEAP, 2016)</w:t>
      </w:r>
      <w:r w:rsidR="00271CAA" w:rsidRPr="004155F3">
        <w:rPr>
          <w:rFonts w:asciiTheme="majorBidi" w:hAnsiTheme="majorBidi" w:cstheme="majorBidi"/>
          <w:color w:val="008000"/>
          <w:szCs w:val="22"/>
        </w:rPr>
        <w:t>.</w:t>
      </w:r>
    </w:p>
    <w:p w14:paraId="003F6110" w14:textId="77777777" w:rsidR="00F73340" w:rsidRPr="002F5665" w:rsidRDefault="00F73340" w:rsidP="00A140B1">
      <w:pPr>
        <w:autoSpaceDE w:val="0"/>
        <w:autoSpaceDN w:val="0"/>
        <w:adjustRightInd w:val="0"/>
        <w:spacing w:after="0"/>
        <w:rPr>
          <w:rFonts w:eastAsia="Minion-Regular" w:cs="Minion-Regular"/>
          <w:szCs w:val="22"/>
        </w:rPr>
      </w:pPr>
    </w:p>
    <w:p w14:paraId="1A7B6008" w14:textId="4E6DCCEC" w:rsidR="00F73340" w:rsidRPr="002F5665" w:rsidRDefault="00F73340" w:rsidP="00A140B1">
      <w:pPr>
        <w:autoSpaceDE w:val="0"/>
        <w:autoSpaceDN w:val="0"/>
        <w:adjustRightInd w:val="0"/>
        <w:spacing w:after="0"/>
        <w:rPr>
          <w:rFonts w:eastAsia="Minion-Regular" w:cs="Minion-Regular"/>
          <w:szCs w:val="22"/>
        </w:rPr>
      </w:pPr>
      <w:r w:rsidRPr="002F5665">
        <w:rPr>
          <w:rFonts w:eastAsia="Minion-Regular" w:cs="Minion-Regular"/>
          <w:szCs w:val="22"/>
        </w:rPr>
        <w:t xml:space="preserve">A recent trial conducted by Thalavaisundaram </w:t>
      </w:r>
      <w:r w:rsidRPr="002F5665">
        <w:rPr>
          <w:rFonts w:eastAsia="Minion-Regular" w:cs="Minion-Regular"/>
          <w:i/>
          <w:szCs w:val="22"/>
        </w:rPr>
        <w:t>et al</w:t>
      </w:r>
      <w:r w:rsidRPr="002F5665">
        <w:rPr>
          <w:rFonts w:eastAsia="Minion-Regular" w:cs="Minion-Regular"/>
          <w:szCs w:val="22"/>
        </w:rPr>
        <w:t xml:space="preserve"> (2015) showed that sealing soil with VIF improved the efficacy of </w:t>
      </w:r>
      <w:r w:rsidR="00506F55">
        <w:rPr>
          <w:rFonts w:eastAsia="Minion-Regular" w:cs="Minion-Regular"/>
          <w:szCs w:val="22"/>
        </w:rPr>
        <w:t>ethylenedinitrile (</w:t>
      </w:r>
      <w:r w:rsidRPr="002F5665">
        <w:rPr>
          <w:rFonts w:eastAsia="Minion-Regular" w:cs="Minion-Regular"/>
          <w:szCs w:val="22"/>
        </w:rPr>
        <w:t>EDN</w:t>
      </w:r>
      <w:r w:rsidR="00506F55">
        <w:rPr>
          <w:rFonts w:eastAsia="Minion-Regular" w:cs="Minion-Regular"/>
          <w:szCs w:val="22"/>
        </w:rPr>
        <w:t>)</w:t>
      </w:r>
      <w:r w:rsidRPr="002F5665">
        <w:rPr>
          <w:rFonts w:eastAsia="Minion-Regular" w:cs="Minion-Regular"/>
          <w:szCs w:val="22"/>
        </w:rPr>
        <w:t xml:space="preserve"> for soil disinfestation and runner production, compared with LDPE. VIF </w:t>
      </w:r>
      <w:r>
        <w:rPr>
          <w:rFonts w:eastAsia="Minion-Regular" w:cs="Minion-Regular"/>
          <w:szCs w:val="22"/>
        </w:rPr>
        <w:t xml:space="preserve">also </w:t>
      </w:r>
      <w:r w:rsidRPr="002F5665">
        <w:rPr>
          <w:rFonts w:eastAsia="Minion-Regular" w:cs="Minion-Regular"/>
          <w:szCs w:val="22"/>
        </w:rPr>
        <w:t>significantly increased weed control and runner yields compared with LDPE.</w:t>
      </w:r>
    </w:p>
    <w:p w14:paraId="0257C322" w14:textId="08A9F340" w:rsidR="00F73340" w:rsidRPr="00C94F4B" w:rsidRDefault="00F73340" w:rsidP="00413E4A">
      <w:pPr>
        <w:pStyle w:val="Heading3"/>
      </w:pPr>
      <w:bookmarkStart w:id="88" w:name="_Toc413659852"/>
      <w:bookmarkStart w:id="89" w:name="_Toc414934270"/>
      <w:bookmarkStart w:id="90" w:name="_Toc418842504"/>
      <w:bookmarkStart w:id="91" w:name="_Toc295406126"/>
      <w:bookmarkStart w:id="92" w:name="_Toc442363537"/>
      <w:bookmarkStart w:id="93" w:name="_Toc442692024"/>
      <w:bookmarkStart w:id="94" w:name="_Toc484164340"/>
      <w:r>
        <w:t>4</w:t>
      </w:r>
      <w:r w:rsidRPr="00C94F4B">
        <w:t>.</w:t>
      </w:r>
      <w:r w:rsidR="00FB50B1">
        <w:t>2</w:t>
      </w:r>
      <w:r w:rsidRPr="00C94F4B">
        <w:t>.</w:t>
      </w:r>
      <w:r>
        <w:t>2.</w:t>
      </w:r>
      <w:r>
        <w:tab/>
      </w:r>
      <w:r w:rsidRPr="00C94F4B">
        <w:t xml:space="preserve"> </w:t>
      </w:r>
      <w:r>
        <w:t>Alternatives for remaining critical uses in the s</w:t>
      </w:r>
      <w:r w:rsidRPr="00C94F4B">
        <w:t xml:space="preserve">tructures and </w:t>
      </w:r>
      <w:bookmarkEnd w:id="88"/>
      <w:bookmarkEnd w:id="89"/>
      <w:r w:rsidRPr="00C94F4B">
        <w:t>commodities sector</w:t>
      </w:r>
      <w:bookmarkEnd w:id="90"/>
      <w:bookmarkEnd w:id="91"/>
      <w:bookmarkEnd w:id="92"/>
      <w:bookmarkEnd w:id="93"/>
      <w:bookmarkEnd w:id="94"/>
    </w:p>
    <w:p w14:paraId="7BE5A49B" w14:textId="7FC6B9BC" w:rsidR="00F73340" w:rsidRPr="002F5665" w:rsidRDefault="00F73340" w:rsidP="00A140B1">
      <w:pPr>
        <w:pStyle w:val="p4"/>
        <w:rPr>
          <w:rStyle w:val="s1"/>
          <w:rFonts w:eastAsia="MS Mincho"/>
          <w:sz w:val="22"/>
          <w:szCs w:val="22"/>
          <w:lang w:val="en-GB"/>
        </w:rPr>
      </w:pPr>
      <w:bookmarkStart w:id="95" w:name="_Toc413659853"/>
      <w:bookmarkStart w:id="96" w:name="_Toc414934271"/>
      <w:bookmarkStart w:id="97" w:name="_Toc418842505"/>
      <w:bookmarkStart w:id="98" w:name="_Toc295406127"/>
      <w:bookmarkStart w:id="99" w:name="_Toc442363538"/>
      <w:bookmarkStart w:id="100" w:name="_Toc442692032"/>
      <w:r w:rsidRPr="002F5665">
        <w:rPr>
          <w:rStyle w:val="s1"/>
          <w:rFonts w:eastAsia="MS Mincho"/>
          <w:sz w:val="22"/>
          <w:szCs w:val="22"/>
          <w:lang w:val="en-GB"/>
        </w:rPr>
        <w:t>Only one Party (</w:t>
      </w:r>
      <w:r>
        <w:rPr>
          <w:rStyle w:val="s1"/>
          <w:rFonts w:eastAsia="MS Mincho"/>
          <w:sz w:val="22"/>
          <w:szCs w:val="22"/>
          <w:lang w:val="en-GB"/>
        </w:rPr>
        <w:t xml:space="preserve">Republic of </w:t>
      </w:r>
      <w:r w:rsidRPr="002F5665">
        <w:rPr>
          <w:rStyle w:val="s1"/>
          <w:rFonts w:eastAsia="MS Mincho"/>
          <w:sz w:val="22"/>
          <w:szCs w:val="22"/>
          <w:lang w:val="en-GB"/>
        </w:rPr>
        <w:t>South Africa</w:t>
      </w:r>
      <w:r>
        <w:rPr>
          <w:rStyle w:val="s1"/>
          <w:rFonts w:eastAsia="MS Mincho"/>
          <w:sz w:val="22"/>
          <w:szCs w:val="22"/>
          <w:lang w:val="en-GB"/>
        </w:rPr>
        <w:t>, RSA</w:t>
      </w:r>
      <w:r w:rsidRPr="002F5665">
        <w:rPr>
          <w:rStyle w:val="s1"/>
          <w:rFonts w:eastAsia="MS Mincho"/>
          <w:sz w:val="22"/>
          <w:szCs w:val="22"/>
          <w:lang w:val="en-GB"/>
        </w:rPr>
        <w:t xml:space="preserve">) is still requesting a CUE for further use of MB for pest control in structures and/or postharvest commodities, namely for disinfestations of </w:t>
      </w:r>
      <w:r>
        <w:rPr>
          <w:rStyle w:val="s1"/>
          <w:rFonts w:eastAsia="MS Mincho"/>
          <w:sz w:val="22"/>
          <w:szCs w:val="22"/>
          <w:lang w:val="en-GB"/>
        </w:rPr>
        <w:t xml:space="preserve">empty </w:t>
      </w:r>
      <w:r w:rsidRPr="002F5665">
        <w:rPr>
          <w:rStyle w:val="s1"/>
          <w:rFonts w:eastAsia="MS Mincho"/>
          <w:sz w:val="22"/>
          <w:szCs w:val="22"/>
          <w:lang w:val="en-GB"/>
        </w:rPr>
        <w:t xml:space="preserve">grain mills and </w:t>
      </w:r>
      <w:r>
        <w:rPr>
          <w:rStyle w:val="s1"/>
          <w:rFonts w:eastAsia="MS Mincho"/>
          <w:sz w:val="22"/>
          <w:szCs w:val="22"/>
          <w:lang w:val="en-GB"/>
        </w:rPr>
        <w:t xml:space="preserve">wood </w:t>
      </w:r>
      <w:r w:rsidRPr="002F5665">
        <w:rPr>
          <w:rStyle w:val="s1"/>
          <w:rFonts w:eastAsia="MS Mincho"/>
          <w:sz w:val="22"/>
          <w:szCs w:val="22"/>
          <w:lang w:val="en-GB"/>
        </w:rPr>
        <w:t xml:space="preserve">houses (dwellings). The main chemical alternatives for the nominated uses, (e.g. sulfuryl fluoride, SF, </w:t>
      </w:r>
      <w:r w:rsidR="00506F55">
        <w:rPr>
          <w:rStyle w:val="s1"/>
          <w:rFonts w:eastAsia="MS Mincho"/>
          <w:sz w:val="22"/>
          <w:szCs w:val="22"/>
          <w:lang w:val="en-GB"/>
        </w:rPr>
        <w:t xml:space="preserve">ethylene dinitrile, </w:t>
      </w:r>
      <w:r w:rsidRPr="002F5665">
        <w:rPr>
          <w:rStyle w:val="s1"/>
          <w:rFonts w:eastAsia="MS Mincho"/>
          <w:sz w:val="22"/>
          <w:szCs w:val="22"/>
          <w:lang w:val="en-GB"/>
        </w:rPr>
        <w:t>EDN)</w:t>
      </w:r>
      <w:r>
        <w:rPr>
          <w:rStyle w:val="s1"/>
          <w:rFonts w:eastAsia="MS Mincho"/>
          <w:sz w:val="22"/>
          <w:szCs w:val="22"/>
          <w:lang w:val="en-GB"/>
        </w:rPr>
        <w:t xml:space="preserve"> are</w:t>
      </w:r>
      <w:r w:rsidRPr="002F5665">
        <w:rPr>
          <w:rStyle w:val="s1"/>
          <w:rFonts w:eastAsia="MS Mincho"/>
          <w:sz w:val="22"/>
          <w:szCs w:val="22"/>
          <w:lang w:val="en-GB"/>
        </w:rPr>
        <w:t xml:space="preserve"> in use</w:t>
      </w:r>
      <w:r w:rsidR="00506F55">
        <w:rPr>
          <w:rStyle w:val="s1"/>
          <w:rFonts w:eastAsia="MS Mincho"/>
          <w:sz w:val="22"/>
          <w:szCs w:val="22"/>
          <w:lang w:val="en-GB"/>
        </w:rPr>
        <w:t xml:space="preserve"> or considered promising</w:t>
      </w:r>
      <w:r w:rsidRPr="002F5665">
        <w:rPr>
          <w:rStyle w:val="s1"/>
          <w:rFonts w:eastAsia="MS Mincho"/>
          <w:sz w:val="22"/>
          <w:szCs w:val="22"/>
          <w:lang w:val="en-GB"/>
        </w:rPr>
        <w:t xml:space="preserve"> in many countries, </w:t>
      </w:r>
      <w:r w:rsidR="00506F55">
        <w:rPr>
          <w:rStyle w:val="s1"/>
          <w:rFonts w:eastAsia="MS Mincho"/>
          <w:sz w:val="22"/>
          <w:szCs w:val="22"/>
          <w:lang w:val="en-GB"/>
        </w:rPr>
        <w:t>but</w:t>
      </w:r>
      <w:r w:rsidRPr="002F5665">
        <w:rPr>
          <w:rStyle w:val="s1"/>
          <w:rFonts w:eastAsia="MS Mincho"/>
          <w:sz w:val="22"/>
          <w:szCs w:val="22"/>
          <w:lang w:val="en-GB"/>
        </w:rPr>
        <w:t xml:space="preserve"> not yet available in South Africa, mainly due to lack of registration</w:t>
      </w:r>
      <w:r w:rsidR="00506F55">
        <w:rPr>
          <w:rStyle w:val="s1"/>
          <w:rFonts w:eastAsia="MS Mincho"/>
          <w:sz w:val="22"/>
          <w:szCs w:val="22"/>
          <w:lang w:val="en-GB"/>
        </w:rPr>
        <w:t>.</w:t>
      </w:r>
      <w:r w:rsidRPr="002F5665">
        <w:rPr>
          <w:rStyle w:val="s1"/>
          <w:rFonts w:eastAsia="MS Mincho"/>
          <w:sz w:val="22"/>
          <w:szCs w:val="22"/>
          <w:lang w:val="en-GB"/>
        </w:rPr>
        <w:t xml:space="preserve"> This process has been delayed due to difficulties encountered by the fumigating companies in sourcing the required information to complete registration</w:t>
      </w:r>
      <w:r w:rsidR="00321E9C">
        <w:rPr>
          <w:rStyle w:val="s1"/>
          <w:rFonts w:eastAsia="MS Mincho"/>
          <w:sz w:val="22"/>
          <w:szCs w:val="22"/>
          <w:lang w:val="en-GB"/>
        </w:rPr>
        <w:t>, however this is being addressed</w:t>
      </w:r>
      <w:r w:rsidRPr="002F5665">
        <w:rPr>
          <w:rStyle w:val="s1"/>
          <w:rFonts w:eastAsia="MS Mincho"/>
          <w:sz w:val="22"/>
          <w:szCs w:val="22"/>
          <w:lang w:val="en-GB"/>
        </w:rPr>
        <w:t>.</w:t>
      </w:r>
    </w:p>
    <w:p w14:paraId="33E8B59F" w14:textId="33F2CD08" w:rsidR="00F73340" w:rsidRPr="002F5665" w:rsidRDefault="00F73340" w:rsidP="00A140B1">
      <w:pPr>
        <w:pStyle w:val="p4"/>
        <w:rPr>
          <w:rStyle w:val="s1"/>
          <w:rFonts w:eastAsia="MS Mincho"/>
          <w:sz w:val="22"/>
          <w:szCs w:val="22"/>
          <w:lang w:val="en-GB"/>
        </w:rPr>
      </w:pPr>
      <w:r w:rsidRPr="002F5665">
        <w:rPr>
          <w:rStyle w:val="s1"/>
          <w:rFonts w:eastAsia="MS Mincho"/>
          <w:sz w:val="22"/>
          <w:szCs w:val="22"/>
          <w:lang w:val="en-GB"/>
        </w:rPr>
        <w:t xml:space="preserve">Heat, an additional alternative widely in use around the world under comparable situations is not presently used in RSA. The import of heating machines (burners or electrical heaters) is costly and the technique is not in regular use for pest control in this country. Local sourcing or manufacturing of suitable machines and optimising their use will need time. </w:t>
      </w:r>
      <w:r w:rsidR="00321E9C">
        <w:rPr>
          <w:rStyle w:val="s1"/>
          <w:rFonts w:eastAsia="MS Mincho"/>
          <w:sz w:val="22"/>
          <w:szCs w:val="22"/>
          <w:lang w:val="en-GB"/>
        </w:rPr>
        <w:t>As a</w:t>
      </w:r>
      <w:r w:rsidRPr="002F5665">
        <w:rPr>
          <w:rStyle w:val="s1"/>
          <w:rFonts w:eastAsia="MS Mincho"/>
          <w:sz w:val="22"/>
          <w:szCs w:val="22"/>
          <w:lang w:val="en-GB"/>
        </w:rPr>
        <w:t xml:space="preserve"> consequence, a rapid phase out of MB with economically feasible and equally effective measures is </w:t>
      </w:r>
      <w:r w:rsidR="00321E9C">
        <w:rPr>
          <w:rStyle w:val="s1"/>
          <w:rFonts w:eastAsia="MS Mincho"/>
          <w:sz w:val="22"/>
          <w:szCs w:val="22"/>
          <w:lang w:val="en-GB"/>
        </w:rPr>
        <w:t>being delayed</w:t>
      </w:r>
      <w:r w:rsidRPr="002F5665">
        <w:rPr>
          <w:rStyle w:val="s1"/>
          <w:rFonts w:eastAsia="MS Mincho"/>
          <w:sz w:val="22"/>
          <w:szCs w:val="22"/>
          <w:lang w:val="en-GB"/>
        </w:rPr>
        <w:t>. MBTOC submitted information on heat control (Hammond, 2015) to the relevant sector representatives and will continue to supply information on this technique, including sourcing of suitable equipment that may be imported at lower prices</w:t>
      </w:r>
      <w:r w:rsidR="00321E9C">
        <w:rPr>
          <w:rStyle w:val="s1"/>
          <w:rFonts w:eastAsia="MS Mincho"/>
          <w:sz w:val="22"/>
          <w:szCs w:val="22"/>
          <w:lang w:val="en-GB"/>
        </w:rPr>
        <w:t>, in order to speed up adoption where suitable</w:t>
      </w:r>
      <w:r w:rsidRPr="002F5665">
        <w:rPr>
          <w:rStyle w:val="s1"/>
          <w:rFonts w:eastAsia="MS Mincho"/>
          <w:sz w:val="22"/>
          <w:szCs w:val="22"/>
          <w:lang w:val="en-GB"/>
        </w:rPr>
        <w:t xml:space="preserve">. </w:t>
      </w:r>
    </w:p>
    <w:p w14:paraId="018C5355" w14:textId="0C58F99B" w:rsidR="00F73340" w:rsidRPr="002F5665" w:rsidRDefault="00F73340" w:rsidP="00A140B1">
      <w:pPr>
        <w:pStyle w:val="p4"/>
        <w:rPr>
          <w:rStyle w:val="s1"/>
          <w:rFonts w:eastAsia="MS Mincho"/>
          <w:sz w:val="22"/>
          <w:szCs w:val="22"/>
          <w:lang w:val="en-GB"/>
        </w:rPr>
      </w:pPr>
      <w:r w:rsidRPr="002F5665">
        <w:rPr>
          <w:rStyle w:val="s1"/>
          <w:rFonts w:eastAsia="MS Mincho"/>
          <w:sz w:val="22"/>
          <w:szCs w:val="22"/>
          <w:lang w:val="en-GB"/>
        </w:rPr>
        <w:t xml:space="preserve">The following sections present </w:t>
      </w:r>
      <w:r w:rsidR="003571AA">
        <w:rPr>
          <w:rStyle w:val="s1"/>
          <w:rFonts w:eastAsia="MS Mincho"/>
          <w:sz w:val="22"/>
          <w:szCs w:val="22"/>
          <w:lang w:val="en-GB"/>
        </w:rPr>
        <w:t xml:space="preserve">more detailed </w:t>
      </w:r>
      <w:r w:rsidRPr="002F5665">
        <w:rPr>
          <w:rStyle w:val="s1"/>
          <w:rFonts w:eastAsia="MS Mincho"/>
          <w:sz w:val="22"/>
          <w:szCs w:val="22"/>
          <w:lang w:val="en-GB"/>
        </w:rPr>
        <w:t>update</w:t>
      </w:r>
      <w:r w:rsidR="003571AA">
        <w:rPr>
          <w:rStyle w:val="s1"/>
          <w:rFonts w:eastAsia="MS Mincho"/>
          <w:sz w:val="22"/>
          <w:szCs w:val="22"/>
          <w:lang w:val="en-GB"/>
        </w:rPr>
        <w:t>d information</w:t>
      </w:r>
      <w:r w:rsidRPr="002F5665">
        <w:rPr>
          <w:rStyle w:val="s1"/>
          <w:rFonts w:eastAsia="MS Mincho"/>
          <w:sz w:val="22"/>
          <w:szCs w:val="22"/>
          <w:lang w:val="en-GB"/>
        </w:rPr>
        <w:t xml:space="preserve"> on these and other alternatives, which according to particular circumstances</w:t>
      </w:r>
      <w:r w:rsidR="003571AA">
        <w:rPr>
          <w:rStyle w:val="s1"/>
          <w:rFonts w:eastAsia="MS Mincho"/>
          <w:sz w:val="22"/>
          <w:szCs w:val="22"/>
          <w:lang w:val="en-GB"/>
        </w:rPr>
        <w:t xml:space="preserve"> within the CUNs</w:t>
      </w:r>
      <w:r w:rsidRPr="002F5665">
        <w:rPr>
          <w:rStyle w:val="s1"/>
          <w:rFonts w:eastAsia="MS Mincho"/>
          <w:sz w:val="22"/>
          <w:szCs w:val="22"/>
          <w:lang w:val="en-GB"/>
        </w:rPr>
        <w:t xml:space="preserve"> may be appropriate for the uses described above. Further and much more detailed information is available in MBTOC’s past reports, particularly Assessment Reports.</w:t>
      </w:r>
    </w:p>
    <w:p w14:paraId="7F658AB0" w14:textId="53878494" w:rsidR="00F73340" w:rsidRPr="003D3418" w:rsidRDefault="00F73340" w:rsidP="00413E4A">
      <w:pPr>
        <w:pStyle w:val="Heading4"/>
        <w:rPr>
          <w:rStyle w:val="s1"/>
          <w:i/>
          <w:snapToGrid/>
          <w:szCs w:val="24"/>
          <w:lang w:val="de-DE" w:eastAsia="de-DE"/>
        </w:rPr>
      </w:pPr>
      <w:bookmarkStart w:id="101" w:name="_Toc483916008"/>
      <w:r w:rsidRPr="003D3418">
        <w:rPr>
          <w:rStyle w:val="s1"/>
        </w:rPr>
        <w:t>4.</w:t>
      </w:r>
      <w:r w:rsidR="00FB50B1">
        <w:rPr>
          <w:rStyle w:val="s1"/>
        </w:rPr>
        <w:t>2</w:t>
      </w:r>
      <w:r w:rsidRPr="003D3418">
        <w:rPr>
          <w:rStyle w:val="s1"/>
        </w:rPr>
        <w:t>.2.1</w:t>
      </w:r>
      <w:r w:rsidRPr="003D3418">
        <w:rPr>
          <w:rStyle w:val="s1"/>
        </w:rPr>
        <w:tab/>
        <w:t>Sulfuryl fluoride</w:t>
      </w:r>
      <w:bookmarkEnd w:id="101"/>
    </w:p>
    <w:p w14:paraId="75868596" w14:textId="7980D145" w:rsidR="00F73340" w:rsidRPr="002F5665" w:rsidRDefault="00F73340" w:rsidP="00A140B1">
      <w:pPr>
        <w:pStyle w:val="p4"/>
        <w:rPr>
          <w:sz w:val="22"/>
          <w:szCs w:val="22"/>
          <w:lang w:val="en-GB"/>
        </w:rPr>
      </w:pPr>
      <w:r w:rsidRPr="002F5665">
        <w:rPr>
          <w:sz w:val="22"/>
          <w:szCs w:val="22"/>
          <w:lang w:val="en-GB"/>
        </w:rPr>
        <w:t xml:space="preserve">As stated previously, sulfuryl fluoride (SF) is a key alternative to MB for structures (including mills and dwellings). It is registered for use on dwellings in many countries (e.g. Australia (APVMA 2017)) and, as Vikane, took over from methyl bromide fumigation of houses against drywood termites and woodborers in </w:t>
      </w:r>
      <w:r w:rsidR="0070607D">
        <w:rPr>
          <w:sz w:val="22"/>
          <w:szCs w:val="22"/>
          <w:lang w:val="en-GB"/>
        </w:rPr>
        <w:t>US</w:t>
      </w:r>
      <w:r w:rsidRPr="002F5665">
        <w:rPr>
          <w:sz w:val="22"/>
          <w:szCs w:val="22"/>
          <w:lang w:val="en-GB"/>
        </w:rPr>
        <w:t xml:space="preserve"> many years ago. It is becoming clear that exposure periods may need to be prolonged (&gt;24h) where the SF-tolerant egg stage of pests </w:t>
      </w:r>
      <w:r w:rsidRPr="002F5665">
        <w:rPr>
          <w:sz w:val="22"/>
          <w:szCs w:val="22"/>
          <w:lang w:val="en-GB"/>
        </w:rPr>
        <w:lastRenderedPageBreak/>
        <w:t>needs to be eliminated, with the maximum labelled ct-product of 1500 g h m-3 achieved over 48h or more. Extended exposure is</w:t>
      </w:r>
      <w:r w:rsidR="007F0D47">
        <w:rPr>
          <w:sz w:val="22"/>
          <w:szCs w:val="22"/>
          <w:lang w:val="en-GB"/>
        </w:rPr>
        <w:t xml:space="preserve"> however</w:t>
      </w:r>
      <w:r w:rsidRPr="002F5665">
        <w:rPr>
          <w:sz w:val="22"/>
          <w:szCs w:val="22"/>
          <w:lang w:val="en-GB"/>
        </w:rPr>
        <w:t xml:space="preserve"> not required </w:t>
      </w:r>
      <w:r w:rsidR="007F0D47">
        <w:rPr>
          <w:sz w:val="22"/>
          <w:szCs w:val="22"/>
          <w:lang w:val="en-GB"/>
        </w:rPr>
        <w:t>for controlling</w:t>
      </w:r>
      <w:r w:rsidRPr="002F5665">
        <w:rPr>
          <w:sz w:val="22"/>
          <w:szCs w:val="22"/>
          <w:lang w:val="en-GB"/>
        </w:rPr>
        <w:t xml:space="preserve"> drywood termites</w:t>
      </w:r>
      <w:r w:rsidR="007F0D47">
        <w:rPr>
          <w:sz w:val="22"/>
          <w:szCs w:val="22"/>
          <w:lang w:val="en-GB"/>
        </w:rPr>
        <w:t>,</w:t>
      </w:r>
      <w:r w:rsidRPr="002F5665">
        <w:rPr>
          <w:sz w:val="22"/>
          <w:szCs w:val="22"/>
          <w:lang w:val="en-GB"/>
        </w:rPr>
        <w:t xml:space="preserve"> </w:t>
      </w:r>
      <w:r w:rsidR="007F0D47">
        <w:rPr>
          <w:sz w:val="22"/>
          <w:szCs w:val="22"/>
          <w:lang w:val="en-GB"/>
        </w:rPr>
        <w:t>which are a key pest of the RSA nomination</w:t>
      </w:r>
      <w:r w:rsidRPr="002F5665">
        <w:rPr>
          <w:sz w:val="22"/>
          <w:szCs w:val="22"/>
          <w:lang w:val="en-GB"/>
        </w:rPr>
        <w:t xml:space="preserve">. </w:t>
      </w:r>
    </w:p>
    <w:p w14:paraId="44BFB66A" w14:textId="25C4AF64" w:rsidR="00F73340" w:rsidRPr="002F5665" w:rsidRDefault="007F0D47" w:rsidP="00A140B1">
      <w:pPr>
        <w:pStyle w:val="p4"/>
        <w:rPr>
          <w:sz w:val="22"/>
          <w:szCs w:val="22"/>
          <w:lang w:val="en-GB"/>
        </w:rPr>
      </w:pPr>
      <w:r>
        <w:rPr>
          <w:sz w:val="22"/>
          <w:szCs w:val="22"/>
          <w:lang w:val="en-GB"/>
        </w:rPr>
        <w:t xml:space="preserve">SF is also used as an alternative to MB for controlling pests of stored grain and other foodstuffs. </w:t>
      </w:r>
      <w:r w:rsidR="00F73340" w:rsidRPr="002F5665">
        <w:rPr>
          <w:sz w:val="22"/>
          <w:szCs w:val="22"/>
          <w:lang w:val="en-GB"/>
        </w:rPr>
        <w:t xml:space="preserve">Buckman </w:t>
      </w:r>
      <w:r w:rsidR="00F73340" w:rsidRPr="002F5665">
        <w:rPr>
          <w:i/>
          <w:sz w:val="22"/>
          <w:szCs w:val="22"/>
          <w:lang w:val="en-GB"/>
        </w:rPr>
        <w:t>et al</w:t>
      </w:r>
      <w:r w:rsidR="00F73340" w:rsidRPr="002F5665">
        <w:rPr>
          <w:sz w:val="22"/>
          <w:szCs w:val="22"/>
          <w:lang w:val="en-GB"/>
        </w:rPr>
        <w:t xml:space="preserve">. (2013) have dealt over several years with </w:t>
      </w:r>
      <w:r>
        <w:rPr>
          <w:sz w:val="22"/>
          <w:szCs w:val="22"/>
          <w:lang w:val="en-GB"/>
        </w:rPr>
        <w:t xml:space="preserve">control of </w:t>
      </w:r>
      <w:r w:rsidR="00F73340">
        <w:rPr>
          <w:sz w:val="22"/>
          <w:szCs w:val="22"/>
          <w:lang w:val="en-GB"/>
        </w:rPr>
        <w:t xml:space="preserve">the </w:t>
      </w:r>
      <w:r w:rsidR="00F73340" w:rsidRPr="002F5665">
        <w:rPr>
          <w:sz w:val="22"/>
          <w:szCs w:val="22"/>
          <w:lang w:val="en-GB"/>
        </w:rPr>
        <w:t>red flour beetle (</w:t>
      </w:r>
      <w:r w:rsidR="00F73340" w:rsidRPr="002F5665">
        <w:rPr>
          <w:i/>
          <w:sz w:val="22"/>
          <w:szCs w:val="22"/>
          <w:lang w:val="en-GB"/>
        </w:rPr>
        <w:t>Tribolium castaneum)</w:t>
      </w:r>
      <w:r w:rsidR="00F73340" w:rsidRPr="002F5665">
        <w:rPr>
          <w:sz w:val="22"/>
          <w:szCs w:val="22"/>
          <w:lang w:val="en-GB"/>
        </w:rPr>
        <w:t xml:space="preserve">, </w:t>
      </w:r>
      <w:r>
        <w:rPr>
          <w:sz w:val="22"/>
          <w:szCs w:val="22"/>
          <w:lang w:val="en-GB"/>
        </w:rPr>
        <w:t xml:space="preserve">which is challenging </w:t>
      </w:r>
      <w:r w:rsidR="00F73340" w:rsidRPr="002F5665">
        <w:rPr>
          <w:sz w:val="22"/>
          <w:szCs w:val="22"/>
          <w:lang w:val="en-GB"/>
        </w:rPr>
        <w:t xml:space="preserve">as this pest can come back after fumigation of rice mills with SF. An interesting correlation between capture of beetles inside and outside the mills was shown. A metaanalysis involving 111 treatments in 39 objects comparing control of the two </w:t>
      </w:r>
      <w:r w:rsidR="00F73340" w:rsidRPr="002F5665">
        <w:rPr>
          <w:i/>
          <w:sz w:val="22"/>
          <w:szCs w:val="22"/>
          <w:lang w:val="en-GB"/>
        </w:rPr>
        <w:t>Tribolium</w:t>
      </w:r>
      <w:r w:rsidR="00F73340" w:rsidRPr="002F5665">
        <w:rPr>
          <w:sz w:val="22"/>
          <w:szCs w:val="22"/>
          <w:lang w:val="en-GB"/>
        </w:rPr>
        <w:t xml:space="preserve"> species - </w:t>
      </w:r>
      <w:r w:rsidR="00F73340" w:rsidRPr="002F5665">
        <w:rPr>
          <w:i/>
          <w:sz w:val="22"/>
          <w:szCs w:val="22"/>
          <w:lang w:val="en-GB"/>
        </w:rPr>
        <w:t>T. castaneum</w:t>
      </w:r>
      <w:r w:rsidR="00F73340" w:rsidRPr="002F5665">
        <w:rPr>
          <w:sz w:val="22"/>
          <w:szCs w:val="22"/>
          <w:lang w:val="en-GB"/>
        </w:rPr>
        <w:t xml:space="preserve"> and </w:t>
      </w:r>
      <w:r w:rsidR="00F73340" w:rsidRPr="002F5665">
        <w:rPr>
          <w:i/>
          <w:sz w:val="22"/>
          <w:szCs w:val="22"/>
          <w:lang w:val="en-GB"/>
        </w:rPr>
        <w:t>T. confusum</w:t>
      </w:r>
      <w:r w:rsidR="00F73340" w:rsidRPr="002F5665">
        <w:rPr>
          <w:sz w:val="22"/>
          <w:szCs w:val="22"/>
          <w:lang w:val="en-GB"/>
        </w:rPr>
        <w:t xml:space="preserve"> - in grain processing factories </w:t>
      </w:r>
      <w:r w:rsidR="004B0ED1" w:rsidRPr="002F5665">
        <w:rPr>
          <w:sz w:val="22"/>
          <w:szCs w:val="22"/>
          <w:lang w:val="en-GB"/>
        </w:rPr>
        <w:t xml:space="preserve">revealed fairly comparable results </w:t>
      </w:r>
      <w:r w:rsidR="004B0ED1">
        <w:rPr>
          <w:sz w:val="22"/>
          <w:szCs w:val="22"/>
          <w:lang w:val="en-GB"/>
        </w:rPr>
        <w:t xml:space="preserve">as those obtained </w:t>
      </w:r>
      <w:r w:rsidR="00F73340" w:rsidRPr="002F5665">
        <w:rPr>
          <w:sz w:val="22"/>
          <w:szCs w:val="22"/>
          <w:lang w:val="en-GB"/>
        </w:rPr>
        <w:t xml:space="preserve">with methyl bromide or sulfuryl </w:t>
      </w:r>
      <w:r w:rsidR="004B0ED1">
        <w:rPr>
          <w:sz w:val="22"/>
          <w:szCs w:val="22"/>
          <w:lang w:val="en-GB"/>
        </w:rPr>
        <w:t>fluoride or application of heat</w:t>
      </w:r>
      <w:r w:rsidR="00F73340" w:rsidRPr="002F5665">
        <w:rPr>
          <w:sz w:val="22"/>
          <w:szCs w:val="22"/>
          <w:lang w:val="en-GB"/>
        </w:rPr>
        <w:t xml:space="preserve"> (Campbell </w:t>
      </w:r>
      <w:r w:rsidR="00F73340" w:rsidRPr="002F5665">
        <w:rPr>
          <w:i/>
          <w:sz w:val="22"/>
          <w:szCs w:val="22"/>
          <w:lang w:val="en-GB"/>
        </w:rPr>
        <w:t>et al</w:t>
      </w:r>
      <w:r w:rsidR="00F73340" w:rsidRPr="002F5665">
        <w:rPr>
          <w:sz w:val="22"/>
          <w:szCs w:val="22"/>
          <w:lang w:val="en-GB"/>
        </w:rPr>
        <w:t xml:space="preserve">., 2015). </w:t>
      </w:r>
    </w:p>
    <w:p w14:paraId="09C5E225" w14:textId="3DA6CFFB" w:rsidR="00F73340" w:rsidRPr="002F5665" w:rsidRDefault="004B0ED1" w:rsidP="00A140B1">
      <w:pPr>
        <w:pStyle w:val="p4"/>
        <w:rPr>
          <w:sz w:val="22"/>
          <w:szCs w:val="22"/>
          <w:lang w:val="en-GB"/>
        </w:rPr>
      </w:pPr>
      <w:r>
        <w:rPr>
          <w:sz w:val="22"/>
          <w:szCs w:val="22"/>
          <w:lang w:val="en-GB"/>
        </w:rPr>
        <w:t>Treatment of antique buildings</w:t>
      </w:r>
      <w:r w:rsidR="00935013">
        <w:rPr>
          <w:sz w:val="22"/>
          <w:szCs w:val="22"/>
          <w:lang w:val="en-GB"/>
        </w:rPr>
        <w:t xml:space="preserve"> and artefacts</w:t>
      </w:r>
      <w:r>
        <w:rPr>
          <w:sz w:val="22"/>
          <w:szCs w:val="22"/>
          <w:lang w:val="en-GB"/>
        </w:rPr>
        <w:t xml:space="preserve"> is another instance where replacing MB has been difficult. Recently, </w:t>
      </w:r>
      <w:r>
        <w:rPr>
          <w:spacing w:val="-2"/>
          <w:sz w:val="22"/>
          <w:szCs w:val="22"/>
        </w:rPr>
        <w:t>Ferizli</w:t>
      </w:r>
      <w:r w:rsidRPr="002F5665">
        <w:rPr>
          <w:spacing w:val="-2"/>
          <w:sz w:val="22"/>
          <w:szCs w:val="22"/>
        </w:rPr>
        <w:t xml:space="preserve"> and Emekci (2016)</w:t>
      </w:r>
      <w:r>
        <w:rPr>
          <w:spacing w:val="-2"/>
          <w:sz w:val="22"/>
          <w:szCs w:val="22"/>
        </w:rPr>
        <w:t xml:space="preserve"> have described </w:t>
      </w:r>
      <w:r>
        <w:rPr>
          <w:sz w:val="22"/>
          <w:szCs w:val="22"/>
          <w:lang w:val="en-GB"/>
        </w:rPr>
        <w:t>a successful treatment of a large antique</w:t>
      </w:r>
      <w:r w:rsidR="00F73340" w:rsidRPr="002F5665">
        <w:rPr>
          <w:sz w:val="22"/>
          <w:szCs w:val="22"/>
          <w:lang w:val="en-GB"/>
        </w:rPr>
        <w:t xml:space="preserve"> heritage wooden structure, the </w:t>
      </w:r>
      <w:r w:rsidR="00F73340" w:rsidRPr="002F5665">
        <w:rPr>
          <w:bCs/>
          <w:sz w:val="22"/>
          <w:szCs w:val="22"/>
        </w:rPr>
        <w:t>Aynali</w:t>
      </w:r>
      <w:r>
        <w:rPr>
          <w:bCs/>
          <w:sz w:val="22"/>
          <w:szCs w:val="22"/>
        </w:rPr>
        <w:t xml:space="preserve"> K</w:t>
      </w:r>
      <w:r w:rsidR="00F73340" w:rsidRPr="002F5665">
        <w:rPr>
          <w:bCs/>
          <w:sz w:val="22"/>
          <w:szCs w:val="22"/>
        </w:rPr>
        <w:t>avak</w:t>
      </w:r>
      <w:r w:rsidR="00F73340" w:rsidRPr="002F5665">
        <w:rPr>
          <w:sz w:val="22"/>
          <w:szCs w:val="22"/>
          <w:lang w:val="en-GB"/>
        </w:rPr>
        <w:t xml:space="preserve"> pavilion</w:t>
      </w:r>
      <w:r>
        <w:rPr>
          <w:sz w:val="22"/>
          <w:szCs w:val="22"/>
          <w:lang w:val="en-GB"/>
        </w:rPr>
        <w:t xml:space="preserve"> in Istanbul,</w:t>
      </w:r>
      <w:r w:rsidR="00F73340">
        <w:rPr>
          <w:sz w:val="22"/>
          <w:szCs w:val="22"/>
          <w:lang w:val="en-GB"/>
        </w:rPr>
        <w:t xml:space="preserve"> Turkey</w:t>
      </w:r>
      <w:r w:rsidR="00F73340" w:rsidRPr="002F5665">
        <w:rPr>
          <w:sz w:val="22"/>
          <w:szCs w:val="22"/>
          <w:lang w:val="en-GB"/>
        </w:rPr>
        <w:t xml:space="preserve"> </w:t>
      </w:r>
      <w:r>
        <w:rPr>
          <w:sz w:val="22"/>
          <w:szCs w:val="22"/>
          <w:lang w:val="en-GB"/>
        </w:rPr>
        <w:t>with SF. This</w:t>
      </w:r>
      <w:r w:rsidR="00F73340" w:rsidRPr="002F5665">
        <w:rPr>
          <w:sz w:val="22"/>
          <w:szCs w:val="22"/>
          <w:lang w:val="en-GB"/>
        </w:rPr>
        <w:t xml:space="preserve"> provid</w:t>
      </w:r>
      <w:r>
        <w:rPr>
          <w:sz w:val="22"/>
          <w:szCs w:val="22"/>
          <w:lang w:val="en-GB"/>
        </w:rPr>
        <w:t>es</w:t>
      </w:r>
      <w:r w:rsidR="00F73340" w:rsidRPr="002F5665">
        <w:rPr>
          <w:sz w:val="22"/>
          <w:szCs w:val="22"/>
          <w:lang w:val="en-GB"/>
        </w:rPr>
        <w:t xml:space="preserve"> a</w:t>
      </w:r>
      <w:r>
        <w:rPr>
          <w:sz w:val="22"/>
          <w:szCs w:val="22"/>
          <w:lang w:val="en-GB"/>
        </w:rPr>
        <w:t xml:space="preserve"> good</w:t>
      </w:r>
      <w:r w:rsidR="00F73340" w:rsidRPr="002F5665">
        <w:rPr>
          <w:sz w:val="22"/>
          <w:szCs w:val="22"/>
          <w:lang w:val="en-GB"/>
        </w:rPr>
        <w:t xml:space="preserve"> example of </w:t>
      </w:r>
      <w:r>
        <w:rPr>
          <w:sz w:val="22"/>
          <w:szCs w:val="22"/>
          <w:lang w:val="en-GB"/>
        </w:rPr>
        <w:t>effective</w:t>
      </w:r>
      <w:r w:rsidR="00F73340" w:rsidRPr="002F5665">
        <w:rPr>
          <w:sz w:val="22"/>
          <w:szCs w:val="22"/>
          <w:lang w:val="en-GB"/>
        </w:rPr>
        <w:t xml:space="preserve"> treatment under technically demanding conditions of a very valuable building</w:t>
      </w:r>
      <w:r>
        <w:rPr>
          <w:sz w:val="22"/>
          <w:szCs w:val="22"/>
          <w:lang w:val="en-GB"/>
        </w:rPr>
        <w:t>;</w:t>
      </w:r>
      <w:r w:rsidR="00F73340" w:rsidRPr="002F5665">
        <w:rPr>
          <w:sz w:val="22"/>
          <w:szCs w:val="22"/>
          <w:lang w:val="en-GB"/>
        </w:rPr>
        <w:t xml:space="preserve"> </w:t>
      </w:r>
      <w:r>
        <w:rPr>
          <w:sz w:val="22"/>
          <w:szCs w:val="22"/>
          <w:lang w:val="en-GB"/>
        </w:rPr>
        <w:t>treatment</w:t>
      </w:r>
      <w:r w:rsidR="00F73340" w:rsidRPr="002F5665">
        <w:rPr>
          <w:sz w:val="22"/>
          <w:szCs w:val="22"/>
          <w:lang w:val="en-GB"/>
        </w:rPr>
        <w:t xml:space="preserve"> was possible with antique furnishings and furniture left in situ during the </w:t>
      </w:r>
      <w:r>
        <w:rPr>
          <w:sz w:val="22"/>
          <w:szCs w:val="22"/>
          <w:lang w:val="en-GB"/>
        </w:rPr>
        <w:t>process</w:t>
      </w:r>
      <w:r w:rsidR="00F73340" w:rsidRPr="002F5665">
        <w:rPr>
          <w:sz w:val="22"/>
          <w:szCs w:val="22"/>
          <w:lang w:val="en-GB"/>
        </w:rPr>
        <w:t>.</w:t>
      </w:r>
    </w:p>
    <w:p w14:paraId="07814C8F" w14:textId="4937EA2B" w:rsidR="00F73340" w:rsidRPr="0024160A" w:rsidRDefault="00F73340" w:rsidP="00413E4A">
      <w:pPr>
        <w:pStyle w:val="Heading4"/>
      </w:pPr>
      <w:bookmarkStart w:id="102" w:name="_Toc483916009"/>
      <w:r>
        <w:t>4.</w:t>
      </w:r>
      <w:r w:rsidR="00FB50B1">
        <w:t>2</w:t>
      </w:r>
      <w:r>
        <w:t>.2.2.</w:t>
      </w:r>
      <w:r>
        <w:tab/>
        <w:t>H</w:t>
      </w:r>
      <w:r w:rsidRPr="0024160A">
        <w:t>ydrogen cyanide</w:t>
      </w:r>
      <w:bookmarkEnd w:id="102"/>
    </w:p>
    <w:p w14:paraId="0662B663" w14:textId="763F4D86" w:rsidR="00F73340" w:rsidRPr="002F5665" w:rsidRDefault="00F73340" w:rsidP="00A140B1">
      <w:pPr>
        <w:spacing w:before="60" w:after="0"/>
        <w:rPr>
          <w:szCs w:val="22"/>
        </w:rPr>
      </w:pPr>
      <w:r w:rsidRPr="002F5665">
        <w:rPr>
          <w:szCs w:val="22"/>
        </w:rPr>
        <w:t xml:space="preserve">Hydrogen cyanide (HCN) is a potential fumigant alternative for treatment of logs and timber, </w:t>
      </w:r>
      <w:r w:rsidR="004B0ED1">
        <w:rPr>
          <w:szCs w:val="22"/>
        </w:rPr>
        <w:t xml:space="preserve">which is also </w:t>
      </w:r>
      <w:r w:rsidRPr="002F5665">
        <w:rPr>
          <w:szCs w:val="22"/>
        </w:rPr>
        <w:t xml:space="preserve">currently under consideration as an alternative treatment to </w:t>
      </w:r>
      <w:r w:rsidR="00F44104">
        <w:rPr>
          <w:szCs w:val="22"/>
        </w:rPr>
        <w:t>MB</w:t>
      </w:r>
      <w:r w:rsidRPr="002F5665">
        <w:rPr>
          <w:szCs w:val="22"/>
        </w:rPr>
        <w:t xml:space="preserve"> for the ISPM 15 standard for wood packaging material in international trade. Where registered, it is a long-established alternative to methyl bromide for full site disinfestations of flourmills and similar premises.</w:t>
      </w:r>
    </w:p>
    <w:p w14:paraId="3083727A" w14:textId="05D070DD" w:rsidR="00935013" w:rsidRDefault="00935013" w:rsidP="00A140B1">
      <w:pPr>
        <w:spacing w:before="60" w:after="0"/>
        <w:rPr>
          <w:szCs w:val="22"/>
        </w:rPr>
      </w:pPr>
      <w:r>
        <w:rPr>
          <w:szCs w:val="22"/>
        </w:rPr>
        <w:br/>
      </w:r>
      <w:r w:rsidR="00F73340" w:rsidRPr="002F5665">
        <w:rPr>
          <w:szCs w:val="22"/>
        </w:rPr>
        <w:t xml:space="preserve">Douda </w:t>
      </w:r>
      <w:r w:rsidR="00F73340" w:rsidRPr="002F5665">
        <w:rPr>
          <w:i/>
          <w:szCs w:val="22"/>
        </w:rPr>
        <w:t>et al</w:t>
      </w:r>
      <w:r w:rsidR="00506F55">
        <w:rPr>
          <w:i/>
          <w:szCs w:val="22"/>
        </w:rPr>
        <w:t>.,</w:t>
      </w:r>
      <w:r w:rsidR="00F73340" w:rsidRPr="002F5665">
        <w:rPr>
          <w:szCs w:val="22"/>
        </w:rPr>
        <w:t xml:space="preserve"> (2015) treat</w:t>
      </w:r>
      <w:r w:rsidR="00F44104">
        <w:rPr>
          <w:szCs w:val="22"/>
        </w:rPr>
        <w:t>ing</w:t>
      </w:r>
      <w:r w:rsidR="00F73340" w:rsidRPr="002F5665">
        <w:rPr>
          <w:szCs w:val="22"/>
        </w:rPr>
        <w:t xml:space="preserve"> wood with </w:t>
      </w:r>
      <w:r w:rsidR="00F44104">
        <w:rPr>
          <w:szCs w:val="22"/>
        </w:rPr>
        <w:t>HCN</w:t>
      </w:r>
      <w:r w:rsidR="00F73340" w:rsidRPr="002F5665">
        <w:rPr>
          <w:szCs w:val="22"/>
        </w:rPr>
        <w:t xml:space="preserve"> </w:t>
      </w:r>
      <w:r w:rsidR="00F44104">
        <w:rPr>
          <w:szCs w:val="22"/>
        </w:rPr>
        <w:t>at dosage rates between 12.3 to 24.12</w:t>
      </w:r>
      <w:r w:rsidR="00F44104" w:rsidRPr="002F5665">
        <w:rPr>
          <w:szCs w:val="22"/>
        </w:rPr>
        <w:t xml:space="preserve"> </w:t>
      </w:r>
      <w:proofErr w:type="gramStart"/>
      <w:r w:rsidR="00F44104" w:rsidRPr="002F5665">
        <w:t>g/m³</w:t>
      </w:r>
      <w:proofErr w:type="gramEnd"/>
      <w:r w:rsidR="00F44104" w:rsidRPr="002F5665">
        <w:t xml:space="preserve"> </w:t>
      </w:r>
      <w:r w:rsidR="00F44104">
        <w:t xml:space="preserve">for between 2-20 h gave total mortality of </w:t>
      </w:r>
      <w:r w:rsidR="00F73340" w:rsidRPr="002F5665">
        <w:rPr>
          <w:szCs w:val="22"/>
        </w:rPr>
        <w:t>for control of the pine wood nematode (</w:t>
      </w:r>
      <w:r w:rsidR="00F73340" w:rsidRPr="002F5665">
        <w:rPr>
          <w:i/>
          <w:szCs w:val="22"/>
        </w:rPr>
        <w:t>Bursaphelenchus xylophilus</w:t>
      </w:r>
      <w:r w:rsidR="00F73340" w:rsidRPr="002F5665">
        <w:rPr>
          <w:szCs w:val="22"/>
        </w:rPr>
        <w:t xml:space="preserve">). Overall, </w:t>
      </w:r>
      <w:r w:rsidR="00F44104">
        <w:rPr>
          <w:szCs w:val="22"/>
        </w:rPr>
        <w:t xml:space="preserve">despite </w:t>
      </w:r>
      <w:r w:rsidR="00F73340" w:rsidRPr="002F5665">
        <w:rPr>
          <w:szCs w:val="22"/>
        </w:rPr>
        <w:t>results show</w:t>
      </w:r>
      <w:r w:rsidR="00F44104">
        <w:rPr>
          <w:szCs w:val="22"/>
        </w:rPr>
        <w:t>ing</w:t>
      </w:r>
      <w:r w:rsidR="00F73340" w:rsidRPr="002F5665">
        <w:rPr>
          <w:szCs w:val="22"/>
        </w:rPr>
        <w:t xml:space="preserve"> good efficiency of the HCN</w:t>
      </w:r>
      <w:r>
        <w:rPr>
          <w:szCs w:val="22"/>
        </w:rPr>
        <w:t xml:space="preserve"> treatment against the nematode</w:t>
      </w:r>
      <w:r w:rsidR="00F73340" w:rsidRPr="002F5665">
        <w:rPr>
          <w:szCs w:val="22"/>
        </w:rPr>
        <w:t>, research on naturally infested wood would be desirable, as well as a wood sorption analysis in wood with higher moisture content.</w:t>
      </w:r>
    </w:p>
    <w:p w14:paraId="3C877649" w14:textId="14F2E9C7" w:rsidR="00F73340" w:rsidRPr="002F5665" w:rsidRDefault="00F73340" w:rsidP="00A140B1">
      <w:pPr>
        <w:spacing w:before="60" w:after="0"/>
        <w:rPr>
          <w:szCs w:val="22"/>
        </w:rPr>
      </w:pPr>
      <w:r w:rsidRPr="002F5665">
        <w:rPr>
          <w:szCs w:val="22"/>
        </w:rPr>
        <w:t xml:space="preserve"> </w:t>
      </w:r>
      <w:r w:rsidR="004B0ED1">
        <w:rPr>
          <w:szCs w:val="22"/>
        </w:rPr>
        <w:br/>
      </w:r>
      <w:r w:rsidR="00F44104" w:rsidRPr="002F5665">
        <w:rPr>
          <w:szCs w:val="22"/>
        </w:rPr>
        <w:t xml:space="preserve">Stejskal </w:t>
      </w:r>
      <w:r w:rsidR="00F44104" w:rsidRPr="002F5665">
        <w:rPr>
          <w:i/>
          <w:szCs w:val="22"/>
        </w:rPr>
        <w:t>et al</w:t>
      </w:r>
      <w:r w:rsidR="00F44104" w:rsidRPr="002F5665">
        <w:rPr>
          <w:szCs w:val="22"/>
        </w:rPr>
        <w:t xml:space="preserve">. (2014) </w:t>
      </w:r>
      <w:r w:rsidR="00F44104">
        <w:rPr>
          <w:szCs w:val="22"/>
        </w:rPr>
        <w:t>showed that t</w:t>
      </w:r>
      <w:r w:rsidR="00F44104" w:rsidRPr="002F5665">
        <w:rPr>
          <w:szCs w:val="22"/>
        </w:rPr>
        <w:t>he highest tested HCN dose (20 g/m³) led to 100% mortality of the Asian long horned beetle</w:t>
      </w:r>
      <w:r w:rsidR="00F44104" w:rsidRPr="002F5665">
        <w:rPr>
          <w:i/>
          <w:szCs w:val="22"/>
        </w:rPr>
        <w:t xml:space="preserve"> </w:t>
      </w:r>
      <w:r w:rsidR="00F44104">
        <w:rPr>
          <w:i/>
          <w:szCs w:val="22"/>
        </w:rPr>
        <w:t>(</w:t>
      </w:r>
      <w:r w:rsidR="00F44104" w:rsidRPr="002F5665">
        <w:rPr>
          <w:i/>
          <w:szCs w:val="22"/>
        </w:rPr>
        <w:t>Anoplophora</w:t>
      </w:r>
      <w:r w:rsidR="00F44104" w:rsidRPr="002F5665">
        <w:rPr>
          <w:szCs w:val="22"/>
        </w:rPr>
        <w:t xml:space="preserve"> </w:t>
      </w:r>
      <w:r w:rsidR="00F44104" w:rsidRPr="002F5665">
        <w:rPr>
          <w:i/>
          <w:szCs w:val="22"/>
        </w:rPr>
        <w:t>glabripennis</w:t>
      </w:r>
      <w:r w:rsidR="00F44104">
        <w:rPr>
          <w:i/>
          <w:szCs w:val="22"/>
        </w:rPr>
        <w:t>)</w:t>
      </w:r>
      <w:r w:rsidR="00F44104" w:rsidRPr="002F5665">
        <w:rPr>
          <w:szCs w:val="22"/>
        </w:rPr>
        <w:t xml:space="preserve"> and European house borer </w:t>
      </w:r>
      <w:r w:rsidR="00F44104">
        <w:rPr>
          <w:szCs w:val="22"/>
        </w:rPr>
        <w:t>(</w:t>
      </w:r>
      <w:r w:rsidR="00F44104" w:rsidRPr="002F5665">
        <w:rPr>
          <w:i/>
          <w:szCs w:val="22"/>
        </w:rPr>
        <w:t>Hylotrupes bajulus</w:t>
      </w:r>
      <w:r w:rsidR="00F44104">
        <w:rPr>
          <w:i/>
          <w:szCs w:val="22"/>
        </w:rPr>
        <w:t>)</w:t>
      </w:r>
      <w:r w:rsidR="00F44104" w:rsidRPr="002F5665">
        <w:rPr>
          <w:szCs w:val="22"/>
        </w:rPr>
        <w:t xml:space="preserve"> larvae after less than 1 h of exposure. Hydrogen cyanide doses of 10 g/m³ and 20 g/m³ led to full control of </w:t>
      </w:r>
      <w:r w:rsidR="00F44104" w:rsidRPr="002F5665">
        <w:rPr>
          <w:i/>
          <w:szCs w:val="22"/>
        </w:rPr>
        <w:t>B. xylophilus</w:t>
      </w:r>
      <w:r w:rsidR="00F44104" w:rsidRPr="002F5665">
        <w:rPr>
          <w:szCs w:val="22"/>
        </w:rPr>
        <w:t xml:space="preserve"> within 40 and 18 h, respectively. For </w:t>
      </w:r>
      <w:r w:rsidR="00F44104" w:rsidRPr="002F5665">
        <w:rPr>
          <w:i/>
          <w:szCs w:val="22"/>
        </w:rPr>
        <w:t>B. xylophilus</w:t>
      </w:r>
      <w:r w:rsidR="00F44104" w:rsidRPr="002F5665">
        <w:rPr>
          <w:szCs w:val="22"/>
        </w:rPr>
        <w:t>, the ct product was &lt; 424 g h/m³ at 20 C and 10 g/m³ and &lt; 34</w:t>
      </w:r>
      <w:r w:rsidR="00F44104">
        <w:rPr>
          <w:szCs w:val="22"/>
        </w:rPr>
        <w:t>9.51 g h/m³ at 25 C and 20 g/m³</w:t>
      </w:r>
      <w:r w:rsidRPr="002F5665">
        <w:rPr>
          <w:szCs w:val="22"/>
        </w:rPr>
        <w:t xml:space="preserve">. </w:t>
      </w:r>
    </w:p>
    <w:p w14:paraId="33D1A4D7" w14:textId="77777777" w:rsidR="00F73340" w:rsidRPr="002F5665" w:rsidRDefault="00F73340" w:rsidP="00A140B1">
      <w:pPr>
        <w:spacing w:before="60" w:after="0"/>
        <w:rPr>
          <w:spacing w:val="-3"/>
          <w:szCs w:val="22"/>
        </w:rPr>
      </w:pPr>
      <w:r w:rsidRPr="002F5665">
        <w:rPr>
          <w:spacing w:val="-1"/>
          <w:szCs w:val="22"/>
        </w:rPr>
        <w:br/>
        <w:t>Malkova</w:t>
      </w:r>
      <w:r w:rsidRPr="002F5665">
        <w:rPr>
          <w:spacing w:val="2"/>
          <w:szCs w:val="22"/>
        </w:rPr>
        <w:t xml:space="preserve"> </w:t>
      </w:r>
      <w:r w:rsidRPr="001B1725">
        <w:rPr>
          <w:i/>
          <w:spacing w:val="2"/>
          <w:szCs w:val="22"/>
        </w:rPr>
        <w:t>et al</w:t>
      </w:r>
      <w:r w:rsidRPr="002F5665">
        <w:rPr>
          <w:spacing w:val="2"/>
          <w:szCs w:val="22"/>
        </w:rPr>
        <w:t>. (2016) describe studies with Bluefume, a formulation of EDN + HCN,</w:t>
      </w:r>
      <w:r w:rsidRPr="002F5665">
        <w:rPr>
          <w:spacing w:val="4"/>
          <w:szCs w:val="22"/>
        </w:rPr>
        <w:t xml:space="preserve"> measuring the concentration-time (Ct) of </w:t>
      </w:r>
      <w:r w:rsidRPr="002F5665">
        <w:rPr>
          <w:szCs w:val="22"/>
        </w:rPr>
        <w:t xml:space="preserve">product achieved during the fumigation in order to examine the efficacy of fumigation </w:t>
      </w:r>
      <w:r w:rsidRPr="002F5665">
        <w:rPr>
          <w:spacing w:val="-2"/>
          <w:szCs w:val="22"/>
        </w:rPr>
        <w:t xml:space="preserve">on some wood boring pests </w:t>
      </w:r>
      <w:r w:rsidRPr="002F5665">
        <w:rPr>
          <w:spacing w:val="-3"/>
          <w:szCs w:val="22"/>
        </w:rPr>
        <w:t>With an initial HCN initial dosage of 20 g/m</w:t>
      </w:r>
      <w:r w:rsidRPr="002F5665">
        <w:rPr>
          <w:spacing w:val="-3"/>
          <w:szCs w:val="22"/>
          <w:vertAlign w:val="superscript"/>
        </w:rPr>
        <w:t>3</w:t>
      </w:r>
      <w:r w:rsidRPr="002F5665">
        <w:rPr>
          <w:spacing w:val="-3"/>
          <w:szCs w:val="22"/>
        </w:rPr>
        <w:t xml:space="preserve">, the ct-products giving 100% mortality of larvae </w:t>
      </w:r>
      <w:r w:rsidRPr="002F5665">
        <w:rPr>
          <w:spacing w:val="-4"/>
          <w:szCs w:val="22"/>
        </w:rPr>
        <w:t xml:space="preserve">of </w:t>
      </w:r>
      <w:r w:rsidRPr="002F5665">
        <w:rPr>
          <w:i/>
          <w:iCs/>
          <w:spacing w:val="-4"/>
          <w:szCs w:val="22"/>
        </w:rPr>
        <w:t xml:space="preserve">H. bajulus </w:t>
      </w:r>
      <w:r w:rsidRPr="002F5665">
        <w:rPr>
          <w:spacing w:val="-4"/>
          <w:szCs w:val="22"/>
        </w:rPr>
        <w:t xml:space="preserve">and of </w:t>
      </w:r>
      <w:r w:rsidRPr="002F5665">
        <w:rPr>
          <w:i/>
          <w:iCs/>
          <w:spacing w:val="-4"/>
          <w:szCs w:val="22"/>
        </w:rPr>
        <w:t xml:space="preserve">A. glabripennis </w:t>
      </w:r>
      <w:r w:rsidRPr="002F5665">
        <w:rPr>
          <w:spacing w:val="-4"/>
          <w:szCs w:val="22"/>
        </w:rPr>
        <w:t>were &lt;18.66 g h m</w:t>
      </w:r>
      <w:r w:rsidRPr="002F5665">
        <w:rPr>
          <w:spacing w:val="-4"/>
          <w:szCs w:val="22"/>
          <w:vertAlign w:val="superscript"/>
        </w:rPr>
        <w:t xml:space="preserve">-3 </w:t>
      </w:r>
      <w:r w:rsidRPr="002F5665">
        <w:rPr>
          <w:spacing w:val="-4"/>
          <w:szCs w:val="22"/>
        </w:rPr>
        <w:t>and &lt;17.67 g h m</w:t>
      </w:r>
      <w:r w:rsidRPr="002F5665">
        <w:rPr>
          <w:spacing w:val="-4"/>
          <w:szCs w:val="22"/>
          <w:vertAlign w:val="superscript"/>
        </w:rPr>
        <w:t>-3</w:t>
      </w:r>
      <w:r w:rsidRPr="002F5665">
        <w:rPr>
          <w:spacing w:val="-4"/>
          <w:szCs w:val="22"/>
        </w:rPr>
        <w:t>,</w:t>
      </w:r>
      <w:r w:rsidRPr="002F5665">
        <w:rPr>
          <w:spacing w:val="-4"/>
          <w:szCs w:val="22"/>
          <w:vertAlign w:val="superscript"/>
        </w:rPr>
        <w:t xml:space="preserve"> </w:t>
      </w:r>
      <w:r w:rsidRPr="002F5665">
        <w:rPr>
          <w:spacing w:val="-3"/>
          <w:szCs w:val="22"/>
        </w:rPr>
        <w:t xml:space="preserve">respectively. </w:t>
      </w:r>
    </w:p>
    <w:p w14:paraId="0CAD892D" w14:textId="77777777" w:rsidR="00F73340" w:rsidRPr="002F5665" w:rsidRDefault="00F73340" w:rsidP="00A140B1">
      <w:pPr>
        <w:spacing w:before="60" w:after="0"/>
        <w:rPr>
          <w:szCs w:val="22"/>
        </w:rPr>
      </w:pPr>
      <w:r w:rsidRPr="002F5665">
        <w:rPr>
          <w:spacing w:val="-4"/>
          <w:szCs w:val="22"/>
        </w:rPr>
        <w:br/>
        <w:t xml:space="preserve">Stejskal et al. (2016) conducted a commercial scale demonstration of a flourmill, with bioassays of several species of stored-product insects included to demonstrate effectiveness. In this demonstration, complete mortality of adults of </w:t>
      </w:r>
      <w:r w:rsidRPr="002F5665">
        <w:rPr>
          <w:i/>
          <w:iCs/>
          <w:spacing w:val="-4"/>
          <w:szCs w:val="22"/>
        </w:rPr>
        <w:t>T. castaneum</w:t>
      </w:r>
      <w:r w:rsidRPr="002F5665">
        <w:rPr>
          <w:spacing w:val="-4"/>
          <w:szCs w:val="22"/>
        </w:rPr>
        <w:t xml:space="preserve">, </w:t>
      </w:r>
      <w:r w:rsidRPr="002F5665">
        <w:rPr>
          <w:i/>
          <w:iCs/>
          <w:szCs w:val="22"/>
        </w:rPr>
        <w:t xml:space="preserve">T. confusum </w:t>
      </w:r>
      <w:r w:rsidRPr="002F5665">
        <w:rPr>
          <w:iCs/>
          <w:szCs w:val="22"/>
        </w:rPr>
        <w:t>(confused flour beetle)</w:t>
      </w:r>
      <w:r w:rsidRPr="002F5665">
        <w:rPr>
          <w:szCs w:val="22"/>
        </w:rPr>
        <w:t xml:space="preserve">, </w:t>
      </w:r>
      <w:r w:rsidRPr="002F5665">
        <w:rPr>
          <w:i/>
          <w:iCs/>
          <w:szCs w:val="22"/>
        </w:rPr>
        <w:t xml:space="preserve">Cryptolestes turcicus </w:t>
      </w:r>
      <w:r w:rsidRPr="002F5665">
        <w:rPr>
          <w:iCs/>
          <w:szCs w:val="22"/>
        </w:rPr>
        <w:t>(flourmill beetle)</w:t>
      </w:r>
      <w:r w:rsidRPr="002F5665">
        <w:rPr>
          <w:szCs w:val="22"/>
        </w:rPr>
        <w:t xml:space="preserve">, </w:t>
      </w:r>
      <w:r w:rsidRPr="002F5665">
        <w:rPr>
          <w:i/>
          <w:iCs/>
          <w:szCs w:val="22"/>
        </w:rPr>
        <w:t xml:space="preserve">Sitophilus oryzae </w:t>
      </w:r>
      <w:r w:rsidRPr="002F5665">
        <w:rPr>
          <w:iCs/>
          <w:szCs w:val="22"/>
        </w:rPr>
        <w:t>(rice weevil)</w:t>
      </w:r>
      <w:r w:rsidRPr="002F5665">
        <w:rPr>
          <w:szCs w:val="22"/>
        </w:rPr>
        <w:t xml:space="preserve"> and </w:t>
      </w:r>
      <w:r w:rsidRPr="002F5665">
        <w:rPr>
          <w:i/>
          <w:iCs/>
          <w:szCs w:val="22"/>
        </w:rPr>
        <w:t xml:space="preserve">Rhyzopertha </w:t>
      </w:r>
      <w:r w:rsidRPr="002F5665">
        <w:rPr>
          <w:i/>
          <w:iCs/>
          <w:spacing w:val="-4"/>
          <w:szCs w:val="22"/>
        </w:rPr>
        <w:t xml:space="preserve">dominica </w:t>
      </w:r>
      <w:r w:rsidRPr="002F5665">
        <w:rPr>
          <w:spacing w:val="-4"/>
          <w:szCs w:val="22"/>
        </w:rPr>
        <w:t xml:space="preserve"> (lesser grain borer) was shown on Petri dishes and of adults and larvae of </w:t>
      </w:r>
      <w:r w:rsidRPr="002F5665">
        <w:rPr>
          <w:i/>
          <w:spacing w:val="-4"/>
          <w:szCs w:val="22"/>
        </w:rPr>
        <w:t>T. confusum</w:t>
      </w:r>
      <w:r w:rsidRPr="002F5665">
        <w:rPr>
          <w:spacing w:val="-4"/>
          <w:szCs w:val="22"/>
        </w:rPr>
        <w:t xml:space="preserve"> in flour at measured ct-products ranging from 54 to 100 g h m/</w:t>
      </w:r>
      <w:r w:rsidRPr="002F5665">
        <w:rPr>
          <w:spacing w:val="-4"/>
          <w:szCs w:val="22"/>
          <w:vertAlign w:val="superscript"/>
        </w:rPr>
        <w:t>3</w:t>
      </w:r>
      <w:r w:rsidRPr="002F5665">
        <w:rPr>
          <w:spacing w:val="-4"/>
          <w:szCs w:val="22"/>
        </w:rPr>
        <w:t xml:space="preserve">. </w:t>
      </w:r>
    </w:p>
    <w:p w14:paraId="7874383E" w14:textId="77777777" w:rsidR="00F73340" w:rsidRDefault="00F73340" w:rsidP="00F73340">
      <w:pPr>
        <w:spacing w:before="60" w:after="0"/>
        <w:jc w:val="both"/>
        <w:rPr>
          <w:sz w:val="24"/>
          <w:szCs w:val="24"/>
        </w:rPr>
      </w:pPr>
    </w:p>
    <w:p w14:paraId="1D9EABDF" w14:textId="290DF7FD" w:rsidR="00F73340" w:rsidRDefault="00F73340" w:rsidP="00413E4A">
      <w:pPr>
        <w:pStyle w:val="Heading4"/>
      </w:pPr>
      <w:bookmarkStart w:id="103" w:name="_Toc483916010"/>
      <w:r>
        <w:t>4.</w:t>
      </w:r>
      <w:r w:rsidR="00FB50B1">
        <w:t>2</w:t>
      </w:r>
      <w:r>
        <w:t>.2.3.</w:t>
      </w:r>
      <w:r>
        <w:tab/>
        <w:t>EDN</w:t>
      </w:r>
      <w:bookmarkEnd w:id="103"/>
    </w:p>
    <w:p w14:paraId="6B343B89" w14:textId="77777777" w:rsidR="00F73340" w:rsidRPr="00120FA6" w:rsidRDefault="00F73340" w:rsidP="004D571E">
      <w:pPr>
        <w:pStyle w:val="Refs0"/>
        <w:spacing w:before="60" w:line="240" w:lineRule="auto"/>
        <w:ind w:left="0" w:firstLine="0"/>
        <w:jc w:val="both"/>
        <w:rPr>
          <w:rFonts w:ascii="Times New Roman" w:hAnsi="Times New Roman"/>
          <w:sz w:val="22"/>
          <w:szCs w:val="22"/>
        </w:rPr>
      </w:pPr>
      <w:r>
        <w:rPr>
          <w:rFonts w:ascii="Times New Roman" w:hAnsi="Times New Roman"/>
          <w:sz w:val="22"/>
          <w:szCs w:val="22"/>
        </w:rPr>
        <w:t xml:space="preserve">Information on EDN continues to become available. </w:t>
      </w:r>
      <w:r w:rsidRPr="00120FA6">
        <w:rPr>
          <w:rFonts w:ascii="Times New Roman" w:hAnsi="Times New Roman"/>
          <w:sz w:val="22"/>
          <w:szCs w:val="22"/>
        </w:rPr>
        <w:t>McConville (2016)</w:t>
      </w:r>
      <w:r>
        <w:rPr>
          <w:rFonts w:ascii="Times New Roman" w:hAnsi="Times New Roman"/>
          <w:sz w:val="22"/>
          <w:szCs w:val="22"/>
        </w:rPr>
        <w:t>, for example,</w:t>
      </w:r>
      <w:r w:rsidRPr="00120FA6">
        <w:rPr>
          <w:rFonts w:ascii="Times New Roman" w:hAnsi="Times New Roman"/>
          <w:sz w:val="22"/>
          <w:szCs w:val="22"/>
        </w:rPr>
        <w:t xml:space="preserve"> has presented an overview on the various areas of applications of ethanedinitrile (EDN) for pest control. </w:t>
      </w:r>
    </w:p>
    <w:p w14:paraId="4DDCF972" w14:textId="05C3CC54" w:rsidR="00F73340" w:rsidRPr="00120FA6" w:rsidRDefault="00F73340" w:rsidP="00AC79C3">
      <w:pPr>
        <w:rPr>
          <w:szCs w:val="22"/>
        </w:rPr>
      </w:pPr>
      <w:r w:rsidRPr="00120FA6">
        <w:rPr>
          <w:spacing w:val="-1"/>
          <w:szCs w:val="22"/>
        </w:rPr>
        <w:br/>
        <w:t>Malkova</w:t>
      </w:r>
      <w:r w:rsidRPr="00120FA6">
        <w:rPr>
          <w:spacing w:val="2"/>
          <w:szCs w:val="22"/>
        </w:rPr>
        <w:t xml:space="preserve"> </w:t>
      </w:r>
      <w:r w:rsidRPr="00120FA6">
        <w:rPr>
          <w:i/>
          <w:spacing w:val="2"/>
          <w:szCs w:val="22"/>
        </w:rPr>
        <w:t>et al</w:t>
      </w:r>
      <w:r w:rsidRPr="00120FA6">
        <w:rPr>
          <w:spacing w:val="2"/>
          <w:szCs w:val="22"/>
        </w:rPr>
        <w:t xml:space="preserve">. (2016) published </w:t>
      </w:r>
      <w:r w:rsidRPr="00120FA6">
        <w:rPr>
          <w:szCs w:val="22"/>
        </w:rPr>
        <w:t>on the effectiveness of EDN and HCN against some wood pests</w:t>
      </w:r>
      <w:r>
        <w:rPr>
          <w:szCs w:val="22"/>
        </w:rPr>
        <w:t>.</w:t>
      </w:r>
      <w:r w:rsidRPr="00120FA6">
        <w:rPr>
          <w:szCs w:val="22"/>
        </w:rPr>
        <w:t xml:space="preserve"> </w:t>
      </w:r>
      <w:r>
        <w:rPr>
          <w:szCs w:val="22"/>
        </w:rPr>
        <w:t>T</w:t>
      </w:r>
      <w:r w:rsidRPr="00120FA6">
        <w:rPr>
          <w:szCs w:val="22"/>
        </w:rPr>
        <w:t>he ct-product for EDN giving 100% mortality (initial dosage 50 g m</w:t>
      </w:r>
      <w:r w:rsidRPr="00120FA6">
        <w:rPr>
          <w:szCs w:val="22"/>
          <w:vertAlign w:val="superscript"/>
        </w:rPr>
        <w:t>-3</w:t>
      </w:r>
      <w:r w:rsidRPr="00120FA6">
        <w:rPr>
          <w:szCs w:val="22"/>
        </w:rPr>
        <w:t xml:space="preserve">) </w:t>
      </w:r>
      <w:r w:rsidRPr="00120FA6">
        <w:rPr>
          <w:spacing w:val="-4"/>
          <w:szCs w:val="22"/>
        </w:rPr>
        <w:t>were 105.62 g h m</w:t>
      </w:r>
      <w:r w:rsidRPr="00120FA6">
        <w:rPr>
          <w:spacing w:val="-4"/>
          <w:szCs w:val="22"/>
          <w:vertAlign w:val="superscript"/>
        </w:rPr>
        <w:t>-3</w:t>
      </w:r>
      <w:r w:rsidRPr="00120FA6">
        <w:rPr>
          <w:spacing w:val="-4"/>
          <w:szCs w:val="22"/>
        </w:rPr>
        <w:t xml:space="preserve"> and 311.57 g h m</w:t>
      </w:r>
      <w:r w:rsidRPr="00120FA6">
        <w:rPr>
          <w:spacing w:val="-4"/>
          <w:szCs w:val="22"/>
          <w:vertAlign w:val="superscript"/>
        </w:rPr>
        <w:t>-3</w:t>
      </w:r>
      <w:r w:rsidRPr="00120FA6">
        <w:rPr>
          <w:spacing w:val="-4"/>
          <w:szCs w:val="22"/>
        </w:rPr>
        <w:t xml:space="preserve"> for larvae of European house borers (</w:t>
      </w:r>
      <w:r w:rsidRPr="00120FA6">
        <w:rPr>
          <w:i/>
          <w:iCs/>
          <w:spacing w:val="-4"/>
          <w:szCs w:val="22"/>
        </w:rPr>
        <w:t>H</w:t>
      </w:r>
      <w:r w:rsidR="00506F55">
        <w:rPr>
          <w:i/>
          <w:iCs/>
          <w:spacing w:val="-4"/>
          <w:szCs w:val="22"/>
        </w:rPr>
        <w:t>.</w:t>
      </w:r>
      <w:r w:rsidRPr="00120FA6">
        <w:rPr>
          <w:i/>
          <w:iCs/>
          <w:spacing w:val="-4"/>
          <w:szCs w:val="22"/>
        </w:rPr>
        <w:t xml:space="preserve"> bajulus) </w:t>
      </w:r>
      <w:r w:rsidRPr="00120FA6">
        <w:rPr>
          <w:spacing w:val="-4"/>
          <w:szCs w:val="22"/>
        </w:rPr>
        <w:t>and pinewood nematodes (</w:t>
      </w:r>
      <w:r w:rsidRPr="00120FA6">
        <w:rPr>
          <w:i/>
          <w:iCs/>
          <w:spacing w:val="-4"/>
          <w:szCs w:val="22"/>
        </w:rPr>
        <w:t>B</w:t>
      </w:r>
      <w:r w:rsidR="00506F55">
        <w:rPr>
          <w:i/>
          <w:iCs/>
          <w:spacing w:val="-4"/>
          <w:szCs w:val="22"/>
        </w:rPr>
        <w:t>.</w:t>
      </w:r>
      <w:r w:rsidRPr="00120FA6">
        <w:rPr>
          <w:i/>
          <w:iCs/>
          <w:spacing w:val="-4"/>
          <w:szCs w:val="22"/>
        </w:rPr>
        <w:t xml:space="preserve"> </w:t>
      </w:r>
      <w:r w:rsidRPr="00120FA6">
        <w:rPr>
          <w:i/>
          <w:iCs/>
          <w:szCs w:val="22"/>
        </w:rPr>
        <w:t xml:space="preserve">xylophilus) </w:t>
      </w:r>
      <w:r w:rsidRPr="00120FA6">
        <w:rPr>
          <w:szCs w:val="22"/>
        </w:rPr>
        <w:t>respectively.</w:t>
      </w:r>
      <w:r w:rsidRPr="00120FA6">
        <w:rPr>
          <w:szCs w:val="22"/>
        </w:rPr>
        <w:br/>
      </w:r>
      <w:r w:rsidRPr="00120FA6">
        <w:rPr>
          <w:szCs w:val="22"/>
        </w:rPr>
        <w:br/>
        <w:t xml:space="preserve">Hall </w:t>
      </w:r>
      <w:r w:rsidRPr="00120FA6">
        <w:rPr>
          <w:i/>
          <w:szCs w:val="22"/>
        </w:rPr>
        <w:t>et al.</w:t>
      </w:r>
      <w:r w:rsidRPr="00120FA6">
        <w:rPr>
          <w:szCs w:val="22"/>
        </w:rPr>
        <w:t xml:space="preserve"> (2016) reported </w:t>
      </w:r>
      <w:r w:rsidR="001F1E0D">
        <w:rPr>
          <w:szCs w:val="22"/>
        </w:rPr>
        <w:t xml:space="preserve">effective </w:t>
      </w:r>
      <w:r w:rsidRPr="00120FA6">
        <w:rPr>
          <w:szCs w:val="22"/>
        </w:rPr>
        <w:t xml:space="preserve">results of field trials with 50 g/m³ of EDN for 10 h (measured ct products at about 333 g h/m³) and concentration measurements including emission determination for 5 h up to 50 m around treated stacks in New Zealand. </w:t>
      </w:r>
    </w:p>
    <w:p w14:paraId="315A5BDD" w14:textId="5823BCD7" w:rsidR="00F73340" w:rsidRPr="0024160A" w:rsidRDefault="00F73340" w:rsidP="00413E4A">
      <w:pPr>
        <w:pStyle w:val="Heading4"/>
      </w:pPr>
      <w:bookmarkStart w:id="104" w:name="_Toc483916011"/>
      <w:r>
        <w:t>4.</w:t>
      </w:r>
      <w:r w:rsidR="00FB50B1">
        <w:t>2</w:t>
      </w:r>
      <w:r>
        <w:t>.2.4.</w:t>
      </w:r>
      <w:r>
        <w:tab/>
        <w:t>Heat</w:t>
      </w:r>
      <w:bookmarkEnd w:id="104"/>
    </w:p>
    <w:p w14:paraId="7282F1C4" w14:textId="077F057F" w:rsidR="00F73340" w:rsidRPr="00120FA6" w:rsidRDefault="00F73340" w:rsidP="00A140B1">
      <w:pPr>
        <w:spacing w:before="60" w:after="0"/>
        <w:rPr>
          <w:szCs w:val="22"/>
        </w:rPr>
      </w:pPr>
      <w:r w:rsidRPr="00120FA6">
        <w:rPr>
          <w:szCs w:val="22"/>
        </w:rPr>
        <w:t xml:space="preserve">As stated previously, heat is in use around the world for treating structures, stored commodities (e.g. grain) and other items. Hammond (2015) has published a comprehensive and useful book (manual) on heat treatment for pest control. </w:t>
      </w:r>
      <w:proofErr w:type="gramStart"/>
      <w:r w:rsidRPr="001B1725">
        <w:rPr>
          <w:color w:val="auto"/>
          <w:szCs w:val="22"/>
        </w:rPr>
        <w:t>Tang</w:t>
      </w:r>
      <w:r w:rsidRPr="00120FA6">
        <w:rPr>
          <w:szCs w:val="22"/>
        </w:rPr>
        <w:t xml:space="preserve"> </w:t>
      </w:r>
      <w:r w:rsidRPr="00120FA6">
        <w:rPr>
          <w:i/>
          <w:szCs w:val="22"/>
        </w:rPr>
        <w:t>et al</w:t>
      </w:r>
      <w:r w:rsidRPr="00120FA6">
        <w:rPr>
          <w:szCs w:val="22"/>
        </w:rPr>
        <w:t>.</w:t>
      </w:r>
      <w:proofErr w:type="gramEnd"/>
      <w:r w:rsidRPr="00120FA6">
        <w:rPr>
          <w:szCs w:val="22"/>
        </w:rPr>
        <w:t xml:space="preserve">  (2007) review</w:t>
      </w:r>
      <w:r>
        <w:rPr>
          <w:szCs w:val="22"/>
        </w:rPr>
        <w:t>ed</w:t>
      </w:r>
      <w:r w:rsidRPr="00120FA6">
        <w:rPr>
          <w:szCs w:val="22"/>
        </w:rPr>
        <w:t xml:space="preserve"> heat treatment for postharvest pest control (durables, perishables, structures) with detailed descriptions of the theory, practice and biological effects of the process.</w:t>
      </w:r>
    </w:p>
    <w:p w14:paraId="2481ED28" w14:textId="77777777" w:rsidR="00F73340" w:rsidRDefault="00F73340" w:rsidP="00A140B1">
      <w:pPr>
        <w:spacing w:before="60" w:after="0"/>
        <w:rPr>
          <w:szCs w:val="22"/>
        </w:rPr>
      </w:pPr>
    </w:p>
    <w:p w14:paraId="2773E23D" w14:textId="7DAF0602" w:rsidR="00F73340" w:rsidRPr="00120FA6" w:rsidRDefault="00F73340" w:rsidP="00A140B1">
      <w:pPr>
        <w:spacing w:before="60" w:after="0"/>
        <w:rPr>
          <w:szCs w:val="22"/>
        </w:rPr>
      </w:pPr>
      <w:r w:rsidRPr="00120FA6">
        <w:rPr>
          <w:szCs w:val="22"/>
        </w:rPr>
        <w:t xml:space="preserve">Phomphai </w:t>
      </w:r>
      <w:r w:rsidRPr="00120FA6">
        <w:rPr>
          <w:i/>
          <w:szCs w:val="22"/>
        </w:rPr>
        <w:t>et al</w:t>
      </w:r>
      <w:r w:rsidRPr="00120FA6">
        <w:rPr>
          <w:szCs w:val="22"/>
        </w:rPr>
        <w:t>. (2017) have recently reported on infrared heating as a disinfestation method against the rice weevil (</w:t>
      </w:r>
      <w:r w:rsidR="00506F55">
        <w:rPr>
          <w:i/>
          <w:szCs w:val="22"/>
        </w:rPr>
        <w:t>S.</w:t>
      </w:r>
      <w:r w:rsidRPr="00120FA6">
        <w:rPr>
          <w:i/>
          <w:szCs w:val="22"/>
        </w:rPr>
        <w:t xml:space="preserve"> oryzae) </w:t>
      </w:r>
      <w:r w:rsidRPr="00120FA6">
        <w:rPr>
          <w:szCs w:val="22"/>
        </w:rPr>
        <w:t>and its effect on the texture and cooking properties of milled rice. Minimal changes in rice quality before and after storage were observed under optimum temperature and an exposure time of 53.6 C and 1.2 min.</w:t>
      </w:r>
    </w:p>
    <w:p w14:paraId="74CB650C" w14:textId="77777777" w:rsidR="004D571E" w:rsidRDefault="004D571E" w:rsidP="00413E4A">
      <w:pPr>
        <w:pStyle w:val="Heading4"/>
        <w:rPr>
          <w:rStyle w:val="s1"/>
          <w:b w:val="0"/>
          <w:snapToGrid/>
          <w:color w:val="000000"/>
          <w:szCs w:val="20"/>
          <w:lang w:eastAsia="zh-CN"/>
        </w:rPr>
      </w:pPr>
    </w:p>
    <w:p w14:paraId="23BAF54F" w14:textId="0470F462" w:rsidR="00F73340" w:rsidRPr="0024160A" w:rsidRDefault="00F73340" w:rsidP="00413E4A">
      <w:pPr>
        <w:pStyle w:val="Heading4"/>
        <w:rPr>
          <w:rStyle w:val="s1"/>
          <w:u w:val="single"/>
        </w:rPr>
      </w:pPr>
      <w:bookmarkStart w:id="105" w:name="_Toc483916012"/>
      <w:r>
        <w:rPr>
          <w:rStyle w:val="s1"/>
        </w:rPr>
        <w:t>4</w:t>
      </w:r>
      <w:r w:rsidRPr="00EC369C">
        <w:rPr>
          <w:rStyle w:val="s1"/>
        </w:rPr>
        <w:t>.</w:t>
      </w:r>
      <w:r w:rsidR="00FB50B1">
        <w:rPr>
          <w:rStyle w:val="s1"/>
        </w:rPr>
        <w:t>2</w:t>
      </w:r>
      <w:r w:rsidRPr="00EC369C">
        <w:rPr>
          <w:rStyle w:val="s1"/>
        </w:rPr>
        <w:t>.2.</w:t>
      </w:r>
      <w:r>
        <w:rPr>
          <w:rStyle w:val="s1"/>
        </w:rPr>
        <w:t>5</w:t>
      </w:r>
      <w:r w:rsidRPr="00EC369C">
        <w:rPr>
          <w:rStyle w:val="s1"/>
        </w:rPr>
        <w:t>.</w:t>
      </w:r>
      <w:r w:rsidRPr="00EC369C">
        <w:rPr>
          <w:rStyle w:val="s1"/>
        </w:rPr>
        <w:tab/>
      </w:r>
      <w:r>
        <w:rPr>
          <w:rStyle w:val="s1"/>
        </w:rPr>
        <w:t>T</w:t>
      </w:r>
      <w:r w:rsidRPr="00EC369C">
        <w:rPr>
          <w:rStyle w:val="s1"/>
        </w:rPr>
        <w:t>ermite</w:t>
      </w:r>
      <w:r>
        <w:rPr>
          <w:rStyle w:val="s1"/>
        </w:rPr>
        <w:t xml:space="preserve"> control</w:t>
      </w:r>
      <w:bookmarkEnd w:id="105"/>
    </w:p>
    <w:p w14:paraId="191E9436" w14:textId="431597B1" w:rsidR="001F1E0D" w:rsidRDefault="00F73340" w:rsidP="00A140B1">
      <w:pPr>
        <w:pStyle w:val="p4"/>
        <w:rPr>
          <w:sz w:val="22"/>
          <w:szCs w:val="22"/>
          <w:lang w:val="en-GB"/>
        </w:rPr>
      </w:pPr>
      <w:r w:rsidRPr="00120FA6">
        <w:rPr>
          <w:sz w:val="22"/>
          <w:szCs w:val="22"/>
          <w:lang w:val="en-GB"/>
        </w:rPr>
        <w:t xml:space="preserve">Termites are often found infesting wood in many kinds of structures and can be a difficult pest to deal with. Dry wood termites such as </w:t>
      </w:r>
      <w:r w:rsidRPr="00120FA6">
        <w:rPr>
          <w:i/>
          <w:sz w:val="22"/>
          <w:szCs w:val="22"/>
          <w:lang w:val="en-GB"/>
        </w:rPr>
        <w:t>Cryptotermes</w:t>
      </w:r>
      <w:r w:rsidRPr="00120FA6">
        <w:rPr>
          <w:sz w:val="22"/>
          <w:szCs w:val="22"/>
          <w:lang w:val="en-GB"/>
        </w:rPr>
        <w:t xml:space="preserve"> spp. develop without need for contact with the soil and are thus less amenable to the commonly used baiting techniques used with most other species. They are effectively controlled with fumigation or heat treatment. In South African conditions, infestations of the exotic but long-established drywood termite, </w:t>
      </w:r>
      <w:r w:rsidRPr="00120FA6">
        <w:rPr>
          <w:i/>
          <w:sz w:val="22"/>
          <w:szCs w:val="22"/>
          <w:lang w:val="en-GB"/>
        </w:rPr>
        <w:t>Cryptotermes brevis</w:t>
      </w:r>
      <w:r w:rsidRPr="00120FA6">
        <w:rPr>
          <w:sz w:val="22"/>
          <w:szCs w:val="22"/>
          <w:lang w:val="en-GB"/>
        </w:rPr>
        <w:t xml:space="preserve"> may be fumigated periodically to achieve continued protection of wooden structures made with untreated timber, such as older dwellings, shops and warehouses, in face of c</w:t>
      </w:r>
      <w:r w:rsidR="001F1E0D">
        <w:rPr>
          <w:sz w:val="22"/>
          <w:szCs w:val="22"/>
          <w:lang w:val="en-GB"/>
        </w:rPr>
        <w:t>ontinued reinfestation pressure.</w:t>
      </w:r>
    </w:p>
    <w:p w14:paraId="4D733DC9" w14:textId="77777777" w:rsidR="00F44104" w:rsidRDefault="00F44104" w:rsidP="00F44104">
      <w:pPr>
        <w:rPr>
          <w:szCs w:val="22"/>
        </w:rPr>
      </w:pPr>
      <w:r>
        <w:rPr>
          <w:szCs w:val="22"/>
        </w:rPr>
        <w:t xml:space="preserve">Recent research on termite control includes studies by </w:t>
      </w:r>
      <w:r w:rsidR="00F73340" w:rsidRPr="00120FA6">
        <w:rPr>
          <w:szCs w:val="22"/>
        </w:rPr>
        <w:t xml:space="preserve">Bhatta and Henderson (2016) and Bhatta </w:t>
      </w:r>
      <w:r w:rsidR="00F73340" w:rsidRPr="00120FA6">
        <w:rPr>
          <w:i/>
          <w:szCs w:val="22"/>
        </w:rPr>
        <w:t>et al</w:t>
      </w:r>
      <w:r w:rsidR="00F73340" w:rsidRPr="00120FA6">
        <w:rPr>
          <w:szCs w:val="22"/>
        </w:rPr>
        <w:t>. (2016) us</w:t>
      </w:r>
      <w:r>
        <w:rPr>
          <w:szCs w:val="22"/>
        </w:rPr>
        <w:t>ing the bioinsecticides</w:t>
      </w:r>
      <w:r w:rsidR="00F73340" w:rsidRPr="00120FA6">
        <w:rPr>
          <w:szCs w:val="22"/>
        </w:rPr>
        <w:t xml:space="preserve"> Spinosad and Spin</w:t>
      </w:r>
      <w:r w:rsidR="00F73340">
        <w:rPr>
          <w:szCs w:val="22"/>
        </w:rPr>
        <w:t>e</w:t>
      </w:r>
      <w:r w:rsidR="00F73340" w:rsidRPr="00120FA6">
        <w:rPr>
          <w:szCs w:val="22"/>
        </w:rPr>
        <w:t xml:space="preserve">toram </w:t>
      </w:r>
      <w:r w:rsidR="00F73340">
        <w:rPr>
          <w:szCs w:val="22"/>
        </w:rPr>
        <w:t>(</w:t>
      </w:r>
      <w:r>
        <w:rPr>
          <w:szCs w:val="22"/>
        </w:rPr>
        <w:t xml:space="preserve">based on chemical compounds produced by the bacterium </w:t>
      </w:r>
      <w:r w:rsidRPr="00935013">
        <w:rPr>
          <w:i/>
          <w:iCs/>
          <w:szCs w:val="22"/>
          <w:lang w:val="en-US" w:eastAsia="en-US"/>
        </w:rPr>
        <w:t>Saccharopolyspora spinosa</w:t>
      </w:r>
      <w:r w:rsidR="00F73340">
        <w:rPr>
          <w:szCs w:val="22"/>
        </w:rPr>
        <w:t xml:space="preserve">) </w:t>
      </w:r>
      <w:r w:rsidR="00F73340" w:rsidRPr="00120FA6">
        <w:rPr>
          <w:szCs w:val="22"/>
        </w:rPr>
        <w:t xml:space="preserve">for controlling various species of termites. </w:t>
      </w:r>
    </w:p>
    <w:p w14:paraId="5661A58C" w14:textId="411806DA" w:rsidR="00F73340" w:rsidRPr="00F44104" w:rsidRDefault="00F44104" w:rsidP="00F44104">
      <w:pPr>
        <w:rPr>
          <w:rFonts w:ascii="Times" w:hAnsi="Times"/>
          <w:color w:val="auto"/>
          <w:sz w:val="20"/>
          <w:lang w:val="en-US" w:eastAsia="en-US"/>
        </w:rPr>
      </w:pPr>
      <w:r>
        <w:rPr>
          <w:szCs w:val="22"/>
        </w:rPr>
        <w:t xml:space="preserve">In addition, </w:t>
      </w:r>
      <w:r w:rsidR="00F73340" w:rsidRPr="00120FA6">
        <w:rPr>
          <w:szCs w:val="22"/>
        </w:rPr>
        <w:t xml:space="preserve">Choi </w:t>
      </w:r>
      <w:r w:rsidR="00F73340" w:rsidRPr="00120FA6">
        <w:rPr>
          <w:i/>
          <w:szCs w:val="22"/>
        </w:rPr>
        <w:t>et al</w:t>
      </w:r>
      <w:r w:rsidR="00F73340" w:rsidRPr="00120FA6">
        <w:rPr>
          <w:szCs w:val="22"/>
        </w:rPr>
        <w:t xml:space="preserve">. (2014) investigated the efficacy of phosphine against the Japanese termite, </w:t>
      </w:r>
      <w:r w:rsidR="00F73340" w:rsidRPr="00120FA6">
        <w:rPr>
          <w:i/>
          <w:szCs w:val="22"/>
        </w:rPr>
        <w:t xml:space="preserve">Reticulitermes speratus. </w:t>
      </w:r>
      <w:r w:rsidR="00F73340" w:rsidRPr="00120FA6">
        <w:rPr>
          <w:szCs w:val="22"/>
        </w:rPr>
        <w:t>Fumigant toxicities of phosphine, PH</w:t>
      </w:r>
      <w:r w:rsidR="00F73340" w:rsidRPr="00120FA6">
        <w:rPr>
          <w:szCs w:val="22"/>
          <w:vertAlign w:val="subscript"/>
        </w:rPr>
        <w:t>3</w:t>
      </w:r>
      <w:r w:rsidR="00F73340" w:rsidRPr="00120FA6">
        <w:rPr>
          <w:szCs w:val="22"/>
        </w:rPr>
        <w:t xml:space="preserve"> (LD50 values) towards the termites were 0.735 mg h/l and 0.744 mg h/l at 20°C.</w:t>
      </w:r>
      <w:r w:rsidR="00F73340" w:rsidRPr="00120FA6">
        <w:rPr>
          <w:i/>
          <w:szCs w:val="22"/>
        </w:rPr>
        <w:t xml:space="preserve"> </w:t>
      </w:r>
      <w:r w:rsidR="00F73340" w:rsidRPr="00120FA6">
        <w:rPr>
          <w:szCs w:val="22"/>
        </w:rPr>
        <w:t>Phosphine adsorbed weakly onto wood, indicating that the gas, as a fumigant, might be useful for controlling termite infestations even in quarantine situations.</w:t>
      </w:r>
    </w:p>
    <w:p w14:paraId="7B18E17E" w14:textId="70B9653F" w:rsidR="00F73340" w:rsidRPr="00D9343A" w:rsidRDefault="00F73340" w:rsidP="00413E4A">
      <w:pPr>
        <w:pStyle w:val="Heading3"/>
      </w:pPr>
      <w:bookmarkStart w:id="106" w:name="_Toc484164341"/>
      <w:r>
        <w:lastRenderedPageBreak/>
        <w:t>4.</w:t>
      </w:r>
      <w:r w:rsidR="00FB50B1">
        <w:t>2</w:t>
      </w:r>
      <w:r>
        <w:t xml:space="preserve">.3. </w:t>
      </w:r>
      <w:r>
        <w:tab/>
        <w:t>Economic issues related to MB phaseout</w:t>
      </w:r>
      <w:bookmarkEnd w:id="106"/>
    </w:p>
    <w:p w14:paraId="048FA5B9" w14:textId="77777777" w:rsidR="00F73340" w:rsidRPr="00120FA6" w:rsidRDefault="00F73340" w:rsidP="00A140B1">
      <w:pPr>
        <w:rPr>
          <w:szCs w:val="22"/>
          <w:lang w:eastAsia="en-ZA"/>
        </w:rPr>
      </w:pPr>
      <w:r w:rsidRPr="00120FA6">
        <w:rPr>
          <w:szCs w:val="22"/>
          <w:lang w:eastAsia="en-ZA"/>
        </w:rPr>
        <w:t xml:space="preserve">Three recent publications add considerably to our knowledge of economic issues involved in assessing the efficacy of alternatives to methyl bromide. These deal with pre-plant soil fumigation and are briefly discussed below, in alphabetical order. </w:t>
      </w:r>
    </w:p>
    <w:p w14:paraId="15D562EE" w14:textId="77777777" w:rsidR="00F73340" w:rsidRPr="00120FA6" w:rsidRDefault="00F73340" w:rsidP="00A140B1">
      <w:pPr>
        <w:rPr>
          <w:szCs w:val="22"/>
          <w:lang w:eastAsia="en-ZA"/>
        </w:rPr>
      </w:pPr>
      <w:r w:rsidRPr="00120FA6">
        <w:rPr>
          <w:szCs w:val="22"/>
          <w:lang w:eastAsia="en-ZA"/>
        </w:rPr>
        <w:t xml:space="preserve">First, Guthman (2016) discusses the regulatory battle around the withdrawal of methyl iodide, originally regarded as an alternative to methyl bromide for soil fumigation in strawberry systems. In this analysis, she points out, based on interviews with growers, </w:t>
      </w:r>
      <w:r w:rsidRPr="001B1725">
        <w:rPr>
          <w:i/>
          <w:szCs w:val="22"/>
          <w:lang w:eastAsia="en-ZA"/>
        </w:rPr>
        <w:t xml:space="preserve">“… </w:t>
      </w:r>
      <w:proofErr w:type="gramStart"/>
      <w:r w:rsidRPr="001B1725">
        <w:rPr>
          <w:i/>
          <w:szCs w:val="22"/>
          <w:lang w:eastAsia="en-ZA"/>
        </w:rPr>
        <w:t>that growers</w:t>
      </w:r>
      <w:proofErr w:type="gramEnd"/>
      <w:r w:rsidRPr="001B1725">
        <w:rPr>
          <w:i/>
          <w:szCs w:val="22"/>
          <w:lang w:eastAsia="en-ZA"/>
        </w:rPr>
        <w:t>’ decisions not to use it were primarily related to public disapproval, although the continued availability of methyl bromide and other fumigants played a contributing role by making adoption less urgent. The study results suggest that policies in place during the methyl bromide phaseout did not strongly encourage the development and extension of less toxic alternatives, which undermined the strawberry industry's position.”</w:t>
      </w:r>
    </w:p>
    <w:p w14:paraId="36410B32" w14:textId="77777777" w:rsidR="00F73340" w:rsidRPr="00120FA6" w:rsidRDefault="00F73340" w:rsidP="00A140B1">
      <w:pPr>
        <w:rPr>
          <w:szCs w:val="22"/>
          <w:lang w:eastAsia="en-ZA"/>
        </w:rPr>
      </w:pPr>
      <w:r w:rsidRPr="00120FA6">
        <w:rPr>
          <w:szCs w:val="22"/>
          <w:lang w:eastAsia="en-ZA"/>
        </w:rPr>
        <w:t>Second, Hammond (2015) has provided the first publication that looks at the economic aspects of the use of heat as an alternative method of insect control in mills. After providing data on the cost of different materials and processes of heating vs</w:t>
      </w:r>
      <w:r>
        <w:rPr>
          <w:szCs w:val="22"/>
          <w:lang w:eastAsia="en-ZA"/>
        </w:rPr>
        <w:t>.</w:t>
      </w:r>
      <w:r w:rsidRPr="00120FA6">
        <w:rPr>
          <w:szCs w:val="22"/>
          <w:lang w:eastAsia="en-ZA"/>
        </w:rPr>
        <w:t xml:space="preserve"> treatment with methyl bromide, he concludes that, all arguments considered, heat treatment should cost around half of the methyl bromide treatment in the UK.</w:t>
      </w:r>
    </w:p>
    <w:p w14:paraId="7857429F" w14:textId="45FF2599" w:rsidR="00F73340" w:rsidRPr="00691E27" w:rsidRDefault="00F73340" w:rsidP="00A140B1">
      <w:pPr>
        <w:rPr>
          <w:sz w:val="24"/>
          <w:szCs w:val="24"/>
        </w:rPr>
      </w:pPr>
      <w:r w:rsidRPr="00120FA6">
        <w:rPr>
          <w:szCs w:val="22"/>
          <w:lang w:eastAsia="en-ZA"/>
        </w:rPr>
        <w:t xml:space="preserve">Third, most of the literature on the economic aspects of the methyl bromide phaseout consists of a partial budget comparison between methyl bromide and its next best alternative. In this regard, Wu </w:t>
      </w:r>
      <w:r w:rsidRPr="00120FA6">
        <w:rPr>
          <w:i/>
          <w:szCs w:val="22"/>
          <w:lang w:eastAsia="en-ZA"/>
        </w:rPr>
        <w:t>et al.</w:t>
      </w:r>
      <w:r w:rsidRPr="00120FA6">
        <w:rPr>
          <w:szCs w:val="22"/>
          <w:lang w:eastAsia="en-ZA"/>
        </w:rPr>
        <w:t xml:space="preserve"> (2016) show how external factors (rainfall, weed pressure and soil temperature) affected fumigant efficacy. </w:t>
      </w:r>
      <w:r w:rsidRPr="00120FA6">
        <w:rPr>
          <w:szCs w:val="22"/>
        </w:rPr>
        <w:t xml:space="preserve">However, they take the analysis further: because they consider the long term cost-effectiveness of alternatives, they model the risks to the producer of using each of these alternatives given weather variability using the well-known Monte Carlo simulation. </w:t>
      </w:r>
      <w:r w:rsidRPr="00120FA6">
        <w:rPr>
          <w:szCs w:val="22"/>
          <w:lang w:eastAsia="en-ZA"/>
        </w:rPr>
        <w:t xml:space="preserve">The result: alternative treatments of tomatoes in Florida can be ranked as </w:t>
      </w:r>
      <w:r w:rsidRPr="00120FA6">
        <w:rPr>
          <w:szCs w:val="22"/>
        </w:rPr>
        <w:t>1</w:t>
      </w:r>
      <w:proofErr w:type="gramStart"/>
      <w:r w:rsidRPr="00120FA6">
        <w:rPr>
          <w:szCs w:val="22"/>
        </w:rPr>
        <w:t>,3</w:t>
      </w:r>
      <w:proofErr w:type="gramEnd"/>
      <w:r w:rsidRPr="00120FA6">
        <w:rPr>
          <w:szCs w:val="22"/>
        </w:rPr>
        <w:t>-D:Pic:</w:t>
      </w:r>
      <w:r w:rsidR="00935013">
        <w:rPr>
          <w:szCs w:val="22"/>
        </w:rPr>
        <w:t xml:space="preserve"> </w:t>
      </w:r>
      <w:r w:rsidRPr="00120FA6">
        <w:rPr>
          <w:szCs w:val="22"/>
        </w:rPr>
        <w:t xml:space="preserve">Metam&gt;Midas&gt;methyl bromide&gt;1,3-D:Pic&gt;DMDS: Pic when used </w:t>
      </w:r>
      <w:r w:rsidRPr="00120FA6">
        <w:rPr>
          <w:szCs w:val="22"/>
          <w:lang w:eastAsia="en-ZA"/>
        </w:rPr>
        <w:t>over the long term (from higher to lower cost effectiveness).</w:t>
      </w:r>
      <w:r w:rsidRPr="00120FA6">
        <w:rPr>
          <w:szCs w:val="22"/>
        </w:rPr>
        <w:t xml:space="preserve"> </w:t>
      </w:r>
    </w:p>
    <w:p w14:paraId="46A3B636" w14:textId="28CE2DD7" w:rsidR="00F73340" w:rsidRDefault="00F73340" w:rsidP="00413E4A">
      <w:pPr>
        <w:pStyle w:val="Heading2"/>
      </w:pPr>
      <w:bookmarkStart w:id="107" w:name="_Toc484164342"/>
      <w:r>
        <w:t>4</w:t>
      </w:r>
      <w:r w:rsidRPr="00691E27">
        <w:t>.</w:t>
      </w:r>
      <w:r w:rsidR="00642379">
        <w:t>3.</w:t>
      </w:r>
      <w:r w:rsidR="00642379">
        <w:tab/>
      </w:r>
      <w:r w:rsidRPr="00691E27">
        <w:t>QPS sector</w:t>
      </w:r>
      <w:bookmarkEnd w:id="95"/>
      <w:bookmarkEnd w:id="96"/>
      <w:bookmarkEnd w:id="97"/>
      <w:bookmarkEnd w:id="98"/>
      <w:bookmarkEnd w:id="99"/>
      <w:bookmarkEnd w:id="100"/>
      <w:bookmarkEnd w:id="107"/>
    </w:p>
    <w:p w14:paraId="1192178D" w14:textId="0F756B8F" w:rsidR="00F73340" w:rsidRDefault="00F73340" w:rsidP="00413E4A">
      <w:pPr>
        <w:pStyle w:val="Heading3"/>
      </w:pPr>
      <w:bookmarkStart w:id="108" w:name="_Toc484164343"/>
      <w:r>
        <w:t>4.</w:t>
      </w:r>
      <w:r w:rsidR="00FB50B1">
        <w:t>3</w:t>
      </w:r>
      <w:r>
        <w:t>.1.</w:t>
      </w:r>
      <w:r>
        <w:tab/>
        <w:t>Irradiation</w:t>
      </w:r>
      <w:bookmarkEnd w:id="108"/>
    </w:p>
    <w:p w14:paraId="2C9E3F36" w14:textId="77777777" w:rsidR="00F73340" w:rsidRPr="00120FA6" w:rsidRDefault="00F73340" w:rsidP="00A140B1">
      <w:pPr>
        <w:rPr>
          <w:color w:val="auto"/>
          <w:szCs w:val="22"/>
        </w:rPr>
      </w:pPr>
      <w:r w:rsidRPr="00120FA6">
        <w:rPr>
          <w:color w:val="auto"/>
          <w:szCs w:val="22"/>
        </w:rPr>
        <w:t xml:space="preserve">E-beam (electron beam) irradiation systems have progressed to the point that they might make irradiation more available for phytosanitary uses in the near future. Essentially, x-rays are generated electronically, and therefore, the radiation source can be turned on and off at will, a fact that makes e-beam technology safer than cobalt-60, and require less oversight and regulation. This technology has been available since the late 1990’s, but is finally moving into the early implementation stages for phytosanitation in the United States. However, phytosanitary regulatory agencies sometimes require rates that are damaging to the goods, and more research is needed to improve technical data on the minimal rates actually required for adequate phytosanitation (Hallman 2016). Although radiation has been around a long time, its use was somewhat limited in the United States, partly due to low consumer acceptance of irradiated goods, and economic cost. Whether the new e-beam technology will have higher acceptance and economic feasibility is not yet clear. </w:t>
      </w:r>
    </w:p>
    <w:p w14:paraId="4DEBBCEE" w14:textId="4947CACA" w:rsidR="00F73340" w:rsidRPr="00D71B4B" w:rsidRDefault="006E13B3" w:rsidP="00413E4A">
      <w:pPr>
        <w:pStyle w:val="Heading3"/>
      </w:pPr>
      <w:bookmarkStart w:id="109" w:name="_Toc484164344"/>
      <w:r>
        <w:t>4</w:t>
      </w:r>
      <w:r w:rsidR="00F73340">
        <w:t>.</w:t>
      </w:r>
      <w:r w:rsidR="00FB50B1">
        <w:t>3</w:t>
      </w:r>
      <w:r w:rsidR="00F73340">
        <w:t>.2.</w:t>
      </w:r>
      <w:r w:rsidR="00F73340">
        <w:tab/>
      </w:r>
      <w:r w:rsidR="00F73340" w:rsidRPr="00620445">
        <w:t xml:space="preserve">Ethyl </w:t>
      </w:r>
      <w:r w:rsidR="00FB50B1">
        <w:t>f</w:t>
      </w:r>
      <w:r w:rsidR="00F73340" w:rsidRPr="00620445">
        <w:t>ormate</w:t>
      </w:r>
      <w:bookmarkEnd w:id="109"/>
    </w:p>
    <w:p w14:paraId="67BBC6C8" w14:textId="009F1C78" w:rsidR="00F73340" w:rsidRPr="00120FA6" w:rsidRDefault="00F73340" w:rsidP="00A140B1">
      <w:pPr>
        <w:rPr>
          <w:szCs w:val="22"/>
        </w:rPr>
      </w:pPr>
      <w:r w:rsidRPr="00120FA6">
        <w:rPr>
          <w:szCs w:val="22"/>
        </w:rPr>
        <w:t xml:space="preserve">Ethyl formate (EF) is a Generally Recognised </w:t>
      </w:r>
      <w:proofErr w:type="gramStart"/>
      <w:r w:rsidRPr="00120FA6">
        <w:rPr>
          <w:szCs w:val="22"/>
        </w:rPr>
        <w:t>As</w:t>
      </w:r>
      <w:proofErr w:type="gramEnd"/>
      <w:r w:rsidRPr="00120FA6">
        <w:rPr>
          <w:szCs w:val="22"/>
        </w:rPr>
        <w:t xml:space="preserve"> Safe (GRAS) plant volatile compound. It has been used in trials to reduce </w:t>
      </w:r>
      <w:r w:rsidR="001F1E0D">
        <w:rPr>
          <w:szCs w:val="22"/>
        </w:rPr>
        <w:t xml:space="preserve">incidence of </w:t>
      </w:r>
      <w:r w:rsidRPr="00120FA6">
        <w:rPr>
          <w:szCs w:val="22"/>
        </w:rPr>
        <w:t>external pest</w:t>
      </w:r>
      <w:r w:rsidR="001F1E0D">
        <w:rPr>
          <w:szCs w:val="22"/>
        </w:rPr>
        <w:t>s</w:t>
      </w:r>
      <w:r w:rsidRPr="00120FA6">
        <w:rPr>
          <w:szCs w:val="22"/>
        </w:rPr>
        <w:t xml:space="preserve"> on apples to acceptable rates for export markets. Mealybugs, scale insects, thrips and apple leaf curling midge (ALCM) on packed New Zealand apples are a concern for export markets. A treatment of 0.3% EF +CO</w:t>
      </w:r>
      <w:r w:rsidRPr="00120FA6">
        <w:rPr>
          <w:szCs w:val="22"/>
          <w:vertAlign w:val="subscript"/>
        </w:rPr>
        <w:t>2</w:t>
      </w:r>
      <w:r w:rsidRPr="00120FA6">
        <w:rPr>
          <w:szCs w:val="22"/>
        </w:rPr>
        <w:t xml:space="preserve"> </w:t>
      </w:r>
      <w:r w:rsidRPr="00120FA6">
        <w:rPr>
          <w:szCs w:val="22"/>
        </w:rPr>
        <w:lastRenderedPageBreak/>
        <w:t>for 1 h controlled 99% of onion thrips and latania scale, and 0.81% EF + CO</w:t>
      </w:r>
      <w:r w:rsidRPr="00120FA6">
        <w:rPr>
          <w:szCs w:val="22"/>
          <w:vertAlign w:val="subscript"/>
        </w:rPr>
        <w:t>2</w:t>
      </w:r>
      <w:r w:rsidRPr="00120FA6">
        <w:rPr>
          <w:szCs w:val="22"/>
        </w:rPr>
        <w:t xml:space="preserve"> for 1 h controlled obscure mealybug. Jamieson </w:t>
      </w:r>
      <w:r w:rsidRPr="00120FA6">
        <w:rPr>
          <w:i/>
          <w:szCs w:val="22"/>
        </w:rPr>
        <w:t>et al</w:t>
      </w:r>
      <w:r w:rsidRPr="00120FA6">
        <w:rPr>
          <w:szCs w:val="22"/>
        </w:rPr>
        <w:t xml:space="preserve">. (2014) found treatment concentrations and times required to control ALCM (4.94% EF for 4 h) were beyond the apple quality tolerance level. </w:t>
      </w:r>
    </w:p>
    <w:p w14:paraId="29C5DC12" w14:textId="3B6C92EA" w:rsidR="00F73340" w:rsidRPr="00120FA6" w:rsidRDefault="00F73340" w:rsidP="00A140B1">
      <w:pPr>
        <w:rPr>
          <w:szCs w:val="22"/>
        </w:rPr>
      </w:pPr>
      <w:r w:rsidRPr="00120FA6">
        <w:rPr>
          <w:szCs w:val="22"/>
        </w:rPr>
        <w:t xml:space="preserve">Yang </w:t>
      </w:r>
      <w:r w:rsidRPr="00120FA6">
        <w:rPr>
          <w:i/>
          <w:szCs w:val="22"/>
        </w:rPr>
        <w:t>et al</w:t>
      </w:r>
      <w:r w:rsidRPr="00120FA6">
        <w:rPr>
          <w:szCs w:val="22"/>
        </w:rPr>
        <w:t>. (2016) conducted a study to compare the effects of EF and phosphine (PH</w:t>
      </w:r>
      <w:r w:rsidRPr="00120FA6">
        <w:rPr>
          <w:szCs w:val="22"/>
          <w:vertAlign w:val="subscript"/>
        </w:rPr>
        <w:t>3</w:t>
      </w:r>
      <w:r w:rsidRPr="00120FA6">
        <w:rPr>
          <w:szCs w:val="22"/>
        </w:rPr>
        <w:t>)</w:t>
      </w:r>
      <w:r w:rsidR="001F1E0D">
        <w:rPr>
          <w:szCs w:val="22"/>
        </w:rPr>
        <w:t xml:space="preserve"> as individual </w:t>
      </w:r>
      <w:proofErr w:type="gramStart"/>
      <w:r w:rsidR="001F1E0D">
        <w:rPr>
          <w:szCs w:val="22"/>
        </w:rPr>
        <w:t>treatments</w:t>
      </w:r>
      <w:r w:rsidRPr="00120FA6">
        <w:rPr>
          <w:szCs w:val="22"/>
        </w:rPr>
        <w:t>,</w:t>
      </w:r>
      <w:proofErr w:type="gramEnd"/>
      <w:r w:rsidRPr="00120FA6">
        <w:rPr>
          <w:szCs w:val="22"/>
        </w:rPr>
        <w:t xml:space="preserve"> and of EF mixed with PH</w:t>
      </w:r>
      <w:r w:rsidRPr="00120FA6">
        <w:rPr>
          <w:szCs w:val="22"/>
          <w:vertAlign w:val="subscript"/>
        </w:rPr>
        <w:t>3</w:t>
      </w:r>
      <w:r w:rsidRPr="00120FA6">
        <w:rPr>
          <w:szCs w:val="22"/>
        </w:rPr>
        <w:t xml:space="preserve"> as alternatives to MB for controlling</w:t>
      </w:r>
      <w:r>
        <w:rPr>
          <w:szCs w:val="22"/>
        </w:rPr>
        <w:t xml:space="preserve"> citrus mealybug</w:t>
      </w:r>
      <w:r w:rsidRPr="00120FA6">
        <w:rPr>
          <w:szCs w:val="22"/>
        </w:rPr>
        <w:t xml:space="preserve"> </w:t>
      </w:r>
      <w:r>
        <w:rPr>
          <w:szCs w:val="22"/>
        </w:rPr>
        <w:t>(</w:t>
      </w:r>
      <w:r w:rsidRPr="00120FA6">
        <w:rPr>
          <w:i/>
          <w:szCs w:val="22"/>
        </w:rPr>
        <w:t>P</w:t>
      </w:r>
      <w:r>
        <w:rPr>
          <w:i/>
          <w:szCs w:val="22"/>
        </w:rPr>
        <w:t>lanococcus</w:t>
      </w:r>
      <w:r w:rsidRPr="00120FA6">
        <w:rPr>
          <w:i/>
          <w:szCs w:val="22"/>
        </w:rPr>
        <w:t xml:space="preserve"> citri</w:t>
      </w:r>
      <w:r w:rsidR="001F1E0D">
        <w:rPr>
          <w:i/>
          <w:szCs w:val="22"/>
        </w:rPr>
        <w:t>)</w:t>
      </w:r>
      <w:r w:rsidRPr="00120FA6">
        <w:rPr>
          <w:szCs w:val="22"/>
        </w:rPr>
        <w:t xml:space="preserve"> adults, nymphs, and eggs. The combined treatment was significantly more effective</w:t>
      </w:r>
      <w:r w:rsidR="001F1E0D">
        <w:rPr>
          <w:szCs w:val="22"/>
        </w:rPr>
        <w:t>;</w:t>
      </w:r>
      <w:r w:rsidRPr="00120FA6">
        <w:rPr>
          <w:szCs w:val="22"/>
        </w:rPr>
        <w:t xml:space="preserve"> it was observed that the eggs were more tolerant than the nymphs and adults. In pineapples, a mixed treatment of EF + PH</w:t>
      </w:r>
      <w:r w:rsidRPr="00120FA6">
        <w:rPr>
          <w:szCs w:val="22"/>
          <w:vertAlign w:val="subscript"/>
        </w:rPr>
        <w:t>3</w:t>
      </w:r>
      <w:r w:rsidRPr="00120FA6">
        <w:rPr>
          <w:szCs w:val="22"/>
        </w:rPr>
        <w:t xml:space="preserve"> achieved complete control of eggs at concentrations of 25.1/1.0 (EF/PH</w:t>
      </w:r>
      <w:r w:rsidRPr="00120FA6">
        <w:rPr>
          <w:szCs w:val="22"/>
          <w:vertAlign w:val="subscript"/>
        </w:rPr>
        <w:t>3</w:t>
      </w:r>
      <w:r w:rsidRPr="00120FA6">
        <w:rPr>
          <w:szCs w:val="22"/>
        </w:rPr>
        <w:t xml:space="preserve">) mg/liter at 8C with a 4 h exposure time. This combined treatment could offer shorter exposure times and less damage to perishable commodities at low temperatures, and could potentially be extended to controlling other quarantine pests of fruit and vegetables for which </w:t>
      </w:r>
      <w:r w:rsidR="001F1E0D">
        <w:rPr>
          <w:szCs w:val="22"/>
        </w:rPr>
        <w:t>MB</w:t>
      </w:r>
      <w:r w:rsidRPr="00120FA6">
        <w:rPr>
          <w:szCs w:val="22"/>
        </w:rPr>
        <w:t xml:space="preserve"> is currently used.</w:t>
      </w:r>
    </w:p>
    <w:p w14:paraId="26986A38" w14:textId="4990FDEA" w:rsidR="00F73340" w:rsidRPr="00120FA6" w:rsidRDefault="00F73340" w:rsidP="00A140B1">
      <w:pPr>
        <w:rPr>
          <w:szCs w:val="22"/>
        </w:rPr>
      </w:pPr>
      <w:r w:rsidRPr="00120FA6">
        <w:rPr>
          <w:szCs w:val="22"/>
        </w:rPr>
        <w:t>Chhagan (2013) exposed New Zealand flower thrips (NZFT</w:t>
      </w:r>
      <w:r>
        <w:rPr>
          <w:szCs w:val="22"/>
        </w:rPr>
        <w:t>)</w:t>
      </w:r>
      <w:r w:rsidRPr="00120FA6">
        <w:rPr>
          <w:szCs w:val="22"/>
        </w:rPr>
        <w:t xml:space="preserve">, </w:t>
      </w:r>
      <w:r w:rsidRPr="00120FA6">
        <w:rPr>
          <w:i/>
          <w:szCs w:val="22"/>
        </w:rPr>
        <w:t>Thrips obscuratus</w:t>
      </w:r>
      <w:r w:rsidRPr="00120FA6">
        <w:rPr>
          <w:szCs w:val="22"/>
        </w:rPr>
        <w:t xml:space="preserve"> to a range of EF and pyrethrum-based postharvest treatments on apricots. The trials showed that EF+CO</w:t>
      </w:r>
      <w:r w:rsidRPr="00120FA6">
        <w:rPr>
          <w:szCs w:val="22"/>
          <w:vertAlign w:val="subscript"/>
        </w:rPr>
        <w:t>2</w:t>
      </w:r>
      <w:r w:rsidRPr="00120FA6">
        <w:rPr>
          <w:szCs w:val="22"/>
        </w:rPr>
        <w:t xml:space="preserve"> or EF+N</w:t>
      </w:r>
      <w:r w:rsidRPr="00120FA6">
        <w:rPr>
          <w:szCs w:val="22"/>
          <w:vertAlign w:val="subscript"/>
        </w:rPr>
        <w:t>2</w:t>
      </w:r>
      <w:r w:rsidRPr="00120FA6">
        <w:rPr>
          <w:szCs w:val="22"/>
        </w:rPr>
        <w:t xml:space="preserve"> were effective treatments against NZFT and caused negligible damage to apricot fruit quality. However, pyrethrum dipping did not effectively control NZFT and caused significant in</w:t>
      </w:r>
      <w:r w:rsidR="00506F55">
        <w:rPr>
          <w:szCs w:val="22"/>
        </w:rPr>
        <w:t>ternal damage to apricot fruit.</w:t>
      </w:r>
    </w:p>
    <w:p w14:paraId="402FAB5A" w14:textId="77777777" w:rsidR="00F73340" w:rsidRPr="00120FA6" w:rsidRDefault="00F73340" w:rsidP="00A140B1">
      <w:pPr>
        <w:rPr>
          <w:szCs w:val="22"/>
        </w:rPr>
      </w:pPr>
      <w:r w:rsidRPr="00120FA6">
        <w:rPr>
          <w:szCs w:val="22"/>
        </w:rPr>
        <w:t xml:space="preserve">Codling moth (CM, </w:t>
      </w:r>
      <w:r w:rsidRPr="00120FA6">
        <w:rPr>
          <w:i/>
          <w:szCs w:val="22"/>
        </w:rPr>
        <w:t>Cydia pomonella</w:t>
      </w:r>
      <w:r w:rsidRPr="00120FA6">
        <w:rPr>
          <w:szCs w:val="22"/>
        </w:rPr>
        <w:t xml:space="preserve">) is a pest of quarantine concern on apple exports to Asian markets. Apples exported to Japan must be fumigated with MB and then cold stored. Jamieson </w:t>
      </w:r>
      <w:r w:rsidRPr="00120FA6">
        <w:rPr>
          <w:i/>
          <w:szCs w:val="22"/>
        </w:rPr>
        <w:t>et al</w:t>
      </w:r>
      <w:r w:rsidRPr="00120FA6">
        <w:rPr>
          <w:szCs w:val="22"/>
        </w:rPr>
        <w:t>. (2016) investigated EF as an alternative to MB, to control an internal pest such as CM by determining the responses of key insect stages without fruit and inside apples. Trials without fruit in a 2 h fumigation showed that late-stage CM eggs and third instar CM larvae were the most tolerant life stages, requiring a mean concentration of 1.34–1.94% EF to achieve 99% mortality, but 100% mortality of 4th/5th instar CM larvae. Trials with CM in fruit in a 2 h fumigation showed that 1.13% EF resulted in 53.4% mortality of 4</w:t>
      </w:r>
      <w:r w:rsidRPr="00120FA6">
        <w:rPr>
          <w:szCs w:val="22"/>
          <w:vertAlign w:val="superscript"/>
        </w:rPr>
        <w:t>th</w:t>
      </w:r>
      <w:r w:rsidRPr="00120FA6">
        <w:rPr>
          <w:szCs w:val="22"/>
        </w:rPr>
        <w:t>/5</w:t>
      </w:r>
      <w:r w:rsidRPr="00120FA6">
        <w:rPr>
          <w:szCs w:val="22"/>
          <w:vertAlign w:val="superscript"/>
        </w:rPr>
        <w:t>th</w:t>
      </w:r>
      <w:r w:rsidRPr="00120FA6">
        <w:rPr>
          <w:szCs w:val="22"/>
        </w:rPr>
        <w:t xml:space="preserve"> CM larvae inside apples. Increasing the mean concentration to 2.4% EF increased the mortality of 4</w:t>
      </w:r>
      <w:r w:rsidRPr="00120FA6">
        <w:rPr>
          <w:szCs w:val="22"/>
          <w:vertAlign w:val="superscript"/>
        </w:rPr>
        <w:t>th</w:t>
      </w:r>
      <w:r w:rsidRPr="00120FA6">
        <w:rPr>
          <w:szCs w:val="22"/>
        </w:rPr>
        <w:t>/5</w:t>
      </w:r>
      <w:r w:rsidRPr="00120FA6">
        <w:rPr>
          <w:szCs w:val="22"/>
          <w:vertAlign w:val="superscript"/>
        </w:rPr>
        <w:t>th</w:t>
      </w:r>
      <w:r w:rsidRPr="00120FA6">
        <w:rPr>
          <w:szCs w:val="22"/>
        </w:rPr>
        <w:t xml:space="preserve"> larvae inside apples to 85.2%.</w:t>
      </w:r>
    </w:p>
    <w:p w14:paraId="7FCD80B2" w14:textId="77777777" w:rsidR="00F73340" w:rsidRPr="00120FA6" w:rsidRDefault="00F73340" w:rsidP="00A140B1">
      <w:pPr>
        <w:rPr>
          <w:szCs w:val="22"/>
        </w:rPr>
      </w:pPr>
      <w:r w:rsidRPr="00120FA6">
        <w:rPr>
          <w:szCs w:val="22"/>
        </w:rPr>
        <w:t>Jamieson (2015) examined the tolerances of different life stages of tomato potato psyllid (TPP) to EF, finding that eggs were considerably more tolerant than adults and nymphs. Complete elimination of egg hatch was achieved after a 1-h exposure to 1.19% EF. In contrast, all nymphs and adults were killed after a 1-h exposure to 0.12% and 0.06% EF, respectively. Assessment of egg mortality was altered to better reflect the post-hatch treatment effects on nymph survival. In a subsequent egg age tolerance trial, mean lethal concentrations for 99% mortality ranged from ca 1% EF for young and older eggs to ca 1.5% EF for mid-aged eggs.</w:t>
      </w:r>
    </w:p>
    <w:p w14:paraId="09CF272D" w14:textId="3ADC47C9" w:rsidR="00F73340" w:rsidRPr="00120FA6" w:rsidRDefault="00F73340" w:rsidP="00A140B1">
      <w:pPr>
        <w:rPr>
          <w:szCs w:val="22"/>
        </w:rPr>
      </w:pPr>
      <w:r w:rsidRPr="00120FA6">
        <w:rPr>
          <w:szCs w:val="22"/>
        </w:rPr>
        <w:t>Export of Pink Lady apples from Australia has been significantly affected by infestations of adult eucalyptus weevils (</w:t>
      </w:r>
      <w:r w:rsidRPr="00120FA6">
        <w:rPr>
          <w:i/>
          <w:szCs w:val="22"/>
        </w:rPr>
        <w:t>Gonipterus platensis</w:t>
      </w:r>
      <w:r w:rsidRPr="00120FA6">
        <w:rPr>
          <w:szCs w:val="22"/>
        </w:rPr>
        <w:t xml:space="preserve"> Marelli). These weevils cling tenaciously to the pedicel of apple fruit when selecting overwintering sites. As a result, apples infested with live </w:t>
      </w:r>
      <w:r w:rsidRPr="00120FA6">
        <w:rPr>
          <w:i/>
          <w:szCs w:val="22"/>
        </w:rPr>
        <w:t>G. platensis</w:t>
      </w:r>
      <w:r w:rsidRPr="00120FA6">
        <w:rPr>
          <w:szCs w:val="22"/>
        </w:rPr>
        <w:t xml:space="preserve"> adults are rejected for export. Agarwal </w:t>
      </w:r>
      <w:r w:rsidRPr="00120FA6">
        <w:rPr>
          <w:i/>
          <w:szCs w:val="22"/>
        </w:rPr>
        <w:t>et al</w:t>
      </w:r>
      <w:r w:rsidRPr="00120FA6">
        <w:rPr>
          <w:szCs w:val="22"/>
        </w:rPr>
        <w:t>. (2015) conducted laboratory experiments using</w:t>
      </w:r>
      <w:r w:rsidR="001F1E0D">
        <w:rPr>
          <w:szCs w:val="22"/>
        </w:rPr>
        <w:t xml:space="preserve"> a wide range of concentrations</w:t>
      </w:r>
      <w:r w:rsidRPr="00120FA6">
        <w:rPr>
          <w:szCs w:val="22"/>
        </w:rPr>
        <w:t xml:space="preserve"> of ethyl formate. Complete control (100% mortality) was achieved at 25–30 mg/liter of ethyl formate at 22–24°C for 24-h exposure without apples. However, with 90–95% of the volume full of apples, complete control was achieved at 40 mg/liter of ethyl formate at 22–24°C for 24-h exposure. No phytotoxicity was observed and after aerating for one day, residue of ethyl formate declined to natural levels (0.05–0.2 mg/kg). Five ethyl formate field trials were conducted in cool storages and 100% kill of eucalyptus weevils were achieved at 50–55 mg/liter at 7–10°C for 24 h.</w:t>
      </w:r>
    </w:p>
    <w:p w14:paraId="6B1E9C39" w14:textId="74653E58" w:rsidR="00F73340" w:rsidRDefault="00F73340" w:rsidP="00A140B1">
      <w:pPr>
        <w:rPr>
          <w:szCs w:val="22"/>
        </w:rPr>
      </w:pPr>
      <w:r w:rsidRPr="00120FA6">
        <w:rPr>
          <w:szCs w:val="22"/>
        </w:rPr>
        <w:t xml:space="preserve">Vapormate was also evaluated in South Africa. Grout and Stoltz (2016) reported that South African fruit is sometimes rejected for export due to the presence of live arthropods that are </w:t>
      </w:r>
      <w:r w:rsidRPr="00120FA6">
        <w:rPr>
          <w:szCs w:val="22"/>
        </w:rPr>
        <w:lastRenderedPageBreak/>
        <w:t xml:space="preserve">not considered pests of the fruit concerned. They fumigated </w:t>
      </w:r>
      <w:r w:rsidRPr="00120FA6">
        <w:rPr>
          <w:i/>
          <w:szCs w:val="22"/>
        </w:rPr>
        <w:t>Macchiademus diplopterus</w:t>
      </w:r>
      <w:r w:rsidRPr="00120FA6">
        <w:rPr>
          <w:szCs w:val="22"/>
        </w:rPr>
        <w:t xml:space="preserve"> at a dosage of Vapormate 250 g/m3 for 4hrs result</w:t>
      </w:r>
      <w:r w:rsidR="001F1E0D">
        <w:rPr>
          <w:szCs w:val="22"/>
        </w:rPr>
        <w:t>ing</w:t>
      </w:r>
      <w:r w:rsidRPr="00120FA6">
        <w:rPr>
          <w:szCs w:val="22"/>
        </w:rPr>
        <w:t xml:space="preserve"> in no survivors out of &gt;35,000 </w:t>
      </w:r>
      <w:r w:rsidRPr="00120FA6">
        <w:rPr>
          <w:i/>
          <w:szCs w:val="22"/>
        </w:rPr>
        <w:t xml:space="preserve">M. diplopterus </w:t>
      </w:r>
      <w:r w:rsidRPr="00120FA6">
        <w:rPr>
          <w:szCs w:val="22"/>
        </w:rPr>
        <w:t xml:space="preserve">fumigated. A small-scale trial using the same ethyl formate treatment also killed the arboreal mite </w:t>
      </w:r>
      <w:r w:rsidRPr="00120FA6">
        <w:rPr>
          <w:i/>
          <w:szCs w:val="22"/>
        </w:rPr>
        <w:t>Siculobata sicula</w:t>
      </w:r>
      <w:r w:rsidRPr="00120FA6">
        <w:rPr>
          <w:szCs w:val="22"/>
        </w:rPr>
        <w:t>. The treatment conditions did not appear to have phytotoxic effects on pears or oranges, unless they had prior mechanical injuries that were accentuated.</w:t>
      </w:r>
    </w:p>
    <w:p w14:paraId="105C1D5D" w14:textId="3B36E4F1" w:rsidR="00F73340" w:rsidRPr="00120FA6" w:rsidRDefault="00F73340" w:rsidP="00A140B1">
      <w:pPr>
        <w:rPr>
          <w:szCs w:val="22"/>
        </w:rPr>
      </w:pPr>
      <w:r w:rsidRPr="00120FA6">
        <w:rPr>
          <w:szCs w:val="22"/>
        </w:rPr>
        <w:t xml:space="preserve">Bessi </w:t>
      </w:r>
      <w:r w:rsidRPr="00120FA6">
        <w:rPr>
          <w:i/>
          <w:szCs w:val="22"/>
        </w:rPr>
        <w:t>et al</w:t>
      </w:r>
      <w:r w:rsidRPr="00120FA6">
        <w:rPr>
          <w:szCs w:val="22"/>
        </w:rPr>
        <w:t>. (2016) reported results of fumigating dates of the Deglet Nour variety with EF. A laboratory scale test revealed that the most efficient combination was 143 g/m3 of EF for 2 h, which led to 98.12% mortality of the most resistant larvae stage of the carob moth (</w:t>
      </w:r>
      <w:r w:rsidRPr="00120FA6">
        <w:rPr>
          <w:i/>
          <w:szCs w:val="22"/>
        </w:rPr>
        <w:t>Ectomyelois ceratoniae</w:t>
      </w:r>
      <w:r w:rsidRPr="00120FA6">
        <w:rPr>
          <w:szCs w:val="22"/>
        </w:rPr>
        <w:t xml:space="preserve">). In a semi-industrial scale treatment with Vapormate, the mortality rate was further improved, reaching 100%. </w:t>
      </w:r>
      <w:r w:rsidR="001F1E0D">
        <w:rPr>
          <w:szCs w:val="22"/>
        </w:rPr>
        <w:t>N</w:t>
      </w:r>
      <w:r w:rsidRPr="00120FA6">
        <w:rPr>
          <w:szCs w:val="22"/>
        </w:rPr>
        <w:t xml:space="preserve">o changes in fruit quality were observed after fumigation. </w:t>
      </w:r>
    </w:p>
    <w:p w14:paraId="38DF2691" w14:textId="63D5B8FA" w:rsidR="00F73340" w:rsidRPr="00120FA6" w:rsidRDefault="00F73340" w:rsidP="00A140B1">
      <w:pPr>
        <w:rPr>
          <w:szCs w:val="22"/>
        </w:rPr>
      </w:pPr>
      <w:r w:rsidRPr="00120FA6">
        <w:rPr>
          <w:szCs w:val="22"/>
        </w:rPr>
        <w:t>Ethyl formate vapour is highly flammable with a lower flammability limit of 2.8% in air. While this is above typical fumigation concentrations, it needs dilution in practice to below the flammability limit from its liquid or concentrated form. This may be done by dilution with CO</w:t>
      </w:r>
      <w:r w:rsidRPr="001B1725">
        <w:rPr>
          <w:szCs w:val="22"/>
          <w:vertAlign w:val="subscript"/>
        </w:rPr>
        <w:t>2</w:t>
      </w:r>
      <w:r w:rsidRPr="00120FA6">
        <w:rPr>
          <w:szCs w:val="22"/>
        </w:rPr>
        <w:t xml:space="preserve"> as </w:t>
      </w:r>
      <w:r w:rsidR="001F1E0D">
        <w:rPr>
          <w:szCs w:val="22"/>
        </w:rPr>
        <w:t>in the</w:t>
      </w:r>
      <w:r w:rsidRPr="00120FA6">
        <w:rPr>
          <w:szCs w:val="22"/>
        </w:rPr>
        <w:t xml:space="preserve"> Vapormate formulation or in a stream of CO</w:t>
      </w:r>
      <w:r w:rsidRPr="001B1725">
        <w:rPr>
          <w:szCs w:val="22"/>
          <w:vertAlign w:val="subscript"/>
        </w:rPr>
        <w:t>2</w:t>
      </w:r>
      <w:r w:rsidRPr="00120FA6">
        <w:rPr>
          <w:szCs w:val="22"/>
        </w:rPr>
        <w:t xml:space="preserve"> as described by Navarro and Navarro (2016) in their full scale trials with ethyl formate on grain. Alternatively the ethyl formate may be volatilised in a stream of nitrogen gas, as </w:t>
      </w:r>
      <w:r w:rsidR="001F1E0D">
        <w:rPr>
          <w:szCs w:val="22"/>
        </w:rPr>
        <w:t>per</w:t>
      </w:r>
      <w:r w:rsidRPr="00120FA6">
        <w:rPr>
          <w:szCs w:val="22"/>
        </w:rPr>
        <w:t xml:space="preserve"> Yang </w:t>
      </w:r>
      <w:r w:rsidRPr="001B1725">
        <w:rPr>
          <w:i/>
          <w:szCs w:val="22"/>
        </w:rPr>
        <w:t>et al</w:t>
      </w:r>
      <w:r w:rsidRPr="00120FA6">
        <w:rPr>
          <w:szCs w:val="22"/>
        </w:rPr>
        <w:t>. (2016)</w:t>
      </w:r>
      <w:r>
        <w:rPr>
          <w:szCs w:val="22"/>
        </w:rPr>
        <w:t>, who</w:t>
      </w:r>
      <w:r w:rsidRPr="00120FA6">
        <w:rPr>
          <w:szCs w:val="22"/>
        </w:rPr>
        <w:t xml:space="preserve"> describe this technique as used for disinfestation of oranges imported into South Korea.</w:t>
      </w:r>
    </w:p>
    <w:p w14:paraId="63D761D7" w14:textId="16B4D0A5" w:rsidR="00F73340" w:rsidRDefault="006E13B3" w:rsidP="00413E4A">
      <w:pPr>
        <w:pStyle w:val="Heading3"/>
      </w:pPr>
      <w:bookmarkStart w:id="110" w:name="_Toc484164345"/>
      <w:r>
        <w:t>4</w:t>
      </w:r>
      <w:r w:rsidR="00F73340">
        <w:t>.</w:t>
      </w:r>
      <w:r w:rsidR="00FB50B1">
        <w:t>3</w:t>
      </w:r>
      <w:r w:rsidR="00F73340">
        <w:t>.3.</w:t>
      </w:r>
      <w:r w:rsidR="00F73340">
        <w:tab/>
        <w:t>Ethanedinitrile (EDN)</w:t>
      </w:r>
      <w:bookmarkEnd w:id="110"/>
    </w:p>
    <w:p w14:paraId="58D154CA" w14:textId="77777777" w:rsidR="00F73340" w:rsidRPr="00120FA6" w:rsidRDefault="00F73340" w:rsidP="00A140B1">
      <w:pPr>
        <w:autoSpaceDE w:val="0"/>
        <w:autoSpaceDN w:val="0"/>
        <w:adjustRightInd w:val="0"/>
        <w:spacing w:after="0"/>
        <w:rPr>
          <w:rFonts w:eastAsia="Minion-Regular" w:cs="Minion-Regular"/>
          <w:szCs w:val="22"/>
        </w:rPr>
      </w:pPr>
      <w:r w:rsidRPr="00120FA6">
        <w:rPr>
          <w:rFonts w:eastAsia="Minion-Regular" w:cs="Minion-Regular"/>
          <w:szCs w:val="22"/>
        </w:rPr>
        <w:t>The sorption characteristics of EDN (syn. cyanogen, EDN Fumigas</w:t>
      </w:r>
      <w:r>
        <w:rPr>
          <w:rFonts w:eastAsia="Minion-Regular" w:cs="Minion-Regular"/>
          <w:szCs w:val="22"/>
        </w:rPr>
        <w:t>®</w:t>
      </w:r>
      <w:r w:rsidRPr="00120FA6">
        <w:rPr>
          <w:rFonts w:eastAsia="Minion-Regular" w:cs="Minion-Regular"/>
          <w:szCs w:val="22"/>
        </w:rPr>
        <w:t xml:space="preserve">) were quantified by Hall </w:t>
      </w:r>
      <w:r w:rsidRPr="00120FA6">
        <w:rPr>
          <w:rFonts w:eastAsia="Minion-Regular" w:cs="Minion-Regular"/>
          <w:i/>
          <w:szCs w:val="22"/>
        </w:rPr>
        <w:t>et al</w:t>
      </w:r>
      <w:r w:rsidRPr="00120FA6">
        <w:rPr>
          <w:rFonts w:eastAsia="Minion-Regular" w:cs="Minion-Regular"/>
          <w:szCs w:val="22"/>
        </w:rPr>
        <w:t>. (2015) for recently harvested pine logs, and a proposed EDN sorption model developed for sawn timber was tested</w:t>
      </w:r>
      <w:r>
        <w:rPr>
          <w:rFonts w:eastAsia="Minion-Regular" w:cs="Minion-Regular"/>
          <w:szCs w:val="22"/>
        </w:rPr>
        <w:t>, showing</w:t>
      </w:r>
      <w:r w:rsidRPr="00120FA6">
        <w:rPr>
          <w:rFonts w:eastAsia="Minion-Regular" w:cs="Minion-Regular"/>
          <w:szCs w:val="22"/>
        </w:rPr>
        <w:t xml:space="preserve"> a high sorption rate </w:t>
      </w:r>
      <w:r>
        <w:rPr>
          <w:rFonts w:eastAsia="Minion-Regular" w:cs="Minion-Regular"/>
          <w:szCs w:val="22"/>
        </w:rPr>
        <w:t xml:space="preserve">as </w:t>
      </w:r>
      <w:r w:rsidRPr="00120FA6">
        <w:rPr>
          <w:rFonts w:eastAsia="Minion-Regular" w:cs="Minion-Regular"/>
          <w:szCs w:val="22"/>
        </w:rPr>
        <w:t xml:space="preserve">compared </w:t>
      </w:r>
      <w:r>
        <w:rPr>
          <w:rFonts w:eastAsia="Minion-Regular" w:cs="Minion-Regular"/>
          <w:szCs w:val="22"/>
        </w:rPr>
        <w:t>to</w:t>
      </w:r>
      <w:r w:rsidRPr="00120FA6">
        <w:rPr>
          <w:rFonts w:eastAsia="Minion-Regular" w:cs="Minion-Regular"/>
          <w:szCs w:val="22"/>
        </w:rPr>
        <w:t xml:space="preserve"> other fumigants such as MB. A proportional drop in headspace concentration over time was consistent for the two doses evaluated (20 and 50 g/m3), confirming that EDN sorption is influenced by the dose applied. Bark cover did not significantly influence EDN sorption. </w:t>
      </w:r>
    </w:p>
    <w:p w14:paraId="71AEA17F" w14:textId="77777777" w:rsidR="00F73340" w:rsidRPr="00120FA6" w:rsidRDefault="00F73340" w:rsidP="00A140B1">
      <w:pPr>
        <w:autoSpaceDE w:val="0"/>
        <w:autoSpaceDN w:val="0"/>
        <w:adjustRightInd w:val="0"/>
        <w:spacing w:before="240" w:after="0"/>
        <w:rPr>
          <w:rFonts w:eastAsia="Minion-Regular" w:cs="Minion-Regular"/>
          <w:szCs w:val="22"/>
        </w:rPr>
      </w:pPr>
      <w:r w:rsidRPr="00120FA6">
        <w:rPr>
          <w:rFonts w:eastAsia="Minion-Regular" w:cs="Minion-Regular"/>
          <w:szCs w:val="22"/>
        </w:rPr>
        <w:t xml:space="preserve">Pranamornkith </w:t>
      </w:r>
      <w:r w:rsidRPr="00120FA6">
        <w:rPr>
          <w:rFonts w:eastAsia="Minion-Regular" w:cs="Minion-Regular"/>
          <w:i/>
          <w:szCs w:val="22"/>
        </w:rPr>
        <w:t>et al.</w:t>
      </w:r>
      <w:r w:rsidRPr="00120FA6">
        <w:rPr>
          <w:rFonts w:eastAsia="Minion-Regular" w:cs="Minion-Regular"/>
          <w:szCs w:val="22"/>
        </w:rPr>
        <w:t xml:space="preserve"> (2014) studied EDN at doses of 20 g/m3 or 50 g/m3, timber moisture content (green or kiln dried sawn timber), end-grain sealing (sealed or unsealed timber end-grain) and load factor (11% or 44%) on sorption of EDN by sawn timber at 15°C. This was quantified using headspace samples taken from 28-litre fumigation chambers. Chamber loading significantly influenced sorption, with higher loading resulting in greater sorption. Changes in the dose of EDN did not affect the sorption pattern. Increased moisture content and end-grain sealing both reduced sorption, but these effects were relatively small and the differences in sorption patterns caused by moisture content or end-grain sealing decreased over time.</w:t>
      </w:r>
    </w:p>
    <w:p w14:paraId="5376765A" w14:textId="77777777" w:rsidR="00F73340" w:rsidRPr="00120FA6" w:rsidRDefault="00F73340" w:rsidP="00A140B1">
      <w:pPr>
        <w:autoSpaceDE w:val="0"/>
        <w:autoSpaceDN w:val="0"/>
        <w:adjustRightInd w:val="0"/>
        <w:spacing w:after="0"/>
        <w:rPr>
          <w:rFonts w:eastAsia="Minion-Regular" w:cs="Minion-Regular"/>
          <w:szCs w:val="22"/>
        </w:rPr>
      </w:pPr>
    </w:p>
    <w:p w14:paraId="02A74639" w14:textId="6F7D0485" w:rsidR="00F73340" w:rsidRPr="00120FA6" w:rsidRDefault="00F73340" w:rsidP="00A140B1">
      <w:pPr>
        <w:autoSpaceDE w:val="0"/>
        <w:autoSpaceDN w:val="0"/>
        <w:adjustRightInd w:val="0"/>
        <w:spacing w:after="0"/>
        <w:rPr>
          <w:rFonts w:eastAsia="Minion-Regular" w:cs="Minion-Regular"/>
          <w:szCs w:val="22"/>
        </w:rPr>
      </w:pPr>
      <w:r>
        <w:rPr>
          <w:rFonts w:eastAsia="Minion-Regular" w:cs="Minion-Regular"/>
          <w:szCs w:val="22"/>
        </w:rPr>
        <w:t>These same researchers</w:t>
      </w:r>
      <w:r w:rsidRPr="00120FA6">
        <w:rPr>
          <w:rFonts w:eastAsia="Minion-Regular" w:cs="Minion-Regular"/>
          <w:szCs w:val="22"/>
        </w:rPr>
        <w:t xml:space="preserve"> tested the efficacy of ethanedinitrile for controlling burnt pine longhorn beetle </w:t>
      </w:r>
      <w:r w:rsidR="006658DD" w:rsidRPr="00120FA6">
        <w:rPr>
          <w:rFonts w:eastAsia="Minion-Regular" w:cs="Minion-Regular"/>
          <w:szCs w:val="22"/>
        </w:rPr>
        <w:t xml:space="preserve">adults </w:t>
      </w:r>
      <w:r w:rsidRPr="00120FA6">
        <w:rPr>
          <w:rFonts w:eastAsia="Minion-Regular" w:cs="Minion-Regular"/>
          <w:szCs w:val="22"/>
        </w:rPr>
        <w:t>(</w:t>
      </w:r>
      <w:r w:rsidRPr="00120FA6">
        <w:rPr>
          <w:rFonts w:eastAsia="Minion-Regular" w:cs="Minion-Regular"/>
          <w:i/>
          <w:szCs w:val="22"/>
        </w:rPr>
        <w:t>Arhopalus ferus</w:t>
      </w:r>
      <w:r w:rsidRPr="00120FA6">
        <w:rPr>
          <w:rFonts w:eastAsia="Minion-Regular" w:cs="Minion-Regular"/>
          <w:szCs w:val="22"/>
        </w:rPr>
        <w:t xml:space="preserve">) using a range of </w:t>
      </w:r>
      <w:r w:rsidR="006658DD">
        <w:rPr>
          <w:rFonts w:eastAsia="Minion-Regular" w:cs="Minion-Regular"/>
          <w:szCs w:val="22"/>
        </w:rPr>
        <w:t>EDN</w:t>
      </w:r>
      <w:r w:rsidRPr="00120FA6">
        <w:rPr>
          <w:rFonts w:eastAsia="Minion-Regular" w:cs="Minion-Regular"/>
          <w:szCs w:val="22"/>
        </w:rPr>
        <w:t xml:space="preserve"> concentrations. The LD99 for adults after a 3 h exposure at 15°C was 12.6 g/m3. The results demonstrate that </w:t>
      </w:r>
      <w:r w:rsidR="006658DD">
        <w:rPr>
          <w:rFonts w:eastAsia="Minion-Regular" w:cs="Minion-Regular"/>
          <w:szCs w:val="22"/>
        </w:rPr>
        <w:t>EDN</w:t>
      </w:r>
      <w:r w:rsidRPr="00120FA6">
        <w:rPr>
          <w:rFonts w:eastAsia="Minion-Regular" w:cs="Minion-Regular"/>
          <w:szCs w:val="22"/>
        </w:rPr>
        <w:t xml:space="preserve"> is a potential phytosanitary alternative to methyl bromide for disinfesting burnt pine longhorn adults from sawn timber exported from New Zealand.</w:t>
      </w:r>
    </w:p>
    <w:p w14:paraId="663D9EEB" w14:textId="77777777" w:rsidR="00F73340" w:rsidRPr="00120FA6" w:rsidRDefault="00F73340" w:rsidP="00A140B1">
      <w:pPr>
        <w:autoSpaceDE w:val="0"/>
        <w:autoSpaceDN w:val="0"/>
        <w:adjustRightInd w:val="0"/>
        <w:spacing w:after="0"/>
        <w:rPr>
          <w:rFonts w:eastAsia="Minion-Regular" w:cs="Minion-Regular"/>
          <w:szCs w:val="22"/>
        </w:rPr>
      </w:pPr>
    </w:p>
    <w:p w14:paraId="65068FA3" w14:textId="460E1488" w:rsidR="00F73340" w:rsidRPr="00120FA6" w:rsidRDefault="00D732CA" w:rsidP="00A140B1">
      <w:pPr>
        <w:autoSpaceDE w:val="0"/>
        <w:autoSpaceDN w:val="0"/>
        <w:adjustRightInd w:val="0"/>
        <w:spacing w:after="0"/>
        <w:rPr>
          <w:rFonts w:eastAsia="Minion-Regular" w:cs="Minion-Regular"/>
          <w:szCs w:val="22"/>
        </w:rPr>
      </w:pPr>
      <w:r>
        <w:rPr>
          <w:rFonts w:eastAsia="Minion-Regular" w:cs="Minion-Regular"/>
          <w:szCs w:val="22"/>
        </w:rPr>
        <w:t>In Japan</w:t>
      </w:r>
      <w:r w:rsidR="00F73340" w:rsidRPr="00120FA6">
        <w:rPr>
          <w:rFonts w:eastAsia="Minion-Regular" w:cs="Minion-Regular"/>
          <w:szCs w:val="22"/>
        </w:rPr>
        <w:t xml:space="preserve"> the pinewood nematode </w:t>
      </w:r>
      <w:r w:rsidR="00F73340" w:rsidRPr="00120FA6">
        <w:rPr>
          <w:rFonts w:eastAsia="Minion-Regular" w:cs="Minion-Regular"/>
          <w:i/>
          <w:szCs w:val="22"/>
        </w:rPr>
        <w:t>B</w:t>
      </w:r>
      <w:r>
        <w:rPr>
          <w:rFonts w:eastAsia="Minion-Regular" w:cs="Minion-Regular"/>
          <w:i/>
          <w:szCs w:val="22"/>
        </w:rPr>
        <w:t>.</w:t>
      </w:r>
      <w:r w:rsidR="00F73340" w:rsidRPr="00120FA6">
        <w:rPr>
          <w:rFonts w:eastAsia="Minion-Regular" w:cs="Minion-Regular"/>
          <w:i/>
          <w:szCs w:val="22"/>
        </w:rPr>
        <w:t xml:space="preserve"> xylophilus</w:t>
      </w:r>
      <w:r w:rsidR="00F73340" w:rsidRPr="00120FA6">
        <w:rPr>
          <w:rFonts w:eastAsia="Minion-Regular" w:cs="Minion-Regular"/>
          <w:szCs w:val="22"/>
        </w:rPr>
        <w:t xml:space="preserve"> is a quarantine pest often associated with beetles of the genus </w:t>
      </w:r>
      <w:r w:rsidR="00F73340" w:rsidRPr="00120FA6">
        <w:rPr>
          <w:rFonts w:eastAsia="Minion-Regular" w:cs="Minion-Regular"/>
          <w:i/>
          <w:szCs w:val="22"/>
        </w:rPr>
        <w:t>Monochamus</w:t>
      </w:r>
      <w:r w:rsidR="00F73340" w:rsidRPr="00120FA6">
        <w:rPr>
          <w:rFonts w:eastAsia="Minion-Regular" w:cs="Minion-Regular"/>
          <w:szCs w:val="22"/>
        </w:rPr>
        <w:t xml:space="preserve"> (pine sawyers) particularly </w:t>
      </w:r>
      <w:r w:rsidR="00F73340" w:rsidRPr="00120FA6">
        <w:rPr>
          <w:rFonts w:eastAsia="Minion-Regular" w:cs="Minion-Regular"/>
          <w:i/>
          <w:szCs w:val="22"/>
        </w:rPr>
        <w:t>Monochamus alternatus</w:t>
      </w:r>
      <w:r w:rsidR="00F73340" w:rsidRPr="00120FA6">
        <w:rPr>
          <w:rFonts w:eastAsia="Minion-Regular" w:cs="Minion-Regular"/>
          <w:szCs w:val="22"/>
        </w:rPr>
        <w:t xml:space="preserve">, which can disperse the nematodes to long distances causing widespread losses in pine forests. Park </w:t>
      </w:r>
      <w:r w:rsidR="00F73340" w:rsidRPr="00120FA6">
        <w:rPr>
          <w:rFonts w:eastAsia="Minion-Regular" w:cs="Minion-Regular"/>
          <w:i/>
          <w:szCs w:val="22"/>
        </w:rPr>
        <w:t>et al</w:t>
      </w:r>
      <w:r w:rsidR="00F73340" w:rsidRPr="00120FA6">
        <w:rPr>
          <w:rFonts w:eastAsia="Minion-Regular" w:cs="Minion-Regular"/>
          <w:szCs w:val="22"/>
        </w:rPr>
        <w:t xml:space="preserve">. (2014) conducted two fumigation trials on logs naturally infested with </w:t>
      </w:r>
      <w:r w:rsidR="00F73340" w:rsidRPr="00120FA6">
        <w:rPr>
          <w:rFonts w:eastAsia="Minion-Regular" w:cs="Minion-Regular"/>
          <w:i/>
          <w:szCs w:val="22"/>
        </w:rPr>
        <w:t>M. alternatus</w:t>
      </w:r>
      <w:r w:rsidR="00F73340" w:rsidRPr="00120FA6">
        <w:rPr>
          <w:rFonts w:eastAsia="Minion-Regular" w:cs="Minion-Regular"/>
          <w:szCs w:val="22"/>
        </w:rPr>
        <w:t xml:space="preserve"> and </w:t>
      </w:r>
      <w:r w:rsidR="00F73340" w:rsidRPr="00120FA6">
        <w:rPr>
          <w:rFonts w:eastAsia="Minion-Regular" w:cs="Minion-Regular"/>
          <w:i/>
          <w:szCs w:val="22"/>
        </w:rPr>
        <w:t>B. xylophilus</w:t>
      </w:r>
      <w:r w:rsidR="00F73340" w:rsidRPr="00120FA6">
        <w:rPr>
          <w:rFonts w:eastAsia="Minion-Regular" w:cs="Minion-Regular"/>
          <w:szCs w:val="22"/>
        </w:rPr>
        <w:t>. The logs were treated with EDN at low temperature (-7-25.7°C and -3.7-23.1°C) for 3 days in winter and early spring. Results suggest that 97 g/m</w:t>
      </w:r>
      <w:r w:rsidR="00F73340" w:rsidRPr="00120FA6">
        <w:rPr>
          <w:rFonts w:eastAsia="Minion-Regular" w:cs="Minion-Regular"/>
          <w:szCs w:val="22"/>
          <w:vertAlign w:val="superscript"/>
        </w:rPr>
        <w:t>3</w:t>
      </w:r>
      <w:r w:rsidR="00F73340" w:rsidRPr="00120FA6">
        <w:rPr>
          <w:rFonts w:eastAsia="Minion-Regular" w:cs="Minion-Regular"/>
          <w:szCs w:val="22"/>
        </w:rPr>
        <w:t xml:space="preserve"> of EDN gives complete control of </w:t>
      </w:r>
      <w:r w:rsidR="00F73340" w:rsidRPr="00120FA6">
        <w:rPr>
          <w:rFonts w:eastAsia="Minion-Regular" w:cs="Minion-Regular"/>
          <w:i/>
          <w:szCs w:val="22"/>
        </w:rPr>
        <w:t>M. alternatus</w:t>
      </w:r>
      <w:r w:rsidR="00F73340" w:rsidRPr="00120FA6">
        <w:rPr>
          <w:rFonts w:eastAsia="Minion-Regular" w:cs="Minion-Regular"/>
          <w:szCs w:val="22"/>
        </w:rPr>
        <w:t xml:space="preserve"> in pine wood and </w:t>
      </w:r>
      <w:proofErr w:type="gramStart"/>
      <w:r w:rsidR="00F73340" w:rsidRPr="00120FA6">
        <w:rPr>
          <w:rFonts w:eastAsia="Minion-Regular" w:cs="Minion-Regular"/>
          <w:szCs w:val="22"/>
        </w:rPr>
        <w:t>that dosages</w:t>
      </w:r>
      <w:proofErr w:type="gramEnd"/>
      <w:r w:rsidR="00F73340" w:rsidRPr="00120FA6">
        <w:rPr>
          <w:rFonts w:eastAsia="Minion-Regular" w:cs="Minion-Regular"/>
          <w:szCs w:val="22"/>
        </w:rPr>
        <w:t xml:space="preserve"> above 158 g/m</w:t>
      </w:r>
      <w:r w:rsidR="00F73340" w:rsidRPr="00120FA6">
        <w:rPr>
          <w:rFonts w:eastAsia="Minion-Regular" w:cs="Minion-Regular"/>
          <w:szCs w:val="22"/>
          <w:vertAlign w:val="superscript"/>
        </w:rPr>
        <w:t>3</w:t>
      </w:r>
      <w:r w:rsidR="00F73340" w:rsidRPr="00120FA6">
        <w:rPr>
          <w:rFonts w:eastAsia="Minion-Regular" w:cs="Minion-Regular"/>
          <w:szCs w:val="22"/>
        </w:rPr>
        <w:t xml:space="preserve"> are required for eradication of </w:t>
      </w:r>
      <w:r w:rsidR="00F73340" w:rsidRPr="00120FA6">
        <w:rPr>
          <w:rFonts w:eastAsia="Minion-Regular" w:cs="Minion-Regular"/>
          <w:i/>
          <w:szCs w:val="22"/>
        </w:rPr>
        <w:t>B. xylophilus</w:t>
      </w:r>
      <w:r w:rsidR="00F73340" w:rsidRPr="00120FA6">
        <w:rPr>
          <w:rFonts w:eastAsia="Minion-Regular" w:cs="Minion-Regular"/>
          <w:szCs w:val="22"/>
        </w:rPr>
        <w:t xml:space="preserve"> at low temperature fumigation. </w:t>
      </w:r>
    </w:p>
    <w:p w14:paraId="47C15122" w14:textId="77777777" w:rsidR="00F73340" w:rsidRPr="00120FA6" w:rsidRDefault="00F73340" w:rsidP="00A140B1">
      <w:pPr>
        <w:autoSpaceDE w:val="0"/>
        <w:autoSpaceDN w:val="0"/>
        <w:adjustRightInd w:val="0"/>
        <w:spacing w:after="0"/>
        <w:rPr>
          <w:rFonts w:eastAsia="Minion-Regular" w:cs="Minion-Regular"/>
          <w:szCs w:val="22"/>
        </w:rPr>
      </w:pPr>
    </w:p>
    <w:p w14:paraId="5E5254ED" w14:textId="37AAFAD3" w:rsidR="00F73340" w:rsidRPr="00120FA6" w:rsidRDefault="00F73340" w:rsidP="00A140B1">
      <w:pPr>
        <w:autoSpaceDE w:val="0"/>
        <w:autoSpaceDN w:val="0"/>
        <w:adjustRightInd w:val="0"/>
        <w:spacing w:after="0"/>
        <w:rPr>
          <w:rFonts w:eastAsia="Minion-Regular" w:cs="Minion-Regular"/>
          <w:szCs w:val="22"/>
        </w:rPr>
      </w:pPr>
      <w:r w:rsidRPr="00120FA6">
        <w:rPr>
          <w:rFonts w:eastAsia="Minion-Regular" w:cs="Minion-Regular"/>
          <w:szCs w:val="22"/>
        </w:rPr>
        <w:t xml:space="preserve">Bong-Su </w:t>
      </w:r>
      <w:r w:rsidRPr="00120FA6">
        <w:rPr>
          <w:rFonts w:eastAsia="Minion-Regular" w:cs="Minion-Regular"/>
          <w:i/>
          <w:szCs w:val="22"/>
        </w:rPr>
        <w:t>et al</w:t>
      </w:r>
      <w:r w:rsidRPr="00120FA6">
        <w:rPr>
          <w:rFonts w:eastAsia="Minion-Regular" w:cs="Minion-Regular"/>
          <w:szCs w:val="22"/>
        </w:rPr>
        <w:t>. (2015) verified the efficacy of EDN under different temperature conditions (5, 5-15, &gt;15</w:t>
      </w:r>
      <w:r w:rsidRPr="00120FA6">
        <w:rPr>
          <w:rFonts w:ascii="Cambria Math" w:eastAsia="Minion-Regular" w:hAnsi="Cambria Math" w:cs="Cambria Math"/>
          <w:szCs w:val="22"/>
        </w:rPr>
        <w:t>℃</w:t>
      </w:r>
      <w:r w:rsidRPr="00120FA6">
        <w:rPr>
          <w:rFonts w:eastAsia="Minion-Regular" w:cs="Minion-Regular"/>
          <w:szCs w:val="22"/>
        </w:rPr>
        <w:t>) and monitored its TLV (Threshold limited value) post-fumigation for worker safety.  Fumigation doses of 30, 40 and 50 g/m</w:t>
      </w:r>
      <w:r w:rsidRPr="00120FA6">
        <w:rPr>
          <w:rFonts w:eastAsia="Minion-Regular" w:cs="Minion-Regular"/>
          <w:szCs w:val="22"/>
          <w:vertAlign w:val="superscript"/>
        </w:rPr>
        <w:t>3</w:t>
      </w:r>
      <w:r w:rsidRPr="00120FA6">
        <w:rPr>
          <w:rFonts w:eastAsia="Minion-Regular" w:cs="Minion-Regular"/>
          <w:szCs w:val="22"/>
        </w:rPr>
        <w:t xml:space="preserve"> for 24hr for controlling ordinary pests of wood such as Japanese termite (</w:t>
      </w:r>
      <w:r w:rsidRPr="00120FA6">
        <w:rPr>
          <w:rFonts w:eastAsia="Minion-Regular" w:cs="Minion-Regular"/>
          <w:i/>
          <w:szCs w:val="22"/>
        </w:rPr>
        <w:t>Reticulitermes speratus</w:t>
      </w:r>
      <w:r w:rsidRPr="00120FA6">
        <w:rPr>
          <w:rFonts w:eastAsia="Minion-Regular" w:cs="Minion-Regular"/>
          <w:szCs w:val="22"/>
        </w:rPr>
        <w:t>) and bark beetle (</w:t>
      </w:r>
      <w:r w:rsidRPr="00120FA6">
        <w:rPr>
          <w:rFonts w:eastAsia="Minion-Regular" w:cs="Minion-Regular"/>
          <w:i/>
          <w:szCs w:val="22"/>
        </w:rPr>
        <w:t>Cryphalus fulvus</w:t>
      </w:r>
      <w:r w:rsidRPr="00120FA6">
        <w:rPr>
          <w:rFonts w:eastAsia="Minion-Regular" w:cs="Minion-Regular"/>
          <w:szCs w:val="22"/>
        </w:rPr>
        <w:t>), showed &gt;99% efficacy at 5, 5-15 and &gt;15</w:t>
      </w:r>
      <w:r w:rsidRPr="00120FA6">
        <w:rPr>
          <w:rFonts w:ascii="Cambria Math" w:eastAsia="Minion-Regular" w:hAnsi="Cambria Math" w:cs="Cambria Math"/>
          <w:szCs w:val="22"/>
        </w:rPr>
        <w:t>℃</w:t>
      </w:r>
      <w:r w:rsidRPr="00120FA6">
        <w:rPr>
          <w:rFonts w:eastAsia="Minion-Regular" w:cs="Minion-Regular"/>
          <w:szCs w:val="22"/>
        </w:rPr>
        <w:t>, respectively. Doses of 100, 120 and 150 g/m</w:t>
      </w:r>
      <w:r w:rsidRPr="00120FA6">
        <w:rPr>
          <w:rFonts w:eastAsia="Minion-Regular" w:cs="Minion-Regular"/>
          <w:szCs w:val="22"/>
          <w:vertAlign w:val="superscript"/>
        </w:rPr>
        <w:t>3</w:t>
      </w:r>
      <w:r w:rsidRPr="00120FA6">
        <w:rPr>
          <w:rFonts w:eastAsia="Minion-Regular" w:cs="Minion-Regular"/>
          <w:szCs w:val="22"/>
        </w:rPr>
        <w:t xml:space="preserve"> for 24 hr were also successful in achieving the required efficacy at 5, 5-15, &gt;15</w:t>
      </w:r>
      <w:r w:rsidRPr="00120FA6">
        <w:rPr>
          <w:rFonts w:ascii="Cambria Math" w:eastAsia="Minion-Regular" w:hAnsi="Cambria Math" w:cs="Cambria Math"/>
          <w:szCs w:val="22"/>
        </w:rPr>
        <w:t>℃</w:t>
      </w:r>
      <w:r w:rsidRPr="00120FA6">
        <w:rPr>
          <w:rFonts w:eastAsia="Minion-Regular" w:cs="Minion-Regular"/>
          <w:szCs w:val="22"/>
        </w:rPr>
        <w:t>, respectively, meeting quarantine guidelines for wood related pests such as the Japanese pine sawyer (</w:t>
      </w:r>
      <w:r w:rsidRPr="00120FA6">
        <w:rPr>
          <w:rFonts w:eastAsia="Minion-Regular" w:cs="Minion-Regular"/>
          <w:i/>
          <w:szCs w:val="22"/>
        </w:rPr>
        <w:t>Monochamus alternatus</w:t>
      </w:r>
      <w:r w:rsidRPr="00120FA6">
        <w:rPr>
          <w:rFonts w:eastAsia="Minion-Regular" w:cs="Minion-Regular"/>
          <w:szCs w:val="22"/>
        </w:rPr>
        <w:t>) and the pine wood nematode (</w:t>
      </w:r>
      <w:r w:rsidRPr="00120FA6">
        <w:rPr>
          <w:rFonts w:eastAsia="Minion-Regular" w:cs="Minion-Regular"/>
          <w:i/>
          <w:szCs w:val="22"/>
        </w:rPr>
        <w:t>B</w:t>
      </w:r>
      <w:r w:rsidR="00D732CA">
        <w:rPr>
          <w:rFonts w:eastAsia="Minion-Regular" w:cs="Minion-Regular"/>
          <w:i/>
          <w:szCs w:val="22"/>
        </w:rPr>
        <w:t>.</w:t>
      </w:r>
      <w:r w:rsidRPr="00120FA6">
        <w:rPr>
          <w:rFonts w:eastAsia="Minion-Regular" w:cs="Minion-Regular"/>
          <w:i/>
          <w:szCs w:val="22"/>
        </w:rPr>
        <w:t xml:space="preserve"> xylophilus</w:t>
      </w:r>
      <w:r w:rsidRPr="00120FA6">
        <w:rPr>
          <w:rFonts w:eastAsia="Minion-Regular" w:cs="Minion-Regular"/>
          <w:szCs w:val="22"/>
        </w:rPr>
        <w:t>). Recommended ventilation times with atmospheric conditions at ports were &gt; 1 and &gt; 2 hr under fully uncovered and partially uncovered tent conditions, respectively.</w:t>
      </w:r>
    </w:p>
    <w:p w14:paraId="1790DE31" w14:textId="35FFE69C" w:rsidR="00F73340" w:rsidRDefault="00F73340" w:rsidP="00413E4A">
      <w:pPr>
        <w:pStyle w:val="Heading3"/>
      </w:pPr>
      <w:bookmarkStart w:id="111" w:name="_Toc484164346"/>
      <w:r>
        <w:t>4.</w:t>
      </w:r>
      <w:r w:rsidR="00FB50B1">
        <w:t>3</w:t>
      </w:r>
      <w:r>
        <w:t>.4.</w:t>
      </w:r>
      <w:r>
        <w:tab/>
        <w:t>Other issues</w:t>
      </w:r>
      <w:bookmarkEnd w:id="111"/>
    </w:p>
    <w:p w14:paraId="2BA8CC54" w14:textId="474F9958" w:rsidR="00F73340" w:rsidRPr="00493C82" w:rsidRDefault="00F73340" w:rsidP="00413E4A">
      <w:pPr>
        <w:pStyle w:val="Heading4"/>
      </w:pPr>
      <w:bookmarkStart w:id="112" w:name="_Toc483916019"/>
      <w:r>
        <w:t>4.</w:t>
      </w:r>
      <w:r w:rsidR="00FB50B1">
        <w:t>3</w:t>
      </w:r>
      <w:r>
        <w:t>.4.1.</w:t>
      </w:r>
      <w:r>
        <w:tab/>
        <w:t>Progress in reducing MB consumption for QPS in Japan</w:t>
      </w:r>
      <w:bookmarkEnd w:id="112"/>
    </w:p>
    <w:p w14:paraId="05B373C8" w14:textId="4AAE3877" w:rsidR="00F73340" w:rsidRPr="00120FA6" w:rsidRDefault="00F73340" w:rsidP="00A140B1">
      <w:pPr>
        <w:rPr>
          <w:szCs w:val="22"/>
        </w:rPr>
      </w:pPr>
      <w:r w:rsidRPr="00120FA6">
        <w:rPr>
          <w:szCs w:val="22"/>
        </w:rPr>
        <w:t xml:space="preserve">Japan is a large importer of grain (e.g. wheat, maize, </w:t>
      </w:r>
      <w:proofErr w:type="gramStart"/>
      <w:r w:rsidRPr="00120FA6">
        <w:rPr>
          <w:szCs w:val="22"/>
        </w:rPr>
        <w:t>soybean</w:t>
      </w:r>
      <w:proofErr w:type="gramEnd"/>
      <w:r w:rsidRPr="00120FA6">
        <w:rPr>
          <w:szCs w:val="22"/>
        </w:rPr>
        <w:t>), edible oil and foodstuffs from many countries. Whenever l</w:t>
      </w:r>
      <w:r w:rsidR="006658DD">
        <w:rPr>
          <w:szCs w:val="22"/>
        </w:rPr>
        <w:t>ive specimens of granary weevil</w:t>
      </w:r>
      <w:r w:rsidRPr="00120FA6">
        <w:rPr>
          <w:szCs w:val="22"/>
        </w:rPr>
        <w:t xml:space="preserve"> </w:t>
      </w:r>
      <w:r w:rsidR="006658DD">
        <w:rPr>
          <w:szCs w:val="22"/>
        </w:rPr>
        <w:t>(</w:t>
      </w:r>
      <w:r w:rsidRPr="00120FA6">
        <w:rPr>
          <w:i/>
          <w:szCs w:val="22"/>
        </w:rPr>
        <w:t xml:space="preserve">Sitophilus </w:t>
      </w:r>
      <w:r w:rsidR="006658DD">
        <w:rPr>
          <w:i/>
          <w:szCs w:val="22"/>
        </w:rPr>
        <w:t>granarius)</w:t>
      </w:r>
      <w:r w:rsidRPr="00120FA6">
        <w:rPr>
          <w:szCs w:val="22"/>
        </w:rPr>
        <w:t xml:space="preserve"> are detected, consignments are fumigated with MB</w:t>
      </w:r>
      <w:r w:rsidR="006658DD">
        <w:rPr>
          <w:szCs w:val="22"/>
        </w:rPr>
        <w:t xml:space="preserve"> as this is</w:t>
      </w:r>
      <w:r w:rsidRPr="00120FA6">
        <w:rPr>
          <w:szCs w:val="22"/>
        </w:rPr>
        <w:t xml:space="preserve"> the only fumigant specified for such events in Japanese import plant quarantine regulations. Fumigation with phosphine is not permitted</w:t>
      </w:r>
      <w:r w:rsidR="006658DD">
        <w:rPr>
          <w:szCs w:val="22"/>
        </w:rPr>
        <w:t>,</w:t>
      </w:r>
      <w:r w:rsidRPr="00120FA6">
        <w:rPr>
          <w:i/>
          <w:szCs w:val="22"/>
        </w:rPr>
        <w:t xml:space="preserve"> </w:t>
      </w:r>
      <w:r w:rsidR="006658DD">
        <w:rPr>
          <w:szCs w:val="22"/>
        </w:rPr>
        <w:t>as</w:t>
      </w:r>
      <w:r w:rsidRPr="00120FA6">
        <w:rPr>
          <w:szCs w:val="22"/>
        </w:rPr>
        <w:t xml:space="preserve"> its efficacy against pupal stages of </w:t>
      </w:r>
      <w:r w:rsidRPr="00120FA6">
        <w:rPr>
          <w:i/>
          <w:szCs w:val="22"/>
        </w:rPr>
        <w:t>Sitophilus</w:t>
      </w:r>
      <w:r w:rsidRPr="00120FA6">
        <w:rPr>
          <w:szCs w:val="22"/>
        </w:rPr>
        <w:t xml:space="preserve"> spp</w:t>
      </w:r>
      <w:r w:rsidR="006658DD">
        <w:rPr>
          <w:szCs w:val="22"/>
        </w:rPr>
        <w:t xml:space="preserve"> is low</w:t>
      </w:r>
      <w:r w:rsidRPr="00120FA6">
        <w:rPr>
          <w:szCs w:val="22"/>
        </w:rPr>
        <w:t xml:space="preserve"> (Mori and Kawamoto, 1966). </w:t>
      </w:r>
      <w:r w:rsidR="006658DD">
        <w:rPr>
          <w:szCs w:val="22"/>
        </w:rPr>
        <w:t>R</w:t>
      </w:r>
      <w:r w:rsidRPr="00120FA6">
        <w:rPr>
          <w:szCs w:val="22"/>
        </w:rPr>
        <w:t xml:space="preserve">esearch aimed at reducing </w:t>
      </w:r>
      <w:r w:rsidR="006658DD">
        <w:rPr>
          <w:szCs w:val="22"/>
        </w:rPr>
        <w:t xml:space="preserve">MB use for this </w:t>
      </w:r>
      <w:r w:rsidRPr="00120FA6">
        <w:rPr>
          <w:szCs w:val="22"/>
        </w:rPr>
        <w:t xml:space="preserve">QPS </w:t>
      </w:r>
      <w:r w:rsidR="006658DD">
        <w:rPr>
          <w:szCs w:val="22"/>
        </w:rPr>
        <w:t>application is</w:t>
      </w:r>
      <w:r w:rsidRPr="00120FA6">
        <w:rPr>
          <w:szCs w:val="22"/>
        </w:rPr>
        <w:t xml:space="preserve"> described below.</w:t>
      </w:r>
    </w:p>
    <w:p w14:paraId="506D7B26" w14:textId="7841E2E3" w:rsidR="00F73340" w:rsidRPr="00120FA6" w:rsidRDefault="00F73340" w:rsidP="00A140B1">
      <w:pPr>
        <w:rPr>
          <w:szCs w:val="22"/>
        </w:rPr>
      </w:pPr>
      <w:r w:rsidRPr="00120FA6">
        <w:rPr>
          <w:szCs w:val="22"/>
        </w:rPr>
        <w:t xml:space="preserve">Ishige </w:t>
      </w:r>
      <w:r w:rsidRPr="00120FA6">
        <w:rPr>
          <w:i/>
          <w:szCs w:val="22"/>
        </w:rPr>
        <w:t>et al</w:t>
      </w:r>
      <w:r w:rsidRPr="00120FA6">
        <w:rPr>
          <w:szCs w:val="22"/>
        </w:rPr>
        <w:t xml:space="preserve">. (2017) </w:t>
      </w:r>
      <w:r w:rsidR="006658DD">
        <w:rPr>
          <w:szCs w:val="22"/>
        </w:rPr>
        <w:t xml:space="preserve">have </w:t>
      </w:r>
      <w:r w:rsidRPr="00120FA6">
        <w:rPr>
          <w:szCs w:val="22"/>
        </w:rPr>
        <w:t>worked on a phosphine fumigation standard</w:t>
      </w:r>
      <w:r w:rsidR="006658DD">
        <w:rPr>
          <w:szCs w:val="22"/>
        </w:rPr>
        <w:t xml:space="preserve"> to</w:t>
      </w:r>
      <w:r w:rsidRPr="00120FA6">
        <w:rPr>
          <w:szCs w:val="22"/>
        </w:rPr>
        <w:t xml:space="preserve"> kill</w:t>
      </w:r>
      <w:r w:rsidRPr="00120FA6">
        <w:rPr>
          <w:i/>
          <w:szCs w:val="22"/>
        </w:rPr>
        <w:t xml:space="preserve"> S. granari</w:t>
      </w:r>
      <w:r w:rsidR="006658DD">
        <w:rPr>
          <w:i/>
          <w:szCs w:val="22"/>
        </w:rPr>
        <w:t>u</w:t>
      </w:r>
      <w:proofErr w:type="gramStart"/>
      <w:r w:rsidR="006658DD">
        <w:rPr>
          <w:i/>
          <w:szCs w:val="22"/>
        </w:rPr>
        <w:t>,</w:t>
      </w:r>
      <w:r w:rsidRPr="00120FA6">
        <w:rPr>
          <w:i/>
          <w:szCs w:val="22"/>
        </w:rPr>
        <w:t>s</w:t>
      </w:r>
      <w:proofErr w:type="gramEnd"/>
      <w:r w:rsidRPr="00120FA6">
        <w:rPr>
          <w:szCs w:val="22"/>
        </w:rPr>
        <w:t xml:space="preserve"> </w:t>
      </w:r>
      <w:r w:rsidR="006658DD">
        <w:rPr>
          <w:szCs w:val="22"/>
        </w:rPr>
        <w:t>which considers</w:t>
      </w:r>
      <w:r w:rsidRPr="00120FA6">
        <w:rPr>
          <w:szCs w:val="22"/>
        </w:rPr>
        <w:t xml:space="preserve"> treatment conditions</w:t>
      </w:r>
      <w:r w:rsidR="006658DD">
        <w:rPr>
          <w:szCs w:val="22"/>
        </w:rPr>
        <w:t>,</w:t>
      </w:r>
      <w:r w:rsidRPr="00120FA6">
        <w:rPr>
          <w:szCs w:val="22"/>
        </w:rPr>
        <w:t xml:space="preserve"> sorption </w:t>
      </w:r>
      <w:r w:rsidR="006658DD">
        <w:rPr>
          <w:szCs w:val="22"/>
        </w:rPr>
        <w:t>onto</w:t>
      </w:r>
      <w:r w:rsidRPr="00120FA6">
        <w:rPr>
          <w:szCs w:val="22"/>
        </w:rPr>
        <w:t xml:space="preserve"> stored grains and preliminary mortality tests, </w:t>
      </w:r>
      <w:r w:rsidR="006658DD">
        <w:rPr>
          <w:szCs w:val="22"/>
        </w:rPr>
        <w:t>in order to establish</w:t>
      </w:r>
      <w:r w:rsidRPr="00120FA6">
        <w:rPr>
          <w:szCs w:val="22"/>
        </w:rPr>
        <w:t xml:space="preserve"> </w:t>
      </w:r>
      <w:r w:rsidR="006658DD">
        <w:rPr>
          <w:szCs w:val="22"/>
        </w:rPr>
        <w:t xml:space="preserve">a </w:t>
      </w:r>
      <w:r w:rsidRPr="00120FA6">
        <w:rPr>
          <w:szCs w:val="22"/>
        </w:rPr>
        <w:t>treatment schedule</w:t>
      </w:r>
      <w:r w:rsidRPr="00120FA6">
        <w:rPr>
          <w:rFonts w:ascii="Verdana" w:hAnsi="Verdana"/>
          <w:szCs w:val="22"/>
        </w:rPr>
        <w:t>.</w:t>
      </w:r>
      <w:r w:rsidRPr="002F5665">
        <w:rPr>
          <w:rFonts w:ascii="Verdana" w:hAnsi="Verdana"/>
          <w:szCs w:val="22"/>
        </w:rPr>
        <w:t xml:space="preserve"> </w:t>
      </w:r>
      <w:r w:rsidRPr="00120FA6">
        <w:rPr>
          <w:szCs w:val="22"/>
        </w:rPr>
        <w:t xml:space="preserve">Mortality tests showed complete kill of </w:t>
      </w:r>
      <w:r w:rsidRPr="00120FA6">
        <w:rPr>
          <w:i/>
          <w:szCs w:val="22"/>
        </w:rPr>
        <w:t>S. granarius</w:t>
      </w:r>
      <w:r w:rsidRPr="00120FA6">
        <w:rPr>
          <w:szCs w:val="22"/>
        </w:rPr>
        <w:t xml:space="preserve"> at a dose of 2.0 mg/l with a loading factor of 0.5 kg/l or below for 24 days at 10–15C, for 16 days at 15–20C, for 7 days at 20–25C and for 5 days at 25–35C. Negative effects </w:t>
      </w:r>
      <w:r w:rsidR="006658DD">
        <w:rPr>
          <w:szCs w:val="22"/>
        </w:rPr>
        <w:t xml:space="preserve">were stringently assessed but </w:t>
      </w:r>
      <w:r w:rsidRPr="00120FA6">
        <w:rPr>
          <w:szCs w:val="22"/>
        </w:rPr>
        <w:t>not found.</w:t>
      </w:r>
    </w:p>
    <w:p w14:paraId="131A4330" w14:textId="5E37A90D" w:rsidR="00F73340" w:rsidRPr="00120FA6" w:rsidRDefault="00F73340" w:rsidP="00A140B1">
      <w:pPr>
        <w:rPr>
          <w:szCs w:val="22"/>
        </w:rPr>
      </w:pPr>
      <w:r w:rsidRPr="00120FA6">
        <w:rPr>
          <w:szCs w:val="22"/>
        </w:rPr>
        <w:t xml:space="preserve">Nishizaki </w:t>
      </w:r>
      <w:r w:rsidRPr="00120FA6">
        <w:rPr>
          <w:i/>
          <w:szCs w:val="22"/>
        </w:rPr>
        <w:t>et al</w:t>
      </w:r>
      <w:r w:rsidRPr="00120FA6">
        <w:rPr>
          <w:szCs w:val="22"/>
        </w:rPr>
        <w:t xml:space="preserve">. (2016) </w:t>
      </w:r>
      <w:r w:rsidR="006658DD">
        <w:rPr>
          <w:szCs w:val="22"/>
        </w:rPr>
        <w:t>studied the survival</w:t>
      </w:r>
      <w:r w:rsidRPr="00120FA6">
        <w:rPr>
          <w:szCs w:val="22"/>
        </w:rPr>
        <w:t xml:space="preserve"> of </w:t>
      </w:r>
      <w:r w:rsidRPr="00120FA6">
        <w:rPr>
          <w:i/>
          <w:szCs w:val="22"/>
        </w:rPr>
        <w:t>S. granarius</w:t>
      </w:r>
      <w:r w:rsidRPr="00120FA6">
        <w:rPr>
          <w:szCs w:val="22"/>
        </w:rPr>
        <w:t xml:space="preserve"> on grain and beans when using phosphine. T</w:t>
      </w:r>
      <w:r w:rsidR="006658DD">
        <w:rPr>
          <w:szCs w:val="22"/>
        </w:rPr>
        <w:t xml:space="preserve">welve </w:t>
      </w:r>
      <w:r w:rsidRPr="00120FA6">
        <w:rPr>
          <w:szCs w:val="22"/>
        </w:rPr>
        <w:t>different products</w:t>
      </w:r>
      <w:r w:rsidR="006658DD">
        <w:rPr>
          <w:szCs w:val="22"/>
        </w:rPr>
        <w:t xml:space="preserve"> were </w:t>
      </w:r>
      <w:r w:rsidR="008209F6">
        <w:rPr>
          <w:szCs w:val="22"/>
        </w:rPr>
        <w:t>examined</w:t>
      </w:r>
      <w:r w:rsidRPr="00120FA6">
        <w:rPr>
          <w:szCs w:val="22"/>
        </w:rPr>
        <w:t xml:space="preserve"> (corncob meal, corn gluten feed, cotton-seed, flax-seed, rapeseed, rapeseed meal, safflower seed, sesame seed, sorghum, soybean, soybean meal and wheat-bran pellets) and</w:t>
      </w:r>
      <w:r w:rsidR="008209F6">
        <w:rPr>
          <w:szCs w:val="22"/>
        </w:rPr>
        <w:t xml:space="preserve"> it was</w:t>
      </w:r>
      <w:r w:rsidRPr="00120FA6">
        <w:rPr>
          <w:szCs w:val="22"/>
        </w:rPr>
        <w:t xml:space="preserve"> found that a new generation of adults occurred in wheat-bran pellets and sorghum, but not in the other materials. The pest also survived in impurities from corncob meal, flax seed and safflower seed. The study further showed that in a single generation, adult </w:t>
      </w:r>
      <w:r w:rsidRPr="00120FA6">
        <w:rPr>
          <w:i/>
          <w:szCs w:val="22"/>
        </w:rPr>
        <w:t>S. granari</w:t>
      </w:r>
      <w:r w:rsidR="008209F6">
        <w:rPr>
          <w:i/>
          <w:szCs w:val="22"/>
        </w:rPr>
        <w:t>u</w:t>
      </w:r>
      <w:r w:rsidRPr="00120FA6">
        <w:rPr>
          <w:i/>
          <w:szCs w:val="22"/>
        </w:rPr>
        <w:t>s</w:t>
      </w:r>
      <w:r w:rsidRPr="00120FA6">
        <w:rPr>
          <w:szCs w:val="22"/>
        </w:rPr>
        <w:t xml:space="preserve"> survived more than 40 days on wheat-bran pellets and sorghum, but only 20 days or less on the 10 remaining grains or foodstuffs.</w:t>
      </w:r>
    </w:p>
    <w:p w14:paraId="71904EDE" w14:textId="3A7F3075" w:rsidR="00F73340" w:rsidRDefault="004D571E" w:rsidP="00413E4A">
      <w:pPr>
        <w:pStyle w:val="Heading4"/>
      </w:pPr>
      <w:bookmarkStart w:id="113" w:name="_Toc483916020"/>
      <w:r>
        <w:t>4</w:t>
      </w:r>
      <w:r w:rsidR="00F73340">
        <w:t>.</w:t>
      </w:r>
      <w:r w:rsidR="00FB50B1">
        <w:t>3</w:t>
      </w:r>
      <w:r w:rsidR="00F73340">
        <w:t>.4.2.</w:t>
      </w:r>
      <w:r w:rsidR="00F73340">
        <w:tab/>
        <w:t>Changes in fumigation regulations for imported goods</w:t>
      </w:r>
      <w:bookmarkEnd w:id="113"/>
      <w:r w:rsidR="00F73340">
        <w:t xml:space="preserve"> </w:t>
      </w:r>
    </w:p>
    <w:p w14:paraId="482E90F6" w14:textId="77777777" w:rsidR="00F73340" w:rsidRPr="00120FA6" w:rsidRDefault="00F73340" w:rsidP="00A140B1">
      <w:pPr>
        <w:rPr>
          <w:szCs w:val="22"/>
        </w:rPr>
      </w:pPr>
      <w:r w:rsidRPr="00120FA6">
        <w:rPr>
          <w:szCs w:val="22"/>
        </w:rPr>
        <w:t>India used to fumigate imported goods with methyl bromide on arrival but is now imposing a rule whereby these will need to be treated at origin, before export. This rule is impacting for example teak log exports from Latin American countries, or exports of pulses from Canada, where MB use is minimal or no longer exists, even for QPS</w:t>
      </w:r>
      <w:r>
        <w:rPr>
          <w:szCs w:val="22"/>
        </w:rPr>
        <w:t xml:space="preserve"> (see for example </w:t>
      </w:r>
      <w:hyperlink r:id="rId39" w:history="1">
        <w:r w:rsidRPr="00D607D4">
          <w:rPr>
            <w:rStyle w:val="Hyperlink"/>
            <w:szCs w:val="22"/>
          </w:rPr>
          <w:t>https://www.fcc-fac.ca/en/ag-knowledge/marketing/tricky-trade-situation-with-india-averted-for-now.html</w:t>
        </w:r>
      </w:hyperlink>
      <w:r>
        <w:rPr>
          <w:szCs w:val="22"/>
        </w:rPr>
        <w:t>)</w:t>
      </w:r>
      <w:r w:rsidRPr="00120FA6">
        <w:rPr>
          <w:szCs w:val="22"/>
        </w:rPr>
        <w:t>.</w:t>
      </w:r>
    </w:p>
    <w:p w14:paraId="3D7C0003" w14:textId="77777777" w:rsidR="00F73340" w:rsidRPr="00120FA6" w:rsidRDefault="00F73340" w:rsidP="00A140B1">
      <w:pPr>
        <w:rPr>
          <w:szCs w:val="22"/>
        </w:rPr>
      </w:pPr>
      <w:r w:rsidRPr="00120FA6">
        <w:rPr>
          <w:szCs w:val="22"/>
        </w:rPr>
        <w:t>Ecuador has come to a bilateral agreement with India whereby Indian authorities have accepted pre-shipment fumigation of teak logs with 3g/m</w:t>
      </w:r>
      <w:r w:rsidRPr="00120FA6">
        <w:rPr>
          <w:szCs w:val="22"/>
          <w:vertAlign w:val="superscript"/>
        </w:rPr>
        <w:t>3</w:t>
      </w:r>
      <w:r w:rsidRPr="00120FA6">
        <w:rPr>
          <w:szCs w:val="22"/>
        </w:rPr>
        <w:t xml:space="preserve"> of phosphine gas (aluminium phosphide/ magnesium phosphide of 56% or more, 3 tablets/ m</w:t>
      </w:r>
      <w:r w:rsidRPr="00120FA6">
        <w:rPr>
          <w:szCs w:val="22"/>
          <w:vertAlign w:val="superscript"/>
        </w:rPr>
        <w:t>3</w:t>
      </w:r>
      <w:r w:rsidRPr="00120FA6">
        <w:rPr>
          <w:szCs w:val="22"/>
        </w:rPr>
        <w:t>) for 7 days. Ecuadorian fumigators conducting the treatment must be accredited by the Indian NPPO, which takes place through a direct technical visit (</w:t>
      </w:r>
      <w:r>
        <w:rPr>
          <w:szCs w:val="22"/>
        </w:rPr>
        <w:t>India Min of Agric. 2017)</w:t>
      </w:r>
      <w:r w:rsidRPr="00120FA6">
        <w:rPr>
          <w:szCs w:val="22"/>
        </w:rPr>
        <w:t>.</w:t>
      </w:r>
    </w:p>
    <w:p w14:paraId="59195A57" w14:textId="2AF03D91" w:rsidR="00F73340" w:rsidRDefault="004D571E" w:rsidP="00413E4A">
      <w:pPr>
        <w:pStyle w:val="Heading2"/>
      </w:pPr>
      <w:bookmarkStart w:id="114" w:name="_Toc484164347"/>
      <w:r>
        <w:lastRenderedPageBreak/>
        <w:t>4</w:t>
      </w:r>
      <w:r w:rsidR="00F73340">
        <w:t>.</w:t>
      </w:r>
      <w:r w:rsidR="00FB50B1">
        <w:t>4</w:t>
      </w:r>
      <w:r w:rsidR="00F73340">
        <w:t>.</w:t>
      </w:r>
      <w:r w:rsidR="00F73340">
        <w:tab/>
        <w:t>Update on M</w:t>
      </w:r>
      <w:r w:rsidR="00FB50B1">
        <w:t>B</w:t>
      </w:r>
      <w:r w:rsidR="00F73340">
        <w:t xml:space="preserve"> </w:t>
      </w:r>
      <w:r w:rsidR="00FB50B1">
        <w:t>e</w:t>
      </w:r>
      <w:r w:rsidR="00F73340">
        <w:t>missions</w:t>
      </w:r>
      <w:bookmarkEnd w:id="114"/>
      <w:r w:rsidR="00F73340" w:rsidRPr="00792123">
        <w:t xml:space="preserve"> </w:t>
      </w:r>
    </w:p>
    <w:p w14:paraId="0173B221" w14:textId="77777777" w:rsidR="00420C18" w:rsidRPr="0015746F" w:rsidRDefault="00420C18" w:rsidP="00420C18">
      <w:pPr>
        <w:shd w:val="clear" w:color="auto" w:fill="FFFFFF"/>
        <w:spacing w:after="0"/>
        <w:rPr>
          <w:color w:val="auto"/>
          <w:szCs w:val="22"/>
          <w:lang w:val="en-US" w:eastAsia="en-US"/>
        </w:rPr>
      </w:pPr>
      <w:r w:rsidRPr="0015746F">
        <w:rPr>
          <w:color w:val="auto"/>
          <w:szCs w:val="22"/>
          <w:lang w:val="en-US" w:eastAsia="en-US"/>
        </w:rPr>
        <w:t xml:space="preserve">Despite the successful reduction of methyl bromide applied for controlled uses under the Montreal Protocol, measurements of MB concentrations in the atmosphere show that 32% of the equivalent level of baseline emissions are still present (Fig 4.4). This concentration corresponds to a global MB consumption of approximately 22,000 tonnes. Of this amount, QPS uses account for about 8,000-10,000 tonnes annually reported by parties and the remaining emissions are most likely due to unreported consumption or partly due to variation in natural emissions. Recently in 2016, the downward trend in MB concentration in the atmosphere appeared to stop and MB concentrations in the atmosphere increased. This may have been due to unusual climatic factors, including a strong El Niño, but could also be due partly to increased consumption.  The present concentration of MB over the last few years is of concern because there is still a gap being shown over several years between reported production/consumption and the concentration of MB in the atmosphere. MBTOC is concerned that this data has identified a potential large source of unreported production/consumption of up to 15,000 tonnes.  This unreported amount dwarfs present consumption for critical uses (around 300 tonnes in 2015) and is offsetting the benefit gained by progress in phasing out MB for CUN uses. </w:t>
      </w:r>
    </w:p>
    <w:p w14:paraId="4E854EA4" w14:textId="77777777" w:rsidR="00420C18" w:rsidRPr="0015746F" w:rsidRDefault="00420C18" w:rsidP="00420C18">
      <w:pPr>
        <w:shd w:val="clear" w:color="auto" w:fill="FFFFFF"/>
        <w:spacing w:after="0"/>
        <w:rPr>
          <w:color w:val="auto"/>
          <w:szCs w:val="22"/>
          <w:lang w:val="en-US" w:eastAsia="en-US"/>
        </w:rPr>
      </w:pPr>
      <w:r w:rsidRPr="0015746F">
        <w:rPr>
          <w:color w:val="auto"/>
          <w:szCs w:val="22"/>
          <w:lang w:val="en-US" w:eastAsia="en-US"/>
        </w:rPr>
        <w:t xml:space="preserve"> </w:t>
      </w:r>
    </w:p>
    <w:p w14:paraId="6B26D252" w14:textId="77777777" w:rsidR="00420C18" w:rsidRPr="0015746F" w:rsidRDefault="00420C18" w:rsidP="00420C18">
      <w:pPr>
        <w:shd w:val="clear" w:color="auto" w:fill="FFFFFF"/>
        <w:spacing w:after="0"/>
        <w:rPr>
          <w:color w:val="auto"/>
          <w:sz w:val="24"/>
          <w:szCs w:val="24"/>
          <w:lang w:val="en-US" w:eastAsia="en-US"/>
        </w:rPr>
      </w:pPr>
    </w:p>
    <w:p w14:paraId="4B5F7E56" w14:textId="77777777" w:rsidR="00420C18" w:rsidRPr="009533A9" w:rsidRDefault="00420C18" w:rsidP="00420C18">
      <w:pPr>
        <w:shd w:val="clear" w:color="auto" w:fill="FFFFFF"/>
        <w:spacing w:after="0"/>
        <w:rPr>
          <w:b/>
          <w:i/>
          <w:sz w:val="24"/>
          <w:szCs w:val="24"/>
          <w:highlight w:val="yellow"/>
          <w:lang w:val="en-US" w:eastAsia="en-US"/>
        </w:rPr>
      </w:pPr>
      <w:proofErr w:type="gramStart"/>
      <w:r w:rsidRPr="0015746F">
        <w:rPr>
          <w:b/>
          <w:i/>
          <w:sz w:val="24"/>
          <w:szCs w:val="24"/>
          <w:lang w:val="en-US" w:eastAsia="en-US"/>
        </w:rPr>
        <w:t>Fig 4.4.</w:t>
      </w:r>
      <w:proofErr w:type="gramEnd"/>
      <w:r w:rsidRPr="0015746F">
        <w:rPr>
          <w:b/>
          <w:i/>
          <w:sz w:val="24"/>
          <w:szCs w:val="24"/>
          <w:lang w:val="en-US" w:eastAsia="en-US"/>
        </w:rPr>
        <w:t xml:space="preserve"> </w:t>
      </w:r>
      <w:proofErr w:type="gramStart"/>
      <w:r w:rsidRPr="0015746F">
        <w:rPr>
          <w:b/>
          <w:i/>
          <w:sz w:val="24"/>
          <w:szCs w:val="24"/>
          <w:lang w:val="en-US" w:eastAsia="en-US"/>
        </w:rPr>
        <w:t>Global emissions of MB showing the estimated natural baseline and natural levels of MB and the increased levels caused by anthropogenic activity.</w:t>
      </w:r>
      <w:proofErr w:type="gramEnd"/>
      <w:r w:rsidRPr="009533A9">
        <w:rPr>
          <w:b/>
          <w:i/>
          <w:sz w:val="24"/>
          <w:szCs w:val="24"/>
          <w:highlight w:val="yellow"/>
          <w:lang w:val="en-US" w:eastAsia="en-US"/>
        </w:rPr>
        <w:t xml:space="preserve"> </w:t>
      </w:r>
    </w:p>
    <w:p w14:paraId="08B6D82B" w14:textId="77777777" w:rsidR="00F73340" w:rsidRPr="00C102D9" w:rsidRDefault="00F73340" w:rsidP="00F73340">
      <w:pPr>
        <w:spacing w:after="0"/>
        <w:rPr>
          <w:sz w:val="24"/>
          <w:szCs w:val="24"/>
          <w:lang w:eastAsia="en-US"/>
        </w:rPr>
      </w:pPr>
    </w:p>
    <w:p w14:paraId="698FA3EA" w14:textId="23983CAE" w:rsidR="00F73340" w:rsidRPr="00AD510D" w:rsidRDefault="000A7099" w:rsidP="00F73340">
      <w:pPr>
        <w:shd w:val="clear" w:color="auto" w:fill="FFFFFF"/>
        <w:spacing w:after="0"/>
        <w:rPr>
          <w:sz w:val="24"/>
          <w:szCs w:val="24"/>
          <w:lang w:val="en-US" w:eastAsia="en-US"/>
        </w:rPr>
      </w:pPr>
      <w:r w:rsidRPr="000A7099">
        <w:rPr>
          <w:noProof/>
          <w:lang w:val="en-US" w:eastAsia="en-US"/>
        </w:rPr>
        <w:drawing>
          <wp:inline distT="0" distB="0" distL="0" distR="0" wp14:anchorId="225C9EFA" wp14:editId="6DEBDE99">
            <wp:extent cx="5274310" cy="2852495"/>
            <wp:effectExtent l="0" t="0" r="8890" b="0"/>
            <wp:docPr id="11" name="Picture 11" descr="C:\Users\ip04\AppData\Local\Temp\CH3Br ppt_Port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p04\AppData\Local\Temp\CH3Br ppt_Porter-2.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4310" cy="2852495"/>
                    </a:xfrm>
                    <a:prstGeom prst="rect">
                      <a:avLst/>
                    </a:prstGeom>
                    <a:noFill/>
                    <a:ln>
                      <a:noFill/>
                    </a:ln>
                  </pic:spPr>
                </pic:pic>
              </a:graphicData>
            </a:graphic>
          </wp:inline>
        </w:drawing>
      </w:r>
    </w:p>
    <w:p w14:paraId="550FDC78" w14:textId="77777777" w:rsidR="00D610BD" w:rsidRDefault="00D610BD" w:rsidP="00F73340">
      <w:pPr>
        <w:shd w:val="clear" w:color="auto" w:fill="FFFFFF"/>
        <w:spacing w:after="0"/>
        <w:rPr>
          <w:sz w:val="20"/>
          <w:lang w:val="en-US" w:eastAsia="en-US"/>
        </w:rPr>
      </w:pPr>
    </w:p>
    <w:p w14:paraId="3652F372" w14:textId="77777777" w:rsidR="00420C18" w:rsidRPr="0015746F" w:rsidRDefault="00420C18" w:rsidP="00420C18">
      <w:pPr>
        <w:shd w:val="clear" w:color="auto" w:fill="FFFFFF"/>
        <w:spacing w:after="0"/>
        <w:rPr>
          <w:sz w:val="20"/>
          <w:lang w:val="en-US" w:eastAsia="en-US"/>
        </w:rPr>
      </w:pPr>
      <w:r w:rsidRPr="0015746F">
        <w:rPr>
          <w:sz w:val="20"/>
          <w:lang w:val="en-US" w:eastAsia="en-US"/>
        </w:rPr>
        <w:t>Source: (AGAGE/NOAA data from Cape Grim - Fraser, Krummel, Derek, Montzka and Porter)</w:t>
      </w:r>
      <w:proofErr w:type="gramStart"/>
      <w:r w:rsidRPr="0015746F">
        <w:rPr>
          <w:sz w:val="20"/>
          <w:lang w:val="en-US" w:eastAsia="en-US"/>
        </w:rPr>
        <w:t>..</w:t>
      </w:r>
      <w:proofErr w:type="gramEnd"/>
    </w:p>
    <w:p w14:paraId="2752258C" w14:textId="77777777" w:rsidR="00420C18" w:rsidRPr="0015746F" w:rsidRDefault="00420C18" w:rsidP="00420C18">
      <w:pPr>
        <w:shd w:val="clear" w:color="auto" w:fill="FFFFFF"/>
        <w:spacing w:after="0"/>
        <w:rPr>
          <w:b/>
          <w:sz w:val="24"/>
          <w:szCs w:val="24"/>
          <w:lang w:val="en-US" w:eastAsia="en-US"/>
        </w:rPr>
      </w:pPr>
    </w:p>
    <w:p w14:paraId="15772A21" w14:textId="77777777" w:rsidR="00420C18" w:rsidRPr="0015746F" w:rsidRDefault="00420C18" w:rsidP="00420C18">
      <w:pPr>
        <w:shd w:val="clear" w:color="auto" w:fill="FFFFFF"/>
        <w:spacing w:after="0"/>
        <w:rPr>
          <w:color w:val="auto"/>
          <w:szCs w:val="22"/>
          <w:lang w:val="en-US" w:eastAsia="en-US"/>
        </w:rPr>
      </w:pPr>
      <w:r w:rsidRPr="0015746F">
        <w:rPr>
          <w:color w:val="auto"/>
          <w:szCs w:val="22"/>
          <w:lang w:val="en-US" w:eastAsia="en-US"/>
        </w:rPr>
        <w:t>The 10</w:t>
      </w:r>
      <w:r w:rsidRPr="0015746F">
        <w:rPr>
          <w:color w:val="auto"/>
          <w:szCs w:val="22"/>
          <w:vertAlign w:val="superscript"/>
          <w:lang w:val="en-US" w:eastAsia="en-US"/>
        </w:rPr>
        <w:t>th</w:t>
      </w:r>
      <w:r w:rsidRPr="0015746F">
        <w:rPr>
          <w:color w:val="auto"/>
          <w:szCs w:val="22"/>
          <w:lang w:val="en-US" w:eastAsia="en-US"/>
        </w:rPr>
        <w:t xml:space="preserve"> Ozone Research Managers Meeting, held recently in Geneva (28-30</w:t>
      </w:r>
      <w:r w:rsidRPr="0015746F">
        <w:rPr>
          <w:color w:val="auto"/>
          <w:szCs w:val="22"/>
          <w:vertAlign w:val="superscript"/>
          <w:lang w:val="en-US" w:eastAsia="en-US"/>
        </w:rPr>
        <w:t>th</w:t>
      </w:r>
      <w:r w:rsidRPr="0015746F">
        <w:rPr>
          <w:color w:val="auto"/>
          <w:szCs w:val="22"/>
          <w:lang w:val="en-US" w:eastAsia="en-US"/>
        </w:rPr>
        <w:t xml:space="preserve"> March, 2017) included the following amongst its research recommendations:</w:t>
      </w:r>
    </w:p>
    <w:p w14:paraId="1797E54B" w14:textId="77777777" w:rsidR="00420C18" w:rsidRPr="0015746F" w:rsidRDefault="00420C18" w:rsidP="00420C18">
      <w:pPr>
        <w:shd w:val="clear" w:color="auto" w:fill="FFFFFF"/>
        <w:spacing w:after="0"/>
        <w:rPr>
          <w:color w:val="auto"/>
          <w:szCs w:val="22"/>
          <w:lang w:val="en-US" w:eastAsia="en-US"/>
        </w:rPr>
      </w:pPr>
    </w:p>
    <w:p w14:paraId="394435A7" w14:textId="77777777" w:rsidR="00420C18" w:rsidRPr="0015746F" w:rsidRDefault="00420C18" w:rsidP="00420C18">
      <w:pPr>
        <w:shd w:val="clear" w:color="auto" w:fill="FFFFFF"/>
        <w:spacing w:after="0"/>
        <w:ind w:left="708"/>
        <w:rPr>
          <w:i/>
          <w:color w:val="auto"/>
          <w:szCs w:val="22"/>
          <w:lang w:val="en-US" w:eastAsia="en-US"/>
        </w:rPr>
      </w:pPr>
      <w:r w:rsidRPr="0015746F">
        <w:rPr>
          <w:i/>
          <w:color w:val="auto"/>
          <w:szCs w:val="22"/>
          <w:lang w:val="en-US" w:eastAsia="en-US"/>
        </w:rPr>
        <w:t xml:space="preserve">“ There continues to be an imbalance in the global budget of methyl bromide suggesting that there may be larger amounts of emissions than expected or our understanding of methyl bromide removal is somewhat incomplete. Further </w:t>
      </w:r>
      <w:proofErr w:type="gramStart"/>
      <w:r w:rsidRPr="0015746F">
        <w:rPr>
          <w:i/>
          <w:color w:val="auto"/>
          <w:szCs w:val="22"/>
          <w:lang w:val="en-US" w:eastAsia="en-US"/>
        </w:rPr>
        <w:t>research into the methyl bromide budget and loss processes are</w:t>
      </w:r>
      <w:proofErr w:type="gramEnd"/>
      <w:r w:rsidRPr="0015746F">
        <w:rPr>
          <w:i/>
          <w:color w:val="auto"/>
          <w:szCs w:val="22"/>
          <w:lang w:val="en-US" w:eastAsia="en-US"/>
        </w:rPr>
        <w:t xml:space="preserve"> warranted” (ORM, 2017)</w:t>
      </w:r>
    </w:p>
    <w:p w14:paraId="08CB257B" w14:textId="77777777" w:rsidR="00420C18" w:rsidRPr="0015746F" w:rsidRDefault="00420C18" w:rsidP="00420C18">
      <w:pPr>
        <w:shd w:val="clear" w:color="auto" w:fill="FFFFFF"/>
        <w:spacing w:after="0"/>
        <w:rPr>
          <w:color w:val="auto"/>
          <w:szCs w:val="22"/>
          <w:lang w:val="en-US" w:eastAsia="en-US"/>
        </w:rPr>
      </w:pPr>
    </w:p>
    <w:p w14:paraId="7469A30B" w14:textId="77777777" w:rsidR="00420C18" w:rsidRPr="0015746F" w:rsidRDefault="00420C18" w:rsidP="00420C18">
      <w:pPr>
        <w:shd w:val="clear" w:color="auto" w:fill="FFFFFF"/>
        <w:spacing w:after="0"/>
        <w:rPr>
          <w:color w:val="auto"/>
          <w:szCs w:val="22"/>
          <w:lang w:val="en-US" w:eastAsia="en-US"/>
        </w:rPr>
      </w:pPr>
      <w:r w:rsidRPr="0015746F">
        <w:rPr>
          <w:color w:val="auto"/>
          <w:szCs w:val="22"/>
          <w:lang w:val="en-US" w:eastAsia="en-US"/>
        </w:rPr>
        <w:t xml:space="preserve">MBTOC is aware of some large unreported uses for preplant soil fumigation and commodity treatments, which could represent thousands of tonnes (MBTOC, 2015, TEAP, 2009). </w:t>
      </w:r>
      <w:r w:rsidRPr="0015746F">
        <w:rPr>
          <w:color w:val="auto"/>
          <w:szCs w:val="22"/>
          <w:lang w:val="en-US" w:eastAsia="en-US"/>
        </w:rPr>
        <w:lastRenderedPageBreak/>
        <w:t xml:space="preserve">Additionally there are some other reported uses, which have not been included in previous emission models (MBTOC, 2015). For example MB is produced by the breakdown of bromide-based catalysts in the production of terephthallic acid (TPA) and dimethyl terephthallate (DMT), intermediates used in the manufacture of polyesters such as PET (polyethylene terephthallate). In the past, emissions from these processes were calculated at several thousand tonnes (MBTOC, 1995), however they appear to be largely contained at present (e.g. Anguil, 2017). Smaller amounts are reported from other processes for example baking wheat products (approx. 200 tonnes, Thornton </w:t>
      </w:r>
      <w:r w:rsidRPr="0015746F">
        <w:rPr>
          <w:i/>
          <w:color w:val="auto"/>
          <w:szCs w:val="22"/>
          <w:lang w:val="en-US" w:eastAsia="en-US"/>
        </w:rPr>
        <w:t>et al</w:t>
      </w:r>
      <w:r w:rsidRPr="0015746F">
        <w:rPr>
          <w:color w:val="auto"/>
          <w:szCs w:val="22"/>
          <w:lang w:val="en-US" w:eastAsia="en-US"/>
        </w:rPr>
        <w:t>, 2016).</w:t>
      </w:r>
    </w:p>
    <w:p w14:paraId="13A0C227" w14:textId="77777777" w:rsidR="00420C18" w:rsidRPr="0015746F" w:rsidRDefault="00420C18" w:rsidP="00420C18">
      <w:pPr>
        <w:shd w:val="clear" w:color="auto" w:fill="FFFFFF"/>
        <w:spacing w:after="0"/>
        <w:rPr>
          <w:color w:val="auto"/>
          <w:szCs w:val="22"/>
          <w:lang w:val="en-US" w:eastAsia="en-US"/>
        </w:rPr>
      </w:pPr>
    </w:p>
    <w:p w14:paraId="6050D9EC" w14:textId="2BA76B44" w:rsidR="00F73340" w:rsidRPr="00A04150" w:rsidRDefault="00420C18" w:rsidP="00A140B1">
      <w:pPr>
        <w:shd w:val="clear" w:color="auto" w:fill="FFFFFF"/>
        <w:spacing w:after="0"/>
        <w:rPr>
          <w:b/>
          <w:szCs w:val="22"/>
          <w:lang w:val="en-US" w:eastAsia="en-US"/>
        </w:rPr>
      </w:pPr>
      <w:r w:rsidRPr="0015746F">
        <w:rPr>
          <w:b/>
          <w:color w:val="auto"/>
          <w:szCs w:val="22"/>
          <w:lang w:val="en-US" w:eastAsia="en-US"/>
        </w:rPr>
        <w:t>Parties may wish to consider ways to improve the reporting and management of these unreported and/or illegal uses in order to reduce these emissions. A monitoring and evaluation process (possibly under the MLF program of work) could provide the basis for undertaking further action.</w:t>
      </w:r>
    </w:p>
    <w:p w14:paraId="18C50FCC" w14:textId="77777777" w:rsidR="00F73340" w:rsidRPr="004737A9" w:rsidRDefault="00F73340" w:rsidP="0015746F">
      <w:pPr>
        <w:spacing w:after="0"/>
        <w:contextualSpacing/>
        <w:rPr>
          <w:sz w:val="24"/>
          <w:szCs w:val="24"/>
        </w:rPr>
      </w:pPr>
    </w:p>
    <w:p w14:paraId="5AFBCF83" w14:textId="03A1EE02" w:rsidR="00F73340" w:rsidRPr="00D1767F" w:rsidRDefault="004D571E" w:rsidP="00413E4A">
      <w:pPr>
        <w:pStyle w:val="Heading2"/>
        <w:rPr>
          <w:bCs/>
        </w:rPr>
      </w:pPr>
      <w:bookmarkStart w:id="115" w:name="_Toc418842507"/>
      <w:bookmarkStart w:id="116" w:name="_Toc295406129"/>
      <w:bookmarkStart w:id="117" w:name="_Toc442363540"/>
      <w:bookmarkStart w:id="118" w:name="_Toc442692034"/>
      <w:bookmarkStart w:id="119" w:name="_Toc484164348"/>
      <w:r>
        <w:t>4</w:t>
      </w:r>
      <w:r w:rsidR="00F73340" w:rsidRPr="00AD510D">
        <w:t>.</w:t>
      </w:r>
      <w:r w:rsidR="00FB50B1">
        <w:t>5</w:t>
      </w:r>
      <w:r w:rsidR="00F73340" w:rsidRPr="00AD510D">
        <w:t xml:space="preserve">. </w:t>
      </w:r>
      <w:bookmarkEnd w:id="115"/>
      <w:bookmarkEnd w:id="116"/>
      <w:bookmarkEnd w:id="117"/>
      <w:bookmarkEnd w:id="118"/>
      <w:r w:rsidR="00F73340" w:rsidRPr="00AD510D">
        <w:tab/>
      </w:r>
      <w:r w:rsidR="00F73340">
        <w:t>References</w:t>
      </w:r>
      <w:bookmarkEnd w:id="119"/>
    </w:p>
    <w:p w14:paraId="0954BC98" w14:textId="2BBF8B8B" w:rsidR="00F73340" w:rsidRPr="007B263F" w:rsidRDefault="00F73340" w:rsidP="00F73340">
      <w:pPr>
        <w:pStyle w:val="Refs0"/>
        <w:rPr>
          <w:rFonts w:ascii="Times New Roman" w:hAnsi="Times New Roman"/>
        </w:rPr>
      </w:pPr>
      <w:proofErr w:type="gramStart"/>
      <w:r w:rsidRPr="007B263F">
        <w:rPr>
          <w:rFonts w:ascii="Times New Roman" w:hAnsi="Times New Roman"/>
        </w:rPr>
        <w:t>Agarwal M., Yonglin</w:t>
      </w:r>
      <w:r>
        <w:rPr>
          <w:rFonts w:ascii="Times New Roman" w:hAnsi="Times New Roman"/>
        </w:rPr>
        <w:t>-</w:t>
      </w:r>
      <w:r w:rsidRPr="007B263F">
        <w:rPr>
          <w:rFonts w:ascii="Times New Roman" w:hAnsi="Times New Roman"/>
        </w:rPr>
        <w:t>Ren Y., Newman J. and Learmonth S. (2015).</w:t>
      </w:r>
      <w:proofErr w:type="gramEnd"/>
      <w:r w:rsidRPr="007B263F">
        <w:rPr>
          <w:rFonts w:ascii="Times New Roman" w:hAnsi="Times New Roman"/>
        </w:rPr>
        <w:t xml:space="preserve"> Ethyl Formate: A Potential Disinfestation Treatment for Eucalyptus Weevil (</w:t>
      </w:r>
      <w:r w:rsidRPr="007B263F">
        <w:rPr>
          <w:rFonts w:ascii="Times New Roman" w:hAnsi="Times New Roman"/>
          <w:i/>
        </w:rPr>
        <w:t>Gonipterus platensis</w:t>
      </w:r>
      <w:r w:rsidRPr="007B263F">
        <w:rPr>
          <w:rFonts w:ascii="Times New Roman" w:hAnsi="Times New Roman"/>
        </w:rPr>
        <w:t xml:space="preserve">) (Coleoptera: Curculionidae) in Apples. </w:t>
      </w:r>
      <w:r w:rsidRPr="007B263F">
        <w:rPr>
          <w:rFonts w:ascii="Times New Roman" w:hAnsi="Times New Roman"/>
          <w:i/>
        </w:rPr>
        <w:t>Journal of Economic Entomology</w:t>
      </w:r>
      <w:r w:rsidR="002F2119">
        <w:rPr>
          <w:rFonts w:ascii="Times New Roman" w:hAnsi="Times New Roman"/>
        </w:rPr>
        <w:t xml:space="preserve"> 108 (6): 2566-2571</w:t>
      </w:r>
    </w:p>
    <w:p w14:paraId="12D3CB31" w14:textId="5F21701E" w:rsidR="00F73340" w:rsidRPr="007B263F" w:rsidRDefault="00F73340" w:rsidP="00F73340">
      <w:pPr>
        <w:pStyle w:val="Refs0"/>
        <w:rPr>
          <w:rFonts w:ascii="Times New Roman" w:hAnsi="Times New Roman"/>
        </w:rPr>
      </w:pPr>
      <w:proofErr w:type="gramStart"/>
      <w:r w:rsidRPr="007B263F">
        <w:rPr>
          <w:rFonts w:ascii="Times New Roman" w:hAnsi="Times New Roman"/>
        </w:rPr>
        <w:t>APVMA 2017.</w:t>
      </w:r>
      <w:proofErr w:type="gramEnd"/>
      <w:r w:rsidRPr="007B263F">
        <w:rPr>
          <w:rFonts w:ascii="Times New Roman" w:hAnsi="Times New Roman"/>
        </w:rPr>
        <w:t xml:space="preserve"> </w:t>
      </w:r>
      <w:proofErr w:type="gramStart"/>
      <w:r w:rsidRPr="007B263F">
        <w:rPr>
          <w:rFonts w:ascii="Times New Roman" w:hAnsi="Times New Roman"/>
        </w:rPr>
        <w:t>Australian Pesticides and Veterinary Medicines Authority.</w:t>
      </w:r>
      <w:proofErr w:type="gramEnd"/>
      <w:r w:rsidRPr="007B263F">
        <w:rPr>
          <w:rFonts w:ascii="Times New Roman" w:hAnsi="Times New Roman"/>
        </w:rPr>
        <w:t xml:space="preserve"> </w:t>
      </w:r>
      <w:hyperlink r:id="rId41" w:history="1">
        <w:r w:rsidR="002578F4" w:rsidRPr="00F07FB4">
          <w:rPr>
            <w:rStyle w:val="Hyperlink"/>
            <w:rFonts w:ascii="Times New Roman" w:hAnsi="Times New Roman"/>
            <w:shd w:val="clear" w:color="auto" w:fill="FFFFFF"/>
            <w:lang w:val="en-US" w:eastAsia="en-US"/>
          </w:rPr>
          <w:t>https://apvma.gov.au/</w:t>
        </w:r>
      </w:hyperlink>
      <w:r w:rsidR="002578F4">
        <w:rPr>
          <w:rFonts w:ascii="Times New Roman" w:hAnsi="Times New Roman"/>
          <w:color w:val="006621"/>
          <w:shd w:val="clear" w:color="auto" w:fill="FFFFFF"/>
          <w:lang w:val="en-US" w:eastAsia="en-US"/>
        </w:rPr>
        <w:t xml:space="preserve"> </w:t>
      </w:r>
    </w:p>
    <w:p w14:paraId="6226E493" w14:textId="112ABB76" w:rsidR="00F73340" w:rsidRPr="007B263F" w:rsidRDefault="002F2119" w:rsidP="00F73340">
      <w:pPr>
        <w:pStyle w:val="Refs0"/>
        <w:rPr>
          <w:rFonts w:ascii="Times New Roman" w:hAnsi="Times New Roman"/>
        </w:rPr>
      </w:pPr>
      <w:r>
        <w:rPr>
          <w:rFonts w:ascii="Times New Roman" w:hAnsi="Times New Roman"/>
        </w:rPr>
        <w:t>Anguil, 2017</w:t>
      </w:r>
      <w:r w:rsidR="00F73340" w:rsidRPr="007B263F">
        <w:rPr>
          <w:rFonts w:ascii="Times New Roman" w:hAnsi="Times New Roman"/>
        </w:rPr>
        <w:t xml:space="preserve"> </w:t>
      </w:r>
      <w:hyperlink r:id="rId42" w:history="1">
        <w:r w:rsidRPr="00A90B25">
          <w:rPr>
            <w:rStyle w:val="Hyperlink"/>
            <w:rFonts w:ascii="Times New Roman" w:hAnsi="Times New Roman"/>
          </w:rPr>
          <w:t>http://www.anguil.com/case-studies/chemical/purified-terephthalic-acid-plant/</w:t>
        </w:r>
      </w:hyperlink>
      <w:r>
        <w:rPr>
          <w:rFonts w:ascii="Times New Roman" w:hAnsi="Times New Roman"/>
        </w:rPr>
        <w:t xml:space="preserve"> </w:t>
      </w:r>
    </w:p>
    <w:p w14:paraId="091BCA13" w14:textId="47CB98CF" w:rsidR="00F73340" w:rsidRPr="007B263F" w:rsidRDefault="00F73340" w:rsidP="00F73340">
      <w:pPr>
        <w:pStyle w:val="Refs0"/>
        <w:rPr>
          <w:rFonts w:ascii="Times New Roman" w:hAnsi="Times New Roman"/>
        </w:rPr>
      </w:pPr>
      <w:proofErr w:type="gramStart"/>
      <w:r w:rsidRPr="007B263F">
        <w:rPr>
          <w:rFonts w:ascii="Times New Roman" w:hAnsi="Times New Roman"/>
        </w:rPr>
        <w:t xml:space="preserve">Bhatta, D., Henderson, G., </w:t>
      </w:r>
      <w:r>
        <w:rPr>
          <w:rFonts w:ascii="Times New Roman" w:hAnsi="Times New Roman"/>
        </w:rPr>
        <w:t xml:space="preserve">and </w:t>
      </w:r>
      <w:r w:rsidRPr="007B263F">
        <w:rPr>
          <w:rFonts w:ascii="Times New Roman" w:hAnsi="Times New Roman"/>
        </w:rPr>
        <w:t>Gautam, B. K. (2016).</w:t>
      </w:r>
      <w:proofErr w:type="gramEnd"/>
      <w:r w:rsidRPr="007B263F">
        <w:rPr>
          <w:rFonts w:ascii="Times New Roman" w:hAnsi="Times New Roman"/>
        </w:rPr>
        <w:t xml:space="preserve"> Toxicity and nonrepellency of Spinosad and Spinetoram on Formosan subterranean termites (Isoptera:</w:t>
      </w:r>
      <w:r w:rsidR="002F2119">
        <w:rPr>
          <w:rFonts w:ascii="Times New Roman" w:hAnsi="Times New Roman"/>
        </w:rPr>
        <w:t xml:space="preserve"> Rhinotermitidae)</w:t>
      </w:r>
      <w:r w:rsidRPr="007B263F">
        <w:rPr>
          <w:rFonts w:ascii="Times New Roman" w:hAnsi="Times New Roman"/>
        </w:rPr>
        <w:t xml:space="preserve"> </w:t>
      </w:r>
      <w:r w:rsidRPr="007B263F">
        <w:rPr>
          <w:rFonts w:ascii="Times New Roman" w:hAnsi="Times New Roman"/>
          <w:i/>
        </w:rPr>
        <w:t xml:space="preserve">Journal of Economic Entomology </w:t>
      </w:r>
      <w:r w:rsidRPr="007B263F">
        <w:rPr>
          <w:rFonts w:ascii="Times New Roman" w:hAnsi="Times New Roman"/>
          <w:b/>
        </w:rPr>
        <w:t>109</w:t>
      </w:r>
      <w:r w:rsidR="002F2119">
        <w:rPr>
          <w:rFonts w:ascii="Times New Roman" w:hAnsi="Times New Roman"/>
        </w:rPr>
        <w:t>, 1341-1349</w:t>
      </w:r>
      <w:r w:rsidRPr="007B263F">
        <w:rPr>
          <w:rFonts w:ascii="Times New Roman" w:hAnsi="Times New Roman"/>
        </w:rPr>
        <w:t xml:space="preserve"> </w:t>
      </w:r>
    </w:p>
    <w:p w14:paraId="0A23F93F" w14:textId="77777777" w:rsidR="00F73340" w:rsidRPr="007B263F" w:rsidRDefault="00F73340" w:rsidP="00F73340">
      <w:pPr>
        <w:pStyle w:val="Refs0"/>
        <w:rPr>
          <w:rFonts w:ascii="Times New Roman" w:hAnsi="Times New Roman"/>
        </w:rPr>
      </w:pPr>
      <w:r w:rsidRPr="007B263F">
        <w:rPr>
          <w:rFonts w:ascii="Times New Roman" w:hAnsi="Times New Roman"/>
        </w:rPr>
        <w:t xml:space="preserve"> </w:t>
      </w:r>
      <w:proofErr w:type="gramStart"/>
      <w:r w:rsidRPr="007B263F">
        <w:rPr>
          <w:rFonts w:ascii="Times New Roman" w:hAnsi="Times New Roman"/>
          <w:lang w:val="en-GB"/>
        </w:rPr>
        <w:t xml:space="preserve">Bhatta, D., </w:t>
      </w:r>
      <w:r>
        <w:rPr>
          <w:rFonts w:ascii="Times New Roman" w:hAnsi="Times New Roman"/>
          <w:lang w:val="en-GB"/>
        </w:rPr>
        <w:t xml:space="preserve">and </w:t>
      </w:r>
      <w:r w:rsidRPr="007B263F">
        <w:rPr>
          <w:rFonts w:ascii="Times New Roman" w:hAnsi="Times New Roman"/>
          <w:lang w:val="en-GB"/>
        </w:rPr>
        <w:t>Henderson, G. (2016).</w:t>
      </w:r>
      <w:proofErr w:type="gramEnd"/>
      <w:r w:rsidRPr="007B263F">
        <w:rPr>
          <w:rFonts w:ascii="Times New Roman" w:hAnsi="Times New Roman"/>
          <w:lang w:val="en-GB"/>
        </w:rPr>
        <w:t xml:space="preserve"> Horizontal Transfer of Spinosad in </w:t>
      </w:r>
      <w:r w:rsidRPr="007B263F">
        <w:rPr>
          <w:rFonts w:ascii="Times New Roman" w:hAnsi="Times New Roman"/>
          <w:i/>
          <w:lang w:val="en-GB"/>
        </w:rPr>
        <w:t>Coptotermes</w:t>
      </w:r>
      <w:r w:rsidRPr="007B263F">
        <w:rPr>
          <w:rFonts w:ascii="Times New Roman" w:hAnsi="Times New Roman"/>
          <w:lang w:val="en-GB"/>
        </w:rPr>
        <w:t xml:space="preserve"> </w:t>
      </w:r>
      <w:r w:rsidRPr="007B263F">
        <w:rPr>
          <w:rFonts w:ascii="Times New Roman" w:hAnsi="Times New Roman"/>
          <w:i/>
          <w:lang w:val="en-GB"/>
        </w:rPr>
        <w:t>formosanus</w:t>
      </w:r>
      <w:r w:rsidRPr="007B263F">
        <w:rPr>
          <w:rFonts w:ascii="Times New Roman" w:hAnsi="Times New Roman"/>
          <w:lang w:val="en-GB"/>
        </w:rPr>
        <w:t xml:space="preserve"> (Isoptera: Rhinotermitidae). </w:t>
      </w:r>
      <w:r w:rsidRPr="007B263F">
        <w:rPr>
          <w:rFonts w:ascii="Times New Roman" w:hAnsi="Times New Roman"/>
          <w:i/>
          <w:lang w:val="en-GB"/>
        </w:rPr>
        <w:t>Journal of Economic Entomology</w:t>
      </w:r>
      <w:r w:rsidRPr="007B263F">
        <w:rPr>
          <w:rFonts w:ascii="Times New Roman" w:hAnsi="Times New Roman"/>
          <w:lang w:val="en-GB"/>
        </w:rPr>
        <w:t xml:space="preserve"> </w:t>
      </w:r>
      <w:r w:rsidRPr="007B263F">
        <w:rPr>
          <w:rFonts w:ascii="Times New Roman" w:hAnsi="Times New Roman"/>
          <w:b/>
          <w:lang w:val="en-GB"/>
        </w:rPr>
        <w:t>109</w:t>
      </w:r>
      <w:r w:rsidRPr="007B263F">
        <w:rPr>
          <w:rFonts w:ascii="Times New Roman" w:hAnsi="Times New Roman"/>
          <w:lang w:val="en-GB"/>
        </w:rPr>
        <w:t>, 1813-1818</w:t>
      </w:r>
    </w:p>
    <w:p w14:paraId="211D9E29" w14:textId="116A407C" w:rsidR="00F73340" w:rsidRPr="007B263F" w:rsidRDefault="00F73340" w:rsidP="00F73340">
      <w:pPr>
        <w:pStyle w:val="Refs0"/>
        <w:rPr>
          <w:rFonts w:ascii="Times New Roman" w:hAnsi="Times New Roman"/>
        </w:rPr>
      </w:pPr>
      <w:r w:rsidRPr="007B263F">
        <w:rPr>
          <w:rFonts w:ascii="Times New Roman" w:hAnsi="Times New Roman"/>
        </w:rPr>
        <w:t xml:space="preserve">Bessi, H. Ferchichi, C. Yousfi, S. Guido, F. Issaoui, M. Bikoba, V. Mitcham, E. J. Grissa, K. </w:t>
      </w:r>
      <w:r>
        <w:rPr>
          <w:rFonts w:ascii="Times New Roman" w:hAnsi="Times New Roman"/>
        </w:rPr>
        <w:t xml:space="preserve">and </w:t>
      </w:r>
      <w:r w:rsidRPr="007B263F">
        <w:rPr>
          <w:rFonts w:ascii="Times New Roman" w:hAnsi="Times New Roman"/>
        </w:rPr>
        <w:t xml:space="preserve">Bellagha, S. (2016) Determining effect of ethyl formate and Vapormate Reg. on disinfestation efficiency and organoleptic quality of date fruits. </w:t>
      </w:r>
      <w:r w:rsidRPr="007B263F">
        <w:rPr>
          <w:rFonts w:ascii="Times New Roman" w:hAnsi="Times New Roman"/>
          <w:i/>
        </w:rPr>
        <w:t>Tunisian Journal of Plant Protection</w:t>
      </w:r>
      <w:r w:rsidR="002F2119">
        <w:rPr>
          <w:rFonts w:ascii="Times New Roman" w:hAnsi="Times New Roman"/>
        </w:rPr>
        <w:t xml:space="preserve"> 11(1): 51-62</w:t>
      </w:r>
    </w:p>
    <w:p w14:paraId="08494E2F" w14:textId="680DF244" w:rsidR="00F73340" w:rsidRPr="007B263F" w:rsidRDefault="00F73340" w:rsidP="00F73340">
      <w:pPr>
        <w:pStyle w:val="Refs0"/>
        <w:rPr>
          <w:rFonts w:ascii="Times New Roman" w:hAnsi="Times New Roman"/>
        </w:rPr>
      </w:pPr>
      <w:r w:rsidRPr="007B263F">
        <w:rPr>
          <w:rFonts w:ascii="Times New Roman" w:hAnsi="Times New Roman"/>
        </w:rPr>
        <w:t>Boluarte, T., </w:t>
      </w:r>
      <w:r>
        <w:rPr>
          <w:rFonts w:ascii="Times New Roman" w:hAnsi="Times New Roman"/>
        </w:rPr>
        <w:t xml:space="preserve">and </w:t>
      </w:r>
      <w:r w:rsidR="002F2119">
        <w:rPr>
          <w:rFonts w:ascii="Times New Roman" w:hAnsi="Times New Roman"/>
        </w:rPr>
        <w:t>Jatala, P., (1992)</w:t>
      </w:r>
      <w:r w:rsidRPr="007B263F">
        <w:rPr>
          <w:rFonts w:ascii="Times New Roman" w:hAnsi="Times New Roman"/>
        </w:rPr>
        <w:t xml:space="preserve"> Development of an international race classification scheme for determination of physiological races of </w:t>
      </w:r>
      <w:r w:rsidR="00935013">
        <w:rPr>
          <w:rFonts w:ascii="Times New Roman" w:hAnsi="Times New Roman"/>
          <w:i/>
        </w:rPr>
        <w:t>Nacobbus aberrans</w:t>
      </w:r>
      <w:r w:rsidRPr="007B263F">
        <w:rPr>
          <w:rFonts w:ascii="Times New Roman" w:hAnsi="Times New Roman"/>
        </w:rPr>
        <w:t> </w:t>
      </w:r>
      <w:r w:rsidRPr="002F2119">
        <w:rPr>
          <w:rStyle w:val="Emphasis"/>
          <w:rFonts w:ascii="Times New Roman" w:hAnsi="Times New Roman"/>
          <w:b w:val="0"/>
        </w:rPr>
        <w:t>Nematropica</w:t>
      </w:r>
      <w:r w:rsidRPr="007B263F">
        <w:rPr>
          <w:rFonts w:ascii="Times New Roman" w:hAnsi="Times New Roman"/>
        </w:rPr>
        <w:t> 22</w:t>
      </w:r>
      <w:r w:rsidR="002F2119">
        <w:rPr>
          <w:rFonts w:ascii="Times New Roman" w:hAnsi="Times New Roman"/>
        </w:rPr>
        <w:t>:</w:t>
      </w:r>
      <w:r w:rsidR="00935013">
        <w:rPr>
          <w:rFonts w:ascii="Times New Roman" w:hAnsi="Times New Roman"/>
        </w:rPr>
        <w:t>119</w:t>
      </w:r>
      <w:r w:rsidRPr="007B263F">
        <w:rPr>
          <w:rFonts w:ascii="Times New Roman" w:hAnsi="Times New Roman"/>
        </w:rPr>
        <w:t> </w:t>
      </w:r>
    </w:p>
    <w:p w14:paraId="7F4918E4" w14:textId="20D720B7" w:rsidR="00F73340" w:rsidRPr="007B263F" w:rsidRDefault="0045350D" w:rsidP="00F73340">
      <w:pPr>
        <w:pStyle w:val="Refs0"/>
        <w:rPr>
          <w:rFonts w:ascii="Times New Roman" w:hAnsi="Times New Roman"/>
        </w:rPr>
      </w:pPr>
      <w:hyperlink r:id="rId43" w:history="1">
        <w:r w:rsidR="00F73340" w:rsidRPr="007B263F">
          <w:rPr>
            <w:rFonts w:ascii="Times New Roman" w:eastAsia="Minion-Regular" w:hAnsi="Times New Roman"/>
          </w:rPr>
          <w:t>Bong-Su K</w:t>
        </w:r>
      </w:hyperlink>
      <w:r w:rsidR="00F73340">
        <w:rPr>
          <w:rFonts w:ascii="Times New Roman" w:eastAsia="Minion-Regular" w:hAnsi="Times New Roman"/>
        </w:rPr>
        <w:t>.</w:t>
      </w:r>
      <w:r w:rsidR="00F73340" w:rsidRPr="007B263F">
        <w:rPr>
          <w:rFonts w:ascii="Times New Roman" w:eastAsia="Minion-Regular" w:hAnsi="Times New Roman"/>
        </w:rPr>
        <w:t>, </w:t>
      </w:r>
      <w:hyperlink r:id="rId44" w:history="1">
        <w:r w:rsidR="00F73340" w:rsidRPr="007B263F">
          <w:rPr>
            <w:rFonts w:ascii="Times New Roman" w:eastAsia="Minion-Regular" w:hAnsi="Times New Roman"/>
          </w:rPr>
          <w:t>Yang</w:t>
        </w:r>
      </w:hyperlink>
      <w:r w:rsidR="00F73340" w:rsidRPr="007B263F">
        <w:rPr>
          <w:rFonts w:ascii="Times New Roman" w:eastAsia="Minion-Regular" w:hAnsi="Times New Roman"/>
        </w:rPr>
        <w:t xml:space="preserve"> J</w:t>
      </w:r>
      <w:r w:rsidR="00F73340">
        <w:rPr>
          <w:rFonts w:ascii="Times New Roman" w:eastAsia="Minion-Regular" w:hAnsi="Times New Roman"/>
        </w:rPr>
        <w:t>.</w:t>
      </w:r>
      <w:r w:rsidR="00F73340" w:rsidRPr="007B263F">
        <w:rPr>
          <w:rFonts w:ascii="Times New Roman" w:eastAsia="Minion-Regular" w:hAnsi="Times New Roman"/>
        </w:rPr>
        <w:t>, </w:t>
      </w:r>
      <w:hyperlink r:id="rId45" w:history="1">
        <w:r w:rsidR="00F73340" w:rsidRPr="007B263F">
          <w:rPr>
            <w:rFonts w:ascii="Times New Roman" w:eastAsia="Minion-Regular" w:hAnsi="Times New Roman"/>
          </w:rPr>
          <w:t>Park</w:t>
        </w:r>
      </w:hyperlink>
      <w:r w:rsidR="00F73340" w:rsidRPr="007B263F">
        <w:rPr>
          <w:rFonts w:ascii="Times New Roman" w:eastAsia="Minion-Regular" w:hAnsi="Times New Roman"/>
        </w:rPr>
        <w:t xml:space="preserve"> M</w:t>
      </w:r>
      <w:r w:rsidR="00F73340">
        <w:rPr>
          <w:rFonts w:ascii="Times New Roman" w:eastAsia="Minion-Regular" w:hAnsi="Times New Roman"/>
        </w:rPr>
        <w:t>.</w:t>
      </w:r>
      <w:r w:rsidR="00F73340" w:rsidRPr="007B263F">
        <w:rPr>
          <w:rFonts w:ascii="Times New Roman" w:eastAsia="Minion-Regular" w:hAnsi="Times New Roman"/>
        </w:rPr>
        <w:t>, </w:t>
      </w:r>
      <w:hyperlink r:id="rId46" w:history="1">
        <w:r w:rsidR="00F73340" w:rsidRPr="007B263F">
          <w:rPr>
            <w:rFonts w:ascii="Times New Roman" w:eastAsia="Minion-Regular" w:hAnsi="Times New Roman"/>
          </w:rPr>
          <w:t xml:space="preserve"> Kim</w:t>
        </w:r>
      </w:hyperlink>
      <w:r w:rsidR="00F73340" w:rsidRPr="007B263F">
        <w:rPr>
          <w:rFonts w:ascii="Times New Roman" w:eastAsia="Minion-Regular" w:hAnsi="Times New Roman"/>
        </w:rPr>
        <w:t xml:space="preserve"> H</w:t>
      </w:r>
      <w:r w:rsidR="00F73340">
        <w:rPr>
          <w:rFonts w:ascii="Times New Roman" w:eastAsia="Minion-Regular" w:hAnsi="Times New Roman"/>
        </w:rPr>
        <w:t>.</w:t>
      </w:r>
      <w:r w:rsidR="00F73340" w:rsidRPr="007B263F">
        <w:rPr>
          <w:rFonts w:ascii="Times New Roman" w:eastAsia="Minion-Regular" w:hAnsi="Times New Roman"/>
        </w:rPr>
        <w:t>, </w:t>
      </w:r>
      <w:r w:rsidR="00F73340">
        <w:rPr>
          <w:rFonts w:ascii="Times New Roman" w:eastAsia="Minion-Regular" w:hAnsi="Times New Roman"/>
        </w:rPr>
        <w:t xml:space="preserve">and </w:t>
      </w:r>
      <w:hyperlink r:id="rId47" w:history="1">
        <w:r w:rsidR="00F73340" w:rsidRPr="007B263F">
          <w:rPr>
            <w:rFonts w:ascii="Times New Roman" w:eastAsia="Minion-Regular" w:hAnsi="Times New Roman"/>
          </w:rPr>
          <w:t>Lee</w:t>
        </w:r>
      </w:hyperlink>
      <w:r w:rsidR="00F73340" w:rsidRPr="007B263F">
        <w:rPr>
          <w:rFonts w:ascii="Times New Roman" w:eastAsia="Minion-Regular" w:hAnsi="Times New Roman"/>
        </w:rPr>
        <w:t xml:space="preserve"> B.</w:t>
      </w:r>
      <w:r w:rsidR="00F73340">
        <w:rPr>
          <w:rFonts w:ascii="Times New Roman" w:eastAsia="Minion-Regular" w:hAnsi="Times New Roman"/>
        </w:rPr>
        <w:t xml:space="preserve"> (2015)</w:t>
      </w:r>
      <w:r w:rsidR="00F73340" w:rsidRPr="007B263F">
        <w:rPr>
          <w:rFonts w:ascii="Times New Roman" w:eastAsia="Minion-Regular" w:hAnsi="Times New Roman"/>
        </w:rPr>
        <w:t xml:space="preserve"> Commercial scale fumigation trials of ethanedinitrile, a new methyl bromide alternative, on imported timbers and logs under various temperature conditions, </w:t>
      </w:r>
      <w:hyperlink r:id="rId48" w:history="1">
        <w:r w:rsidR="00F73340" w:rsidRPr="007B263F">
          <w:rPr>
            <w:rFonts w:ascii="Times New Roman" w:eastAsia="Minion-Regular" w:hAnsi="Times New Roman"/>
            <w:u w:val="single"/>
          </w:rPr>
          <w:t>http://db.koreascholar.com/article?code=306797</w:t>
        </w:r>
      </w:hyperlink>
      <w:r w:rsidR="002578F4">
        <w:rPr>
          <w:rFonts w:ascii="Times New Roman" w:eastAsia="Minion-Regular" w:hAnsi="Times New Roman"/>
          <w:u w:val="single"/>
        </w:rPr>
        <w:t xml:space="preserve"> </w:t>
      </w:r>
    </w:p>
    <w:p w14:paraId="324CEF65" w14:textId="79918B78" w:rsidR="00F73340" w:rsidRPr="007B263F" w:rsidRDefault="00F73340" w:rsidP="00F73340">
      <w:pPr>
        <w:pStyle w:val="Refs0"/>
        <w:rPr>
          <w:rFonts w:ascii="Times New Roman" w:hAnsi="Times New Roman"/>
        </w:rPr>
      </w:pPr>
      <w:proofErr w:type="gramStart"/>
      <w:r w:rsidRPr="007B263F">
        <w:rPr>
          <w:rFonts w:ascii="Times New Roman" w:hAnsi="Times New Roman"/>
        </w:rPr>
        <w:t xml:space="preserve">Buckman, K. A., Campbell, J. F., </w:t>
      </w:r>
      <w:r>
        <w:rPr>
          <w:rFonts w:ascii="Times New Roman" w:hAnsi="Times New Roman"/>
        </w:rPr>
        <w:t xml:space="preserve">and </w:t>
      </w:r>
      <w:r w:rsidRPr="007B263F">
        <w:rPr>
          <w:rFonts w:ascii="Times New Roman" w:hAnsi="Times New Roman"/>
        </w:rPr>
        <w:t>Subramanyam, B. (2013).</w:t>
      </w:r>
      <w:proofErr w:type="gramEnd"/>
      <w:r w:rsidRPr="007B263F">
        <w:rPr>
          <w:rFonts w:ascii="Times New Roman" w:hAnsi="Times New Roman"/>
        </w:rPr>
        <w:t xml:space="preserve"> </w:t>
      </w:r>
      <w:r w:rsidRPr="007B263F">
        <w:rPr>
          <w:rFonts w:ascii="Times New Roman" w:hAnsi="Times New Roman"/>
          <w:i/>
        </w:rPr>
        <w:t>Tribolium castaneum</w:t>
      </w:r>
      <w:r w:rsidRPr="007B263F">
        <w:rPr>
          <w:rFonts w:ascii="Times New Roman" w:hAnsi="Times New Roman"/>
        </w:rPr>
        <w:t xml:space="preserve"> (Coleoptera: Tenebrionidae) associated with rice mills: fumigation efficacy and population rebound. </w:t>
      </w:r>
      <w:r w:rsidRPr="001B1725">
        <w:rPr>
          <w:rFonts w:ascii="Times New Roman" w:hAnsi="Times New Roman"/>
          <w:i/>
        </w:rPr>
        <w:t>Journal of Economic Entolmology</w:t>
      </w:r>
      <w:r w:rsidRPr="007B263F">
        <w:rPr>
          <w:rFonts w:ascii="Times New Roman" w:hAnsi="Times New Roman"/>
        </w:rPr>
        <w:t xml:space="preserve"> </w:t>
      </w:r>
      <w:r w:rsidRPr="001B1725">
        <w:rPr>
          <w:rFonts w:ascii="Times New Roman" w:hAnsi="Times New Roman"/>
        </w:rPr>
        <w:t>106</w:t>
      </w:r>
      <w:r w:rsidR="002F2119">
        <w:rPr>
          <w:rFonts w:ascii="Times New Roman" w:hAnsi="Times New Roman"/>
        </w:rPr>
        <w:t>: 499-512</w:t>
      </w:r>
      <w:r w:rsidRPr="007B263F">
        <w:rPr>
          <w:rFonts w:ascii="Times New Roman" w:hAnsi="Times New Roman"/>
        </w:rPr>
        <w:t xml:space="preserve"> </w:t>
      </w:r>
    </w:p>
    <w:p w14:paraId="4C88C63D" w14:textId="546F03CE" w:rsidR="00F73340" w:rsidRPr="007B263F" w:rsidRDefault="00F73340" w:rsidP="00F73340">
      <w:pPr>
        <w:pStyle w:val="Refs0"/>
        <w:rPr>
          <w:rFonts w:ascii="Times New Roman" w:hAnsi="Times New Roman"/>
        </w:rPr>
      </w:pPr>
      <w:proofErr w:type="gramStart"/>
      <w:r w:rsidRPr="007B263F">
        <w:rPr>
          <w:rFonts w:ascii="Times New Roman" w:hAnsi="Times New Roman"/>
        </w:rPr>
        <w:t xml:space="preserve">Campbell, J. F., Buckman, K. A., Fields, P. G., </w:t>
      </w:r>
      <w:r>
        <w:rPr>
          <w:rFonts w:ascii="Times New Roman" w:hAnsi="Times New Roman"/>
        </w:rPr>
        <w:t xml:space="preserve">and </w:t>
      </w:r>
      <w:r w:rsidRPr="007B263F">
        <w:rPr>
          <w:rFonts w:ascii="Times New Roman" w:hAnsi="Times New Roman"/>
        </w:rPr>
        <w:t>Subramanyam, B. (2015).</w:t>
      </w:r>
      <w:proofErr w:type="gramEnd"/>
      <w:r w:rsidRPr="007B263F">
        <w:rPr>
          <w:rFonts w:ascii="Times New Roman" w:hAnsi="Times New Roman"/>
        </w:rPr>
        <w:t xml:space="preserve"> Evaluation of structural treatment efficacy against </w:t>
      </w:r>
      <w:r w:rsidRPr="007B263F">
        <w:rPr>
          <w:rFonts w:ascii="Times New Roman" w:hAnsi="Times New Roman"/>
          <w:i/>
        </w:rPr>
        <w:t>Tribolium castaneum</w:t>
      </w:r>
      <w:r w:rsidRPr="007B263F">
        <w:rPr>
          <w:rFonts w:ascii="Times New Roman" w:hAnsi="Times New Roman"/>
        </w:rPr>
        <w:t xml:space="preserve"> and </w:t>
      </w:r>
      <w:r w:rsidRPr="007B263F">
        <w:rPr>
          <w:rFonts w:ascii="Times New Roman" w:hAnsi="Times New Roman"/>
          <w:i/>
        </w:rPr>
        <w:t>Tribolium confusum</w:t>
      </w:r>
      <w:r w:rsidRPr="007B263F">
        <w:rPr>
          <w:rFonts w:ascii="Times New Roman" w:hAnsi="Times New Roman"/>
        </w:rPr>
        <w:t xml:space="preserve"> (Coleoptera: Tenebrionidae) using meta-analysis of multiple studies conducted in food facilities. </w:t>
      </w:r>
      <w:r w:rsidRPr="001B1725">
        <w:rPr>
          <w:rFonts w:ascii="Times New Roman" w:hAnsi="Times New Roman"/>
          <w:i/>
        </w:rPr>
        <w:t>Journal of Economic Entomology</w:t>
      </w:r>
      <w:r w:rsidRPr="007B263F">
        <w:rPr>
          <w:rFonts w:ascii="Times New Roman" w:hAnsi="Times New Roman"/>
        </w:rPr>
        <w:t xml:space="preserve"> </w:t>
      </w:r>
      <w:r w:rsidRPr="001B1725">
        <w:rPr>
          <w:rFonts w:ascii="Times New Roman" w:hAnsi="Times New Roman"/>
        </w:rPr>
        <w:t>108</w:t>
      </w:r>
      <w:r w:rsidR="002F2119">
        <w:rPr>
          <w:rFonts w:ascii="Times New Roman" w:hAnsi="Times New Roman"/>
        </w:rPr>
        <w:t>: 2125-2140</w:t>
      </w:r>
      <w:r w:rsidRPr="007B263F">
        <w:rPr>
          <w:rFonts w:ascii="Times New Roman" w:hAnsi="Times New Roman"/>
        </w:rPr>
        <w:t xml:space="preserve"> </w:t>
      </w:r>
    </w:p>
    <w:p w14:paraId="3629F61E" w14:textId="7853A801" w:rsidR="00F73340" w:rsidRPr="007B263F" w:rsidRDefault="00F73340" w:rsidP="00F73340">
      <w:pPr>
        <w:pStyle w:val="Refs0"/>
        <w:rPr>
          <w:rFonts w:ascii="Times New Roman" w:hAnsi="Times New Roman"/>
        </w:rPr>
      </w:pPr>
      <w:r w:rsidRPr="007B263F">
        <w:rPr>
          <w:rFonts w:ascii="Times New Roman" w:hAnsi="Times New Roman"/>
        </w:rPr>
        <w:t>Canto-Sáenz, M., Arcos, M.J., Jatala, P., </w:t>
      </w:r>
      <w:r>
        <w:rPr>
          <w:rFonts w:ascii="Times New Roman" w:hAnsi="Times New Roman"/>
        </w:rPr>
        <w:t xml:space="preserve">and </w:t>
      </w:r>
      <w:r w:rsidRPr="007B263F">
        <w:rPr>
          <w:rFonts w:ascii="Times New Roman" w:hAnsi="Times New Roman"/>
        </w:rPr>
        <w:t>Haddad, R. (199</w:t>
      </w:r>
      <w:r w:rsidR="002F2119">
        <w:rPr>
          <w:rFonts w:ascii="Times New Roman" w:hAnsi="Times New Roman"/>
        </w:rPr>
        <w:t>6)</w:t>
      </w:r>
      <w:r w:rsidRPr="007B263F" w:rsidDel="00EF57D3">
        <w:rPr>
          <w:rFonts w:ascii="Times New Roman" w:hAnsi="Times New Roman"/>
        </w:rPr>
        <w:t>,</w:t>
      </w:r>
      <w:r w:rsidRPr="007B263F">
        <w:rPr>
          <w:rFonts w:ascii="Times New Roman" w:hAnsi="Times New Roman"/>
        </w:rPr>
        <w:t xml:space="preserve"> Morphology, biology, and management of </w:t>
      </w:r>
      <w:r w:rsidRPr="007B263F">
        <w:rPr>
          <w:rFonts w:ascii="Times New Roman" w:hAnsi="Times New Roman"/>
          <w:i/>
        </w:rPr>
        <w:t>Nacobbus aberrans</w:t>
      </w:r>
      <w:r w:rsidRPr="007B263F">
        <w:rPr>
          <w:rFonts w:ascii="Times New Roman" w:hAnsi="Times New Roman"/>
        </w:rPr>
        <w:t xml:space="preserve"> in Peru </w:t>
      </w:r>
      <w:r w:rsidRPr="002F2119">
        <w:rPr>
          <w:rStyle w:val="Emphasis"/>
          <w:rFonts w:ascii="Times New Roman" w:hAnsi="Times New Roman"/>
          <w:b w:val="0"/>
        </w:rPr>
        <w:t>Nematropica</w:t>
      </w:r>
      <w:r w:rsidRPr="007B263F">
        <w:rPr>
          <w:rFonts w:ascii="Times New Roman" w:hAnsi="Times New Roman"/>
        </w:rPr>
        <w:t>, 26, p. 197</w:t>
      </w:r>
    </w:p>
    <w:p w14:paraId="02D39C38" w14:textId="5A542C92" w:rsidR="00F73340" w:rsidRPr="007B263F" w:rsidRDefault="00F73340" w:rsidP="00F73340">
      <w:pPr>
        <w:pStyle w:val="Refs0"/>
        <w:rPr>
          <w:rFonts w:ascii="Times New Roman" w:hAnsi="Times New Roman"/>
        </w:rPr>
      </w:pPr>
      <w:r w:rsidRPr="007B263F">
        <w:rPr>
          <w:rFonts w:ascii="Times New Roman" w:hAnsi="Times New Roman"/>
        </w:rPr>
        <w:t>Castillo</w:t>
      </w:r>
      <w:proofErr w:type="gramStart"/>
      <w:r w:rsidRPr="007B263F">
        <w:rPr>
          <w:rFonts w:ascii="Times New Roman" w:hAnsi="Times New Roman"/>
        </w:rPr>
        <w:t>,G</w:t>
      </w:r>
      <w:proofErr w:type="gramEnd"/>
      <w:r w:rsidRPr="007B263F">
        <w:rPr>
          <w:rFonts w:ascii="Times New Roman" w:hAnsi="Times New Roman"/>
        </w:rPr>
        <w:t xml:space="preserve">.,  Ozores-Hampton M., and </w:t>
      </w:r>
      <w:r w:rsidRPr="007B263F" w:rsidDel="00EF57D3">
        <w:rPr>
          <w:rFonts w:ascii="Times New Roman" w:hAnsi="Times New Roman"/>
        </w:rPr>
        <w:t>Pablo</w:t>
      </w:r>
      <w:r w:rsidR="002F2119">
        <w:rPr>
          <w:rFonts w:ascii="Times New Roman" w:hAnsi="Times New Roman"/>
        </w:rPr>
        <w:t xml:space="preserve"> Navia P., (2016 )</w:t>
      </w:r>
      <w:r w:rsidRPr="007B263F">
        <w:rPr>
          <w:rFonts w:ascii="Times New Roman" w:hAnsi="Times New Roman"/>
        </w:rPr>
        <w:t xml:space="preserve"> E</w:t>
      </w:r>
      <w:r w:rsidRPr="007B263F">
        <w:rPr>
          <w:rFonts w:ascii="Times New Roman" w:eastAsia="MS ????" w:hAnsi="Times New Roman"/>
        </w:rPr>
        <w:t>fficacy of fluensulfone in combination with 1,3-dichloropropene/chloropicrin</w:t>
      </w:r>
      <w:r w:rsidRPr="007B263F">
        <w:rPr>
          <w:rFonts w:ascii="Times New Roman" w:hAnsi="Times New Roman"/>
        </w:rPr>
        <w:t xml:space="preserve"> In: Proceedings of the Methyl Bromide Alternatives Outreach Conference (MBAO), Nov 8</w:t>
      </w:r>
      <w:r>
        <w:rPr>
          <w:rFonts w:ascii="Times New Roman" w:hAnsi="Times New Roman"/>
        </w:rPr>
        <w:t>-</w:t>
      </w:r>
      <w:r w:rsidRPr="007B263F">
        <w:rPr>
          <w:rFonts w:ascii="Times New Roman" w:hAnsi="Times New Roman"/>
        </w:rPr>
        <w:t>10, Orlando, Florida</w:t>
      </w:r>
      <w:r>
        <w:rPr>
          <w:rFonts w:ascii="Times New Roman" w:hAnsi="Times New Roman"/>
        </w:rPr>
        <w:t xml:space="preserve">, </w:t>
      </w:r>
      <w:r w:rsidR="0070607D">
        <w:rPr>
          <w:rFonts w:ascii="Times New Roman" w:hAnsi="Times New Roman"/>
        </w:rPr>
        <w:t>US</w:t>
      </w:r>
    </w:p>
    <w:p w14:paraId="0B1CB01E" w14:textId="77777777" w:rsidR="00F73340" w:rsidRPr="007B263F" w:rsidRDefault="00F73340" w:rsidP="00F73340">
      <w:pPr>
        <w:pStyle w:val="Refs0"/>
        <w:rPr>
          <w:rFonts w:ascii="Times New Roman" w:hAnsi="Times New Roman"/>
        </w:rPr>
      </w:pPr>
      <w:r w:rsidRPr="007B263F">
        <w:rPr>
          <w:rFonts w:ascii="Times New Roman" w:hAnsi="Times New Roman"/>
        </w:rPr>
        <w:lastRenderedPageBreak/>
        <w:t>Chhagan, L.E. Jamieson, M.J. Grifin, N.E.M. Page-Weir, J. Poulton, F. Zulhendri, R. Feng, P.G. Connolly, V.A. Davis, S. Olsson, S.P. Redpath, A.M. Kean and A.B. Woolf. (2013)</w:t>
      </w:r>
      <w:r>
        <w:rPr>
          <w:rFonts w:ascii="Times New Roman" w:hAnsi="Times New Roman"/>
        </w:rPr>
        <w:t xml:space="preserve">. </w:t>
      </w:r>
      <w:r w:rsidRPr="007B263F">
        <w:rPr>
          <w:rFonts w:ascii="Times New Roman" w:hAnsi="Times New Roman"/>
        </w:rPr>
        <w:t>Postharvest management of New Zealand flower thrips (</w:t>
      </w:r>
      <w:r w:rsidRPr="001B1725">
        <w:rPr>
          <w:rFonts w:ascii="Times New Roman" w:hAnsi="Times New Roman"/>
          <w:i/>
        </w:rPr>
        <w:t>Thrips obscuratus</w:t>
      </w:r>
      <w:r w:rsidRPr="007B263F">
        <w:rPr>
          <w:rFonts w:ascii="Times New Roman" w:hAnsi="Times New Roman"/>
        </w:rPr>
        <w:t xml:space="preserve">) on apricots using ethyl formate or pyrethrum-based treatments </w:t>
      </w:r>
      <w:r w:rsidRPr="001B1725">
        <w:rPr>
          <w:rFonts w:ascii="Times New Roman" w:hAnsi="Times New Roman"/>
          <w:i/>
        </w:rPr>
        <w:t>New Zealand Plant Protection</w:t>
      </w:r>
      <w:r w:rsidRPr="007B263F">
        <w:rPr>
          <w:rFonts w:ascii="Times New Roman" w:hAnsi="Times New Roman"/>
        </w:rPr>
        <w:t xml:space="preserve"> 66: 63-74 </w:t>
      </w:r>
    </w:p>
    <w:p w14:paraId="669D22F9" w14:textId="6F05D736" w:rsidR="00F73340" w:rsidRPr="007B263F" w:rsidRDefault="00F73340" w:rsidP="00F73340">
      <w:pPr>
        <w:pStyle w:val="Refs0"/>
        <w:rPr>
          <w:rFonts w:ascii="Times New Roman" w:hAnsi="Times New Roman"/>
        </w:rPr>
      </w:pPr>
      <w:proofErr w:type="gramStart"/>
      <w:r w:rsidRPr="007B263F">
        <w:rPr>
          <w:rFonts w:ascii="Times New Roman" w:hAnsi="Times New Roman"/>
        </w:rPr>
        <w:t xml:space="preserve">Choi, K.-S., Kim, H. K., Lee, B.-H., Kim, B.-S., Yang, J.-H., Koo, H.-N., </w:t>
      </w:r>
      <w:r>
        <w:rPr>
          <w:rFonts w:ascii="Times New Roman" w:hAnsi="Times New Roman"/>
        </w:rPr>
        <w:t xml:space="preserve">and </w:t>
      </w:r>
      <w:r w:rsidRPr="007B263F">
        <w:rPr>
          <w:rFonts w:ascii="Times New Roman" w:hAnsi="Times New Roman"/>
        </w:rPr>
        <w:t>Kim, G.-H.</w:t>
      </w:r>
      <w:proofErr w:type="gramEnd"/>
      <w:r w:rsidRPr="007B263F">
        <w:rPr>
          <w:rFonts w:ascii="Times New Roman" w:hAnsi="Times New Roman"/>
        </w:rPr>
        <w:t xml:space="preserve"> (2014). Fumigant toxicity of phosphine to the Japanese termite, </w:t>
      </w:r>
      <w:r w:rsidRPr="007B263F">
        <w:rPr>
          <w:rFonts w:ascii="Times New Roman" w:hAnsi="Times New Roman"/>
          <w:i/>
        </w:rPr>
        <w:t>Reticulitermes speratus</w:t>
      </w:r>
      <w:r w:rsidRPr="007B263F">
        <w:rPr>
          <w:rFonts w:ascii="Times New Roman" w:hAnsi="Times New Roman"/>
        </w:rPr>
        <w:t xml:space="preserve"> Ko</w:t>
      </w:r>
      <w:r w:rsidR="00935013">
        <w:rPr>
          <w:rFonts w:ascii="Times New Roman" w:hAnsi="Times New Roman"/>
        </w:rPr>
        <w:t>lbe (Isoptera: Rhinotermitidae)</w:t>
      </w:r>
      <w:r w:rsidRPr="007B263F">
        <w:rPr>
          <w:rFonts w:ascii="Times New Roman" w:hAnsi="Times New Roman"/>
        </w:rPr>
        <w:t xml:space="preserve"> </w:t>
      </w:r>
      <w:r w:rsidRPr="001B1725">
        <w:rPr>
          <w:rFonts w:ascii="Times New Roman" w:hAnsi="Times New Roman"/>
          <w:i/>
        </w:rPr>
        <w:t xml:space="preserve">Journal of Stored Products Research </w:t>
      </w:r>
      <w:r w:rsidRPr="001B1725">
        <w:rPr>
          <w:rFonts w:ascii="Times New Roman" w:hAnsi="Times New Roman"/>
        </w:rPr>
        <w:t>5</w:t>
      </w:r>
      <w:r w:rsidRPr="007B263F">
        <w:rPr>
          <w:rFonts w:ascii="Times New Roman" w:hAnsi="Times New Roman"/>
          <w:b/>
        </w:rPr>
        <w:t>7</w:t>
      </w:r>
      <w:r w:rsidR="002F2119">
        <w:rPr>
          <w:rFonts w:ascii="Times New Roman" w:hAnsi="Times New Roman"/>
        </w:rPr>
        <w:t>: 24-29</w:t>
      </w:r>
      <w:r w:rsidRPr="007B263F">
        <w:rPr>
          <w:rFonts w:ascii="Times New Roman" w:hAnsi="Times New Roman"/>
        </w:rPr>
        <w:t xml:space="preserve"> </w:t>
      </w:r>
    </w:p>
    <w:p w14:paraId="3553A482" w14:textId="4CE3038D" w:rsidR="00F73340" w:rsidRPr="007B263F" w:rsidRDefault="00F73340" w:rsidP="00F73340">
      <w:pPr>
        <w:pStyle w:val="Refs0"/>
        <w:rPr>
          <w:rFonts w:ascii="Times New Roman" w:hAnsi="Times New Roman"/>
          <w:lang w:val="fr-FR"/>
        </w:rPr>
      </w:pPr>
      <w:r w:rsidRPr="007B263F">
        <w:rPr>
          <w:rFonts w:ascii="Times New Roman" w:hAnsi="Times New Roman"/>
          <w:lang w:val="fr-FR"/>
        </w:rPr>
        <w:t xml:space="preserve">Chaves, E.J., </w:t>
      </w:r>
      <w:r>
        <w:rPr>
          <w:rFonts w:ascii="Times New Roman" w:hAnsi="Times New Roman"/>
          <w:lang w:val="fr-FR"/>
        </w:rPr>
        <w:t xml:space="preserve">and </w:t>
      </w:r>
      <w:r w:rsidRPr="007B263F">
        <w:rPr>
          <w:rFonts w:ascii="Times New Roman" w:hAnsi="Times New Roman"/>
          <w:lang w:val="fr-FR"/>
        </w:rPr>
        <w:t xml:space="preserve">de Sisler, G.M., (1980). Presencia de </w:t>
      </w:r>
      <w:r w:rsidRPr="007B263F">
        <w:rPr>
          <w:rFonts w:ascii="Times New Roman" w:hAnsi="Times New Roman"/>
          <w:i/>
          <w:lang w:val="fr-FR"/>
        </w:rPr>
        <w:t>Nacobbus aberrans</w:t>
      </w:r>
      <w:r w:rsidRPr="007B263F">
        <w:rPr>
          <w:rFonts w:ascii="Times New Roman" w:hAnsi="Times New Roman"/>
          <w:lang w:val="fr-FR"/>
        </w:rPr>
        <w:t xml:space="preserve"> (Thorne, 1935) Thorne &amp; Allen 1944 (Nematoidea: Nacobbidae) en cultivos hortícolas de las provincias de Buenos Aires y Santa Fe asociados con otros nematodos. </w:t>
      </w:r>
      <w:r w:rsidRPr="001B1725">
        <w:rPr>
          <w:rFonts w:ascii="Times New Roman" w:hAnsi="Times New Roman"/>
          <w:i/>
          <w:lang w:val="fr-FR"/>
        </w:rPr>
        <w:t>IDIA</w:t>
      </w:r>
      <w:r w:rsidRPr="007B263F">
        <w:rPr>
          <w:rFonts w:ascii="Times New Roman" w:hAnsi="Times New Roman"/>
          <w:lang w:val="fr-FR"/>
        </w:rPr>
        <w:t xml:space="preserve"> 385-386</w:t>
      </w:r>
      <w:r w:rsidR="002F2119">
        <w:rPr>
          <w:rFonts w:ascii="Times New Roman" w:hAnsi="Times New Roman"/>
          <w:lang w:val="fr-FR"/>
        </w:rPr>
        <w:t> :</w:t>
      </w:r>
      <w:r w:rsidRPr="007B263F">
        <w:rPr>
          <w:rFonts w:ascii="Times New Roman" w:hAnsi="Times New Roman"/>
          <w:lang w:val="fr-FR"/>
        </w:rPr>
        <w:t xml:space="preserve"> 13-15</w:t>
      </w:r>
    </w:p>
    <w:p w14:paraId="64DAD5A8" w14:textId="5569B118" w:rsidR="00F73340" w:rsidRPr="007B263F" w:rsidRDefault="00F73340" w:rsidP="00F73340">
      <w:pPr>
        <w:pStyle w:val="Refs0"/>
        <w:rPr>
          <w:rFonts w:ascii="Times New Roman" w:hAnsi="Times New Roman"/>
          <w:lang w:val="fr-FR"/>
        </w:rPr>
      </w:pPr>
      <w:r w:rsidRPr="007B263F">
        <w:rPr>
          <w:rFonts w:ascii="Times New Roman" w:hAnsi="Times New Roman"/>
          <w:lang w:val="fr-FR"/>
        </w:rPr>
        <w:t xml:space="preserve">Costilla, M., </w:t>
      </w:r>
      <w:r>
        <w:rPr>
          <w:rFonts w:ascii="Times New Roman" w:hAnsi="Times New Roman"/>
          <w:lang w:val="fr-FR"/>
        </w:rPr>
        <w:t xml:space="preserve">and </w:t>
      </w:r>
      <w:proofErr w:type="gramStart"/>
      <w:r w:rsidRPr="007B263F">
        <w:rPr>
          <w:rFonts w:ascii="Times New Roman" w:hAnsi="Times New Roman"/>
          <w:lang w:val="fr-FR"/>
        </w:rPr>
        <w:t>de Ojeda</w:t>
      </w:r>
      <w:proofErr w:type="gramEnd"/>
      <w:r w:rsidRPr="007B263F">
        <w:rPr>
          <w:rFonts w:ascii="Times New Roman" w:hAnsi="Times New Roman"/>
          <w:lang w:val="fr-FR"/>
        </w:rPr>
        <w:t>, S., (1985). Grado de susceptibilidad y resistencia de plantas cultivadas y no cultivadas al falso nematodo del n</w:t>
      </w:r>
      <w:r>
        <w:rPr>
          <w:rFonts w:ascii="Times New Roman" w:hAnsi="Times New Roman"/>
          <w:lang w:val="fr-FR"/>
        </w:rPr>
        <w:t>ó</w:t>
      </w:r>
      <w:r w:rsidRPr="007B263F">
        <w:rPr>
          <w:rFonts w:ascii="Times New Roman" w:hAnsi="Times New Roman"/>
          <w:lang w:val="fr-FR"/>
        </w:rPr>
        <w:t xml:space="preserve">dulo </w:t>
      </w:r>
      <w:r w:rsidRPr="007B263F">
        <w:rPr>
          <w:rFonts w:ascii="Times New Roman" w:hAnsi="Times New Roman"/>
          <w:i/>
          <w:lang w:val="fr-FR"/>
        </w:rPr>
        <w:t>Nacobbus aberrans</w:t>
      </w:r>
      <w:r w:rsidRPr="007B263F">
        <w:rPr>
          <w:rFonts w:ascii="Times New Roman" w:hAnsi="Times New Roman"/>
          <w:lang w:val="fr-FR"/>
        </w:rPr>
        <w:t xml:space="preserve"> (Thorne, 1935) Thorne &amp; Allen, 1944 en la Argentina. In: Franco, J., Rinc_on, H.</w:t>
      </w:r>
      <w:r w:rsidR="0024285E">
        <w:rPr>
          <w:rFonts w:ascii="Times New Roman" w:hAnsi="Times New Roman"/>
          <w:lang w:val="fr-FR"/>
        </w:rPr>
        <w:t xml:space="preserve"> </w:t>
      </w:r>
      <w:r w:rsidRPr="007B263F">
        <w:rPr>
          <w:rFonts w:ascii="Times New Roman" w:hAnsi="Times New Roman"/>
          <w:lang w:val="fr-FR"/>
        </w:rPr>
        <w:t>(Eds.), Investigaciones Nematol</w:t>
      </w:r>
      <w:r>
        <w:rPr>
          <w:rFonts w:ascii="Times New Roman" w:hAnsi="Times New Roman"/>
          <w:lang w:val="fr-FR"/>
        </w:rPr>
        <w:t>ó</w:t>
      </w:r>
      <w:r w:rsidRPr="007B263F">
        <w:rPr>
          <w:rFonts w:ascii="Times New Roman" w:hAnsi="Times New Roman"/>
          <w:lang w:val="fr-FR"/>
        </w:rPr>
        <w:t>gicas en Programas Latinoamericanos de Papa, vol. 1. International Potato Center, Lima, pp. 21-25.</w:t>
      </w:r>
    </w:p>
    <w:p w14:paraId="3A438458" w14:textId="47CA94B2" w:rsidR="00F73340" w:rsidRPr="007B263F" w:rsidRDefault="00F73340" w:rsidP="00F73340">
      <w:pPr>
        <w:pStyle w:val="Refs0"/>
        <w:rPr>
          <w:rFonts w:ascii="Times New Roman" w:hAnsi="Times New Roman"/>
          <w:lang w:val="fr-FR"/>
        </w:rPr>
      </w:pPr>
      <w:r w:rsidRPr="007B263F">
        <w:rPr>
          <w:rFonts w:ascii="Times New Roman" w:hAnsi="Times New Roman"/>
          <w:lang w:val="fr-FR"/>
        </w:rPr>
        <w:t xml:space="preserve">Costilla, M.A., (1990.) Comportamiento e importancia de tres poblaciones de Nacobbus aberrans (Thorne, 1935) Thorne y Allen, 1944 en tomate y pimiento en tres localidades del noroeste argentino. </w:t>
      </w:r>
      <w:r w:rsidRPr="001B1725">
        <w:rPr>
          <w:rFonts w:ascii="Times New Roman" w:hAnsi="Times New Roman"/>
          <w:i/>
          <w:lang w:val="fr-FR"/>
        </w:rPr>
        <w:t>Nematropica</w:t>
      </w:r>
      <w:r w:rsidRPr="007B263F">
        <w:rPr>
          <w:rFonts w:ascii="Times New Roman" w:hAnsi="Times New Roman"/>
          <w:lang w:val="fr-FR"/>
        </w:rPr>
        <w:t xml:space="preserve"> 20</w:t>
      </w:r>
      <w:r w:rsidR="002F2119">
        <w:rPr>
          <w:rFonts w:ascii="Times New Roman" w:hAnsi="Times New Roman"/>
          <w:lang w:val="fr-FR"/>
        </w:rPr>
        <w:t> :</w:t>
      </w:r>
      <w:r w:rsidRPr="007B263F">
        <w:rPr>
          <w:rFonts w:ascii="Times New Roman" w:hAnsi="Times New Roman"/>
          <w:lang w:val="fr-FR"/>
        </w:rPr>
        <w:t xml:space="preserve"> 2e3 (abstr.).</w:t>
      </w:r>
    </w:p>
    <w:p w14:paraId="4B38F68A" w14:textId="6DBF0D2F" w:rsidR="00F73340" w:rsidRPr="007B263F" w:rsidRDefault="0045350D" w:rsidP="00F73340">
      <w:pPr>
        <w:pStyle w:val="Refs0"/>
        <w:rPr>
          <w:rFonts w:ascii="Times New Roman" w:hAnsi="Times New Roman"/>
          <w:bCs/>
          <w:kern w:val="36"/>
          <w:lang w:eastAsia="fr-FR"/>
        </w:rPr>
      </w:pPr>
      <w:hyperlink r:id="rId49" w:history="1">
        <w:r w:rsidR="00F73340" w:rsidRPr="007B263F">
          <w:rPr>
            <w:rFonts w:ascii="Times New Roman" w:hAnsi="Times New Roman"/>
            <w:lang w:val="fr-FR" w:eastAsia="fr-FR"/>
          </w:rPr>
          <w:t>Cristóbal-Alejo</w:t>
        </w:r>
      </w:hyperlink>
      <w:r w:rsidR="00F73340" w:rsidRPr="007B263F">
        <w:rPr>
          <w:rFonts w:ascii="Times New Roman" w:hAnsi="Times New Roman"/>
          <w:lang w:val="fr-FR"/>
        </w:rPr>
        <w:t xml:space="preserve"> J</w:t>
      </w:r>
      <w:r w:rsidR="00F73340">
        <w:rPr>
          <w:rFonts w:ascii="Times New Roman" w:hAnsi="Times New Roman"/>
          <w:lang w:val="fr-FR"/>
        </w:rPr>
        <w:t>.,</w:t>
      </w:r>
      <w:r w:rsidR="00F73340" w:rsidRPr="007B263F">
        <w:rPr>
          <w:rFonts w:ascii="Times New Roman" w:hAnsi="Times New Roman"/>
          <w:lang w:val="fr-FR" w:eastAsia="fr-FR"/>
        </w:rPr>
        <w:t xml:space="preserve"> Mora-Aguilera G</w:t>
      </w:r>
      <w:r w:rsidR="00F73340">
        <w:rPr>
          <w:rFonts w:ascii="Times New Roman" w:hAnsi="Times New Roman"/>
          <w:lang w:val="fr-FR" w:eastAsia="fr-FR"/>
        </w:rPr>
        <w:t>.,</w:t>
      </w:r>
      <w:r w:rsidR="00F73340" w:rsidRPr="007B263F">
        <w:rPr>
          <w:rFonts w:ascii="Times New Roman" w:hAnsi="Times New Roman"/>
          <w:lang w:val="fr-FR" w:eastAsia="fr-FR"/>
        </w:rPr>
        <w:t>Manzanilla-López R.H</w:t>
      </w:r>
      <w:r w:rsidR="00F73340">
        <w:rPr>
          <w:rFonts w:ascii="Times New Roman" w:hAnsi="Times New Roman"/>
          <w:lang w:val="fr-FR" w:eastAsia="fr-FR"/>
        </w:rPr>
        <w:t>.,</w:t>
      </w:r>
      <w:r w:rsidR="00F73340" w:rsidRPr="007B263F">
        <w:rPr>
          <w:rFonts w:ascii="Times New Roman" w:hAnsi="Times New Roman"/>
          <w:lang w:val="fr-FR" w:eastAsia="fr-FR"/>
        </w:rPr>
        <w:t xml:space="preserve"> </w:t>
      </w:r>
      <w:hyperlink r:id="rId50" w:history="1">
        <w:r w:rsidR="00F73340" w:rsidRPr="007B263F">
          <w:rPr>
            <w:rFonts w:ascii="Times New Roman" w:hAnsi="Times New Roman"/>
            <w:lang w:val="fr-FR" w:eastAsia="fr-FR"/>
          </w:rPr>
          <w:t>Marbán-Méndoza</w:t>
        </w:r>
      </w:hyperlink>
      <w:r w:rsidR="00F73340" w:rsidRPr="007B263F">
        <w:rPr>
          <w:rFonts w:ascii="Times New Roman" w:hAnsi="Times New Roman"/>
          <w:lang w:val="fr-FR" w:eastAsia="fr-FR"/>
        </w:rPr>
        <w:t xml:space="preserve">; N., </w:t>
      </w:r>
      <w:hyperlink r:id="rId51" w:history="1">
        <w:r w:rsidR="00F73340" w:rsidRPr="007B263F">
          <w:rPr>
            <w:rFonts w:ascii="Times New Roman" w:hAnsi="Times New Roman"/>
            <w:lang w:val="fr-FR" w:eastAsia="fr-FR"/>
          </w:rPr>
          <w:t>Sánchez-Garcia</w:t>
        </w:r>
      </w:hyperlink>
      <w:r w:rsidR="00F73340" w:rsidRPr="007B263F">
        <w:rPr>
          <w:rFonts w:ascii="Times New Roman" w:hAnsi="Times New Roman"/>
          <w:lang w:val="fr-FR"/>
        </w:rPr>
        <w:t xml:space="preserve"> P.</w:t>
      </w:r>
      <w:r w:rsidR="00F73340">
        <w:rPr>
          <w:rFonts w:ascii="Times New Roman" w:hAnsi="Times New Roman"/>
          <w:lang w:val="fr-FR"/>
        </w:rPr>
        <w:t>,</w:t>
      </w:r>
      <w:r w:rsidR="00F73340" w:rsidRPr="007B263F">
        <w:rPr>
          <w:rFonts w:ascii="Times New Roman" w:hAnsi="Times New Roman"/>
          <w:lang w:val="fr-FR" w:eastAsia="fr-FR"/>
        </w:rPr>
        <w:t xml:space="preserve">; </w:t>
      </w:r>
      <w:hyperlink r:id="rId52" w:history="1">
        <w:r w:rsidR="00F73340" w:rsidRPr="007B263F">
          <w:rPr>
            <w:rFonts w:ascii="Times New Roman" w:hAnsi="Times New Roman"/>
            <w:lang w:val="fr-FR" w:eastAsia="fr-FR"/>
          </w:rPr>
          <w:t xml:space="preserve"> Del Prado-Vera</w:t>
        </w:r>
      </w:hyperlink>
      <w:r w:rsidR="00F73340" w:rsidRPr="007B263F">
        <w:rPr>
          <w:rFonts w:ascii="Times New Roman" w:hAnsi="Times New Roman"/>
          <w:lang w:val="fr-FR" w:eastAsia="fr-FR"/>
        </w:rPr>
        <w:t> I., </w:t>
      </w:r>
      <w:r w:rsidR="00F73340">
        <w:rPr>
          <w:rFonts w:ascii="Times New Roman" w:hAnsi="Times New Roman"/>
          <w:lang w:val="fr-FR" w:eastAsia="fr-FR"/>
        </w:rPr>
        <w:t xml:space="preserve">and </w:t>
      </w:r>
      <w:hyperlink r:id="rId53" w:history="1">
        <w:r w:rsidR="00F73340" w:rsidRPr="007B263F">
          <w:rPr>
            <w:rFonts w:ascii="Times New Roman" w:hAnsi="Times New Roman"/>
            <w:lang w:val="fr-FR" w:eastAsia="fr-FR"/>
          </w:rPr>
          <w:t>Evans</w:t>
        </w:r>
      </w:hyperlink>
      <w:r w:rsidR="00F73340">
        <w:rPr>
          <w:rFonts w:ascii="Times New Roman" w:hAnsi="Times New Roman"/>
          <w:lang w:val="fr-FR" w:eastAsia="fr-FR"/>
        </w:rPr>
        <w:t>,K.,</w:t>
      </w:r>
      <w:r w:rsidR="00F73340" w:rsidRPr="007B263F">
        <w:rPr>
          <w:rFonts w:ascii="Times New Roman" w:hAnsi="Times New Roman"/>
          <w:lang w:val="fr-FR" w:eastAsia="fr-FR"/>
        </w:rPr>
        <w:t xml:space="preserve"> (2006).</w:t>
      </w:r>
      <w:r w:rsidR="00F73340" w:rsidRPr="007B263F">
        <w:rPr>
          <w:rFonts w:ascii="Times New Roman" w:hAnsi="Times New Roman"/>
          <w:bCs/>
          <w:kern w:val="36"/>
          <w:lang w:val="fr-FR" w:eastAsia="fr-FR"/>
        </w:rPr>
        <w:t xml:space="preserve"> </w:t>
      </w:r>
      <w:r w:rsidR="00F73340" w:rsidRPr="007B263F">
        <w:rPr>
          <w:rFonts w:ascii="Times New Roman" w:hAnsi="Times New Roman"/>
          <w:bCs/>
          <w:kern w:val="36"/>
          <w:lang w:eastAsia="fr-FR"/>
        </w:rPr>
        <w:t xml:space="preserve">Epidemiology and integrated control of </w:t>
      </w:r>
      <w:r w:rsidR="00F73340" w:rsidRPr="007B263F">
        <w:rPr>
          <w:rFonts w:ascii="Times New Roman" w:hAnsi="Times New Roman"/>
          <w:bCs/>
          <w:i/>
          <w:iCs/>
          <w:kern w:val="36"/>
          <w:lang w:eastAsia="fr-FR"/>
        </w:rPr>
        <w:t>Nacobbus aberrans</w:t>
      </w:r>
      <w:r w:rsidR="002F2119">
        <w:rPr>
          <w:rFonts w:ascii="Times New Roman" w:hAnsi="Times New Roman"/>
          <w:bCs/>
          <w:kern w:val="36"/>
          <w:lang w:eastAsia="fr-FR"/>
        </w:rPr>
        <w:t xml:space="preserve"> on tomato in Mexico</w:t>
      </w:r>
      <w:r w:rsidR="00F73340" w:rsidRPr="007B263F">
        <w:rPr>
          <w:rFonts w:ascii="Times New Roman" w:hAnsi="Times New Roman"/>
          <w:bCs/>
          <w:kern w:val="36"/>
          <w:lang w:eastAsia="fr-FR"/>
        </w:rPr>
        <w:t xml:space="preserve"> </w:t>
      </w:r>
      <w:hyperlink r:id="rId54" w:history="1">
        <w:r w:rsidR="00F73340" w:rsidRPr="001B1725">
          <w:rPr>
            <w:rFonts w:ascii="Times New Roman" w:hAnsi="Times New Roman"/>
            <w:i/>
            <w:lang w:eastAsia="fr-FR"/>
          </w:rPr>
          <w:t>Nematology</w:t>
        </w:r>
      </w:hyperlink>
      <w:r w:rsidR="00F73340" w:rsidRPr="001B1725">
        <w:rPr>
          <w:rFonts w:ascii="Times New Roman" w:hAnsi="Times New Roman"/>
          <w:i/>
          <w:lang w:eastAsia="fr-FR"/>
        </w:rPr>
        <w:t>,</w:t>
      </w:r>
      <w:r w:rsidR="00F73340" w:rsidRPr="007B263F">
        <w:rPr>
          <w:rFonts w:ascii="Times New Roman" w:hAnsi="Times New Roman"/>
          <w:lang w:eastAsia="fr-FR"/>
        </w:rPr>
        <w:t xml:space="preserve"> 8</w:t>
      </w:r>
      <w:r w:rsidR="002F2119">
        <w:rPr>
          <w:rFonts w:ascii="Times New Roman" w:hAnsi="Times New Roman"/>
          <w:lang w:eastAsia="fr-FR"/>
        </w:rPr>
        <w:t>(</w:t>
      </w:r>
      <w:r w:rsidR="00F73340" w:rsidRPr="007B263F">
        <w:rPr>
          <w:rFonts w:ascii="Times New Roman" w:hAnsi="Times New Roman"/>
          <w:lang w:eastAsia="fr-FR"/>
        </w:rPr>
        <w:t>5</w:t>
      </w:r>
      <w:r w:rsidR="002F2119">
        <w:rPr>
          <w:rFonts w:ascii="Times New Roman" w:hAnsi="Times New Roman"/>
          <w:lang w:eastAsia="fr-FR"/>
        </w:rPr>
        <w:t>)</w:t>
      </w:r>
      <w:r w:rsidR="0024285E">
        <w:rPr>
          <w:rFonts w:ascii="Times New Roman" w:hAnsi="Times New Roman"/>
          <w:lang w:eastAsia="fr-FR"/>
        </w:rPr>
        <w:t xml:space="preserve">: </w:t>
      </w:r>
      <w:r w:rsidR="00F73340" w:rsidRPr="007B263F">
        <w:rPr>
          <w:rFonts w:ascii="Times New Roman" w:hAnsi="Times New Roman"/>
          <w:lang w:eastAsia="fr-FR"/>
        </w:rPr>
        <w:t xml:space="preserve">727 – 737 </w:t>
      </w:r>
    </w:p>
    <w:p w14:paraId="6356EC6A" w14:textId="3434AF36" w:rsidR="00F73340" w:rsidRPr="007B263F" w:rsidRDefault="00F73340" w:rsidP="00F73340">
      <w:pPr>
        <w:pStyle w:val="Refs0"/>
        <w:rPr>
          <w:rFonts w:ascii="Times New Roman" w:hAnsi="Times New Roman"/>
        </w:rPr>
      </w:pPr>
      <w:r w:rsidRPr="007B263F">
        <w:rPr>
          <w:rFonts w:ascii="Times New Roman" w:hAnsi="Times New Roman"/>
          <w:lang w:val="fr-FR"/>
        </w:rPr>
        <w:t>Del Toro, S., Castellanos, S., Larriqueta, J., Moyano, E., Bustamante, C., Emili, S.,</w:t>
      </w:r>
      <w:r w:rsidR="0024285E">
        <w:rPr>
          <w:rFonts w:ascii="Times New Roman" w:hAnsi="Times New Roman"/>
          <w:lang w:val="fr-FR"/>
        </w:rPr>
        <w:t xml:space="preserve"> </w:t>
      </w:r>
      <w:r w:rsidRPr="007B263F">
        <w:rPr>
          <w:rFonts w:ascii="Times New Roman" w:hAnsi="Times New Roman"/>
          <w:lang w:val="fr-FR"/>
        </w:rPr>
        <w:t xml:space="preserve">Debandi, G., Ferrari, P., Estevez, G., </w:t>
      </w:r>
      <w:r>
        <w:rPr>
          <w:rFonts w:ascii="Times New Roman" w:hAnsi="Times New Roman"/>
          <w:lang w:val="fr-FR"/>
        </w:rPr>
        <w:t xml:space="preserve">and </w:t>
      </w:r>
      <w:r w:rsidRPr="007B263F">
        <w:rPr>
          <w:rFonts w:ascii="Times New Roman" w:hAnsi="Times New Roman"/>
          <w:lang w:val="fr-FR"/>
        </w:rPr>
        <w:t>Vega, E., (2004). Falso nematodo del nudo. Una fuente de recursos gen</w:t>
      </w:r>
      <w:r>
        <w:rPr>
          <w:rFonts w:ascii="Times New Roman" w:hAnsi="Times New Roman"/>
          <w:lang w:val="fr-FR"/>
        </w:rPr>
        <w:t>é</w:t>
      </w:r>
      <w:r w:rsidRPr="007B263F">
        <w:rPr>
          <w:rFonts w:ascii="Times New Roman" w:hAnsi="Times New Roman"/>
          <w:lang w:val="fr-FR"/>
        </w:rPr>
        <w:t xml:space="preserve">ticos </w:t>
      </w:r>
      <w:proofErr w:type="gramStart"/>
      <w:r w:rsidRPr="007B263F">
        <w:rPr>
          <w:rFonts w:ascii="Times New Roman" w:hAnsi="Times New Roman"/>
          <w:lang w:val="fr-FR"/>
        </w:rPr>
        <w:t>de extraordinaria</w:t>
      </w:r>
      <w:proofErr w:type="gramEnd"/>
      <w:r w:rsidRPr="007B263F">
        <w:rPr>
          <w:rFonts w:ascii="Times New Roman" w:hAnsi="Times New Roman"/>
          <w:lang w:val="fr-FR"/>
        </w:rPr>
        <w:t xml:space="preserve"> utilidad para la ciencia. </w:t>
      </w:r>
      <w:r w:rsidRPr="007B263F">
        <w:rPr>
          <w:rFonts w:ascii="Times New Roman" w:hAnsi="Times New Roman"/>
        </w:rPr>
        <w:t>Available at:</w:t>
      </w:r>
      <w:r>
        <w:rPr>
          <w:rFonts w:ascii="Times New Roman" w:hAnsi="Times New Roman"/>
        </w:rPr>
        <w:t xml:space="preserve"> </w:t>
      </w:r>
      <w:hyperlink r:id="rId55" w:history="1">
        <w:r w:rsidR="002F2119" w:rsidRPr="00A90B25">
          <w:rPr>
            <w:rStyle w:val="Hyperlink"/>
            <w:rFonts w:ascii="Times New Roman" w:hAnsi="Times New Roman"/>
          </w:rPr>
          <w:t>http://www.losandes.com.ar/2004/0531/Suplementos/Campo/nota190383</w:t>
        </w:r>
      </w:hyperlink>
      <w:r w:rsidR="002F2119">
        <w:rPr>
          <w:rFonts w:ascii="Times New Roman" w:hAnsi="Times New Roman"/>
        </w:rPr>
        <w:t xml:space="preserve"> </w:t>
      </w:r>
    </w:p>
    <w:p w14:paraId="18B88802" w14:textId="6357D690" w:rsidR="00F73340" w:rsidRPr="007B263F" w:rsidRDefault="00F73340" w:rsidP="00F73340">
      <w:pPr>
        <w:pStyle w:val="Refs0"/>
        <w:rPr>
          <w:rFonts w:ascii="Times New Roman" w:hAnsi="Times New Roman"/>
        </w:rPr>
      </w:pPr>
      <w:r w:rsidRPr="007B263F">
        <w:rPr>
          <w:rFonts w:ascii="Times New Roman" w:hAnsi="Times New Roman"/>
          <w:lang w:val="en-GB"/>
        </w:rPr>
        <w:t xml:space="preserve">Djian-Caporalino, C., Vedie, H., </w:t>
      </w:r>
      <w:r>
        <w:rPr>
          <w:rFonts w:ascii="Times New Roman" w:hAnsi="Times New Roman"/>
          <w:lang w:val="en-GB"/>
        </w:rPr>
        <w:t xml:space="preserve">and </w:t>
      </w:r>
      <w:r w:rsidR="002F2119">
        <w:rPr>
          <w:rFonts w:ascii="Times New Roman" w:hAnsi="Times New Roman"/>
          <w:lang w:val="en-GB"/>
        </w:rPr>
        <w:t>Arrufat, A., (2009)</w:t>
      </w:r>
      <w:r w:rsidRPr="007B263F">
        <w:rPr>
          <w:rFonts w:ascii="Times New Roman" w:hAnsi="Times New Roman"/>
          <w:lang w:val="en-GB"/>
        </w:rPr>
        <w:t xml:space="preserve"> </w:t>
      </w:r>
      <w:r w:rsidRPr="007B263F">
        <w:rPr>
          <w:rFonts w:ascii="Times New Roman" w:hAnsi="Times New Roman"/>
          <w:lang w:val="fr-FR"/>
        </w:rPr>
        <w:t xml:space="preserve">De nouvelles pistes pour gérer les nématodes à galles. </w:t>
      </w:r>
      <w:proofErr w:type="gramStart"/>
      <w:r w:rsidRPr="007B263F">
        <w:rPr>
          <w:rFonts w:ascii="Times New Roman" w:hAnsi="Times New Roman"/>
        </w:rPr>
        <w:t>PHM Rev. Hortic.</w:t>
      </w:r>
      <w:proofErr w:type="gramEnd"/>
      <w:r w:rsidRPr="007B263F">
        <w:rPr>
          <w:rFonts w:ascii="Times New Roman" w:hAnsi="Times New Roman"/>
        </w:rPr>
        <w:t xml:space="preserve"> 515, 34-37</w:t>
      </w:r>
    </w:p>
    <w:p w14:paraId="7A4684F9" w14:textId="64B414D7" w:rsidR="00F73340" w:rsidRPr="007B263F" w:rsidRDefault="00F73340" w:rsidP="00F73340">
      <w:pPr>
        <w:pStyle w:val="Refs0"/>
        <w:rPr>
          <w:rFonts w:ascii="Times New Roman" w:hAnsi="Times New Roman"/>
          <w:lang w:val="fr-FR"/>
        </w:rPr>
      </w:pPr>
      <w:r w:rsidRPr="007B263F">
        <w:rPr>
          <w:rFonts w:ascii="Times New Roman" w:hAnsi="Times New Roman"/>
        </w:rPr>
        <w:t xml:space="preserve">Doucet, E.M., Gardenal, C.N. The genus </w:t>
      </w:r>
      <w:r w:rsidRPr="007B263F">
        <w:rPr>
          <w:rFonts w:ascii="Times New Roman" w:hAnsi="Times New Roman"/>
          <w:i/>
        </w:rPr>
        <w:t>Nacobbus</w:t>
      </w:r>
      <w:r w:rsidR="002F2119">
        <w:rPr>
          <w:rFonts w:ascii="Times New Roman" w:hAnsi="Times New Roman"/>
        </w:rPr>
        <w:t xml:space="preserve"> in Argentina</w:t>
      </w:r>
      <w:proofErr w:type="gramStart"/>
      <w:r w:rsidR="002F2119">
        <w:rPr>
          <w:rFonts w:ascii="Times New Roman" w:hAnsi="Times New Roman"/>
        </w:rPr>
        <w:t>.</w:t>
      </w:r>
      <w:r w:rsidRPr="007B263F">
        <w:rPr>
          <w:rFonts w:ascii="Times New Roman" w:hAnsi="Times New Roman"/>
        </w:rPr>
        <w:t>(</w:t>
      </w:r>
      <w:proofErr w:type="gramEnd"/>
      <w:r w:rsidRPr="007B263F">
        <w:rPr>
          <w:rFonts w:ascii="Times New Roman" w:hAnsi="Times New Roman"/>
        </w:rPr>
        <w:t>199</w:t>
      </w:r>
      <w:r w:rsidR="002F2119">
        <w:rPr>
          <w:rFonts w:ascii="Times New Roman" w:hAnsi="Times New Roman"/>
        </w:rPr>
        <w:t>2)</w:t>
      </w:r>
      <w:r w:rsidRPr="007B263F">
        <w:rPr>
          <w:rFonts w:ascii="Times New Roman" w:hAnsi="Times New Roman"/>
        </w:rPr>
        <w:t xml:space="preserve"> Preliminary comparison of populations of </w:t>
      </w:r>
      <w:r w:rsidRPr="007B263F">
        <w:rPr>
          <w:rFonts w:ascii="Times New Roman" w:hAnsi="Times New Roman"/>
          <w:i/>
        </w:rPr>
        <w:t>N. aberrans</w:t>
      </w:r>
      <w:r w:rsidRPr="007B263F">
        <w:rPr>
          <w:rFonts w:ascii="Times New Roman" w:hAnsi="Times New Roman"/>
        </w:rPr>
        <w:t xml:space="preserve"> (Thorne, 1935) Thorne &amp; Allen, 1944 by means of isoenzyme phenotypes (1992) . </w:t>
      </w:r>
      <w:r w:rsidRPr="00705C9D">
        <w:rPr>
          <w:rStyle w:val="Emphasis"/>
          <w:rFonts w:ascii="Times New Roman" w:hAnsi="Times New Roman"/>
          <w:b w:val="0"/>
          <w:lang w:val="fr-FR"/>
        </w:rPr>
        <w:t>Nematropic</w:t>
      </w:r>
      <w:r w:rsidRPr="007B263F">
        <w:rPr>
          <w:rStyle w:val="Emphasis"/>
          <w:rFonts w:ascii="Times New Roman" w:hAnsi="Times New Roman"/>
          <w:lang w:val="fr-FR"/>
        </w:rPr>
        <w:t>a</w:t>
      </w:r>
      <w:r w:rsidRPr="007B263F">
        <w:rPr>
          <w:rFonts w:ascii="Times New Roman" w:hAnsi="Times New Roman"/>
          <w:lang w:val="fr-FR"/>
        </w:rPr>
        <w:t>, 22</w:t>
      </w:r>
      <w:r w:rsidR="00705C9D">
        <w:rPr>
          <w:rFonts w:ascii="Times New Roman" w:hAnsi="Times New Roman"/>
          <w:lang w:val="fr-FR"/>
        </w:rPr>
        <w:t> :</w:t>
      </w:r>
      <w:r w:rsidRPr="007B263F">
        <w:rPr>
          <w:rFonts w:ascii="Times New Roman" w:hAnsi="Times New Roman"/>
          <w:lang w:val="fr-FR"/>
        </w:rPr>
        <w:t xml:space="preserve"> 243-246.</w:t>
      </w:r>
    </w:p>
    <w:p w14:paraId="7E6832E6" w14:textId="3398570E" w:rsidR="00F73340" w:rsidRPr="007B263F" w:rsidRDefault="00F73340" w:rsidP="00F73340">
      <w:pPr>
        <w:pStyle w:val="Refs0"/>
        <w:rPr>
          <w:rFonts w:ascii="Times New Roman" w:hAnsi="Times New Roman"/>
        </w:rPr>
      </w:pPr>
      <w:r w:rsidRPr="007B263F">
        <w:rPr>
          <w:rFonts w:ascii="Times New Roman" w:hAnsi="Times New Roman"/>
          <w:lang w:val="fr-FR"/>
        </w:rPr>
        <w:t xml:space="preserve">Doucet, M.E., </w:t>
      </w:r>
      <w:r>
        <w:rPr>
          <w:rFonts w:ascii="Times New Roman" w:hAnsi="Times New Roman"/>
          <w:lang w:val="fr-FR"/>
        </w:rPr>
        <w:t xml:space="preserve">and </w:t>
      </w:r>
      <w:r w:rsidRPr="007B263F">
        <w:rPr>
          <w:rFonts w:ascii="Times New Roman" w:hAnsi="Times New Roman"/>
          <w:lang w:val="fr-FR"/>
        </w:rPr>
        <w:t xml:space="preserve">Lax, P., (2005). El genero </w:t>
      </w:r>
      <w:r w:rsidRPr="007B263F">
        <w:rPr>
          <w:rFonts w:ascii="Times New Roman" w:hAnsi="Times New Roman"/>
          <w:i/>
          <w:lang w:val="fr-FR"/>
        </w:rPr>
        <w:t>Nacobbus</w:t>
      </w:r>
      <w:r w:rsidRPr="007B263F">
        <w:rPr>
          <w:rFonts w:ascii="Times New Roman" w:hAnsi="Times New Roman"/>
          <w:lang w:val="fr-FR"/>
        </w:rPr>
        <w:t xml:space="preserve"> Thorne &amp; Allen, 1944 en Argentina. 6. La especie </w:t>
      </w:r>
      <w:r w:rsidRPr="007B263F">
        <w:rPr>
          <w:rFonts w:ascii="Times New Roman" w:hAnsi="Times New Roman"/>
          <w:i/>
          <w:lang w:val="fr-FR"/>
        </w:rPr>
        <w:t>N. aberrans</w:t>
      </w:r>
      <w:r w:rsidRPr="007B263F">
        <w:rPr>
          <w:rFonts w:ascii="Times New Roman" w:hAnsi="Times New Roman"/>
          <w:lang w:val="fr-FR"/>
        </w:rPr>
        <w:t xml:space="preserve"> (Thorne, 1935) Thorne &amp; Allen, 1944 (Nematoda: Tylenchida) y su relaci</w:t>
      </w:r>
      <w:r>
        <w:rPr>
          <w:rFonts w:ascii="Times New Roman" w:hAnsi="Times New Roman"/>
          <w:lang w:val="fr-FR"/>
        </w:rPr>
        <w:t>ó</w:t>
      </w:r>
      <w:r w:rsidRPr="007B263F">
        <w:rPr>
          <w:rFonts w:ascii="Times New Roman" w:hAnsi="Times New Roman"/>
          <w:lang w:val="fr-FR"/>
        </w:rPr>
        <w:t xml:space="preserve">n con la agricultura. </w:t>
      </w:r>
      <w:r w:rsidRPr="001B1725">
        <w:rPr>
          <w:rFonts w:ascii="Times New Roman" w:hAnsi="Times New Roman"/>
          <w:i/>
        </w:rPr>
        <w:t>Anales de la Academia Nacional de Agronomía Veterinaria</w:t>
      </w:r>
      <w:r w:rsidR="002F2119">
        <w:rPr>
          <w:rFonts w:ascii="Times New Roman" w:hAnsi="Times New Roman"/>
        </w:rPr>
        <w:t xml:space="preserve"> 59: 5e45</w:t>
      </w:r>
    </w:p>
    <w:p w14:paraId="7E7597DD" w14:textId="1CD0647C" w:rsidR="00F73340" w:rsidRPr="007B263F" w:rsidRDefault="00F73340" w:rsidP="00F73340">
      <w:pPr>
        <w:pStyle w:val="Refs0"/>
        <w:rPr>
          <w:rFonts w:ascii="Times New Roman" w:hAnsi="Times New Roman"/>
        </w:rPr>
      </w:pPr>
      <w:r w:rsidRPr="007B263F">
        <w:rPr>
          <w:rFonts w:ascii="Times New Roman" w:hAnsi="Times New Roman"/>
        </w:rPr>
        <w:t xml:space="preserve">Douda, O., Zouhar, M., Manasova, M., Dlouhy, M., Liskova, J., </w:t>
      </w:r>
      <w:r>
        <w:rPr>
          <w:rFonts w:ascii="Times New Roman" w:hAnsi="Times New Roman"/>
        </w:rPr>
        <w:t xml:space="preserve">and </w:t>
      </w:r>
      <w:r w:rsidR="00705C9D">
        <w:rPr>
          <w:rFonts w:ascii="Times New Roman" w:hAnsi="Times New Roman"/>
        </w:rPr>
        <w:t>Rysanek, P. (2015)</w:t>
      </w:r>
      <w:r w:rsidRPr="007B263F">
        <w:rPr>
          <w:rFonts w:ascii="Times New Roman" w:hAnsi="Times New Roman"/>
        </w:rPr>
        <w:t xml:space="preserve"> Hydrogen cyanide for treating wood against pine wood nematode (</w:t>
      </w:r>
      <w:r w:rsidRPr="007B263F">
        <w:rPr>
          <w:rFonts w:ascii="Times New Roman" w:hAnsi="Times New Roman"/>
          <w:i/>
        </w:rPr>
        <w:t>Bursaphelenchus xylophilus</w:t>
      </w:r>
      <w:r w:rsidRPr="007B263F">
        <w:rPr>
          <w:rFonts w:ascii="Times New Roman" w:hAnsi="Times New Roman"/>
        </w:rPr>
        <w:t xml:space="preserve">): results of a model study. </w:t>
      </w:r>
      <w:r w:rsidRPr="001B1725">
        <w:rPr>
          <w:rFonts w:ascii="Times New Roman" w:hAnsi="Times New Roman"/>
          <w:i/>
        </w:rPr>
        <w:t>Journal of Wood Science</w:t>
      </w:r>
      <w:r w:rsidRPr="007B263F">
        <w:rPr>
          <w:rFonts w:ascii="Times New Roman" w:hAnsi="Times New Roman"/>
        </w:rPr>
        <w:t xml:space="preserve"> </w:t>
      </w:r>
      <w:r w:rsidRPr="001B1725">
        <w:rPr>
          <w:rFonts w:ascii="Times New Roman" w:hAnsi="Times New Roman"/>
        </w:rPr>
        <w:t>61</w:t>
      </w:r>
      <w:r w:rsidR="00705C9D">
        <w:rPr>
          <w:rFonts w:ascii="Times New Roman" w:hAnsi="Times New Roman"/>
        </w:rPr>
        <w:t>: 204-210</w:t>
      </w:r>
      <w:r w:rsidRPr="007B263F">
        <w:rPr>
          <w:rFonts w:ascii="Times New Roman" w:hAnsi="Times New Roman"/>
        </w:rPr>
        <w:t xml:space="preserve"> </w:t>
      </w:r>
    </w:p>
    <w:p w14:paraId="004FF24C" w14:textId="77777777" w:rsidR="00F73340" w:rsidRPr="007B263F" w:rsidRDefault="00F73340" w:rsidP="00F73340">
      <w:pPr>
        <w:pStyle w:val="Refs0"/>
        <w:rPr>
          <w:rFonts w:ascii="Times New Roman" w:hAnsi="Times New Roman"/>
        </w:rPr>
      </w:pPr>
      <w:r w:rsidRPr="007B263F">
        <w:rPr>
          <w:rFonts w:ascii="Times New Roman" w:eastAsiaTheme="minorHAnsi" w:hAnsi="Times New Roman"/>
          <w:lang w:val="en-US" w:eastAsia="en-US"/>
        </w:rPr>
        <w:t xml:space="preserve">Durner, E.F., Poling, E.B., </w:t>
      </w:r>
      <w:r>
        <w:rPr>
          <w:rFonts w:ascii="Times New Roman" w:eastAsiaTheme="minorHAnsi" w:hAnsi="Times New Roman"/>
          <w:lang w:val="en-US" w:eastAsia="en-US"/>
        </w:rPr>
        <w:t xml:space="preserve">and </w:t>
      </w:r>
      <w:r w:rsidRPr="007B263F">
        <w:rPr>
          <w:rFonts w:ascii="Times New Roman" w:eastAsiaTheme="minorHAnsi" w:hAnsi="Times New Roman"/>
          <w:lang w:val="en-US" w:eastAsia="en-US"/>
        </w:rPr>
        <w:t xml:space="preserve">Maas, J.L. (2002) </w:t>
      </w:r>
      <w:proofErr w:type="gramStart"/>
      <w:r w:rsidRPr="007B263F">
        <w:rPr>
          <w:rFonts w:ascii="Times New Roman" w:eastAsiaTheme="minorHAnsi" w:hAnsi="Times New Roman"/>
          <w:lang w:val="en-US" w:eastAsia="en-US"/>
        </w:rPr>
        <w:t>Recent</w:t>
      </w:r>
      <w:proofErr w:type="gramEnd"/>
      <w:r w:rsidRPr="007B263F">
        <w:rPr>
          <w:rFonts w:ascii="Times New Roman" w:eastAsiaTheme="minorHAnsi" w:hAnsi="Times New Roman"/>
          <w:lang w:val="en-US" w:eastAsia="en-US"/>
        </w:rPr>
        <w:t xml:space="preserve"> advances in strawberry plug transplant technology. </w:t>
      </w:r>
      <w:r w:rsidRPr="001B1725">
        <w:rPr>
          <w:rFonts w:ascii="Times New Roman" w:eastAsiaTheme="minorHAnsi" w:hAnsi="Times New Roman"/>
          <w:i/>
          <w:lang w:val="en-US" w:eastAsia="en-US"/>
        </w:rPr>
        <w:t>HortTechnology</w:t>
      </w:r>
      <w:r w:rsidRPr="007B263F">
        <w:rPr>
          <w:rFonts w:ascii="Times New Roman" w:eastAsiaTheme="minorHAnsi" w:hAnsi="Times New Roman"/>
          <w:lang w:val="en-US" w:eastAsia="en-US"/>
        </w:rPr>
        <w:t xml:space="preserve">, 12: 545-550 </w:t>
      </w:r>
    </w:p>
    <w:p w14:paraId="160F0E93" w14:textId="4E1E25EE" w:rsidR="00F73340" w:rsidRPr="007B263F" w:rsidRDefault="00F73340" w:rsidP="00F73340">
      <w:pPr>
        <w:pStyle w:val="Refs0"/>
        <w:rPr>
          <w:rFonts w:ascii="Times New Roman" w:hAnsi="Times New Roman"/>
        </w:rPr>
      </w:pPr>
      <w:proofErr w:type="gramStart"/>
      <w:r w:rsidRPr="007B263F">
        <w:rPr>
          <w:rFonts w:ascii="Times New Roman" w:hAnsi="Times New Roman"/>
        </w:rPr>
        <w:t>EPPO, (2009).</w:t>
      </w:r>
      <w:proofErr w:type="gramEnd"/>
      <w:r w:rsidRPr="007B263F">
        <w:rPr>
          <w:rFonts w:ascii="Times New Roman" w:hAnsi="Times New Roman"/>
        </w:rPr>
        <w:t xml:space="preserve"> </w:t>
      </w:r>
      <w:r w:rsidRPr="007B263F">
        <w:rPr>
          <w:rFonts w:ascii="Times New Roman" w:hAnsi="Times New Roman"/>
          <w:i/>
        </w:rPr>
        <w:t>Nacobbus aberrans</w:t>
      </w:r>
      <w:r w:rsidR="00705C9D">
        <w:rPr>
          <w:rFonts w:ascii="Times New Roman" w:hAnsi="Times New Roman"/>
        </w:rPr>
        <w:t xml:space="preserve"> sensu lato</w:t>
      </w:r>
      <w:r w:rsidRPr="007B263F">
        <w:rPr>
          <w:rFonts w:ascii="Times New Roman" w:hAnsi="Times New Roman"/>
        </w:rPr>
        <w:t xml:space="preserve"> </w:t>
      </w:r>
      <w:r w:rsidRPr="001B1725">
        <w:rPr>
          <w:rFonts w:ascii="Times New Roman" w:hAnsi="Times New Roman"/>
          <w:i/>
        </w:rPr>
        <w:t>EPPO Bulletin</w:t>
      </w:r>
      <w:r w:rsidRPr="007B263F">
        <w:rPr>
          <w:rFonts w:ascii="Times New Roman" w:hAnsi="Times New Roman"/>
        </w:rPr>
        <w:t xml:space="preserve"> 39</w:t>
      </w:r>
      <w:r w:rsidR="00705C9D">
        <w:rPr>
          <w:rFonts w:ascii="Times New Roman" w:hAnsi="Times New Roman"/>
        </w:rPr>
        <w:t>:</w:t>
      </w:r>
      <w:r w:rsidRPr="007B263F">
        <w:rPr>
          <w:rFonts w:ascii="Times New Roman" w:hAnsi="Times New Roman"/>
        </w:rPr>
        <w:t xml:space="preserve"> 376e381</w:t>
      </w:r>
    </w:p>
    <w:p w14:paraId="5AAEE363" w14:textId="7148424E" w:rsidR="00F73340" w:rsidRPr="007B263F" w:rsidRDefault="00F73340" w:rsidP="00F73340">
      <w:pPr>
        <w:pStyle w:val="Refs0"/>
        <w:rPr>
          <w:rFonts w:ascii="Times New Roman" w:hAnsi="Times New Roman"/>
        </w:rPr>
      </w:pPr>
      <w:r w:rsidRPr="007B263F">
        <w:rPr>
          <w:rFonts w:ascii="Times New Roman" w:hAnsi="Times New Roman"/>
        </w:rPr>
        <w:t xml:space="preserve">Ferizli </w:t>
      </w:r>
      <w:proofErr w:type="gramStart"/>
      <w:r w:rsidRPr="007B263F">
        <w:rPr>
          <w:rFonts w:ascii="Times New Roman" w:hAnsi="Times New Roman"/>
        </w:rPr>
        <w:t>AG,</w:t>
      </w:r>
      <w:proofErr w:type="gramEnd"/>
      <w:r w:rsidRPr="007B263F">
        <w:rPr>
          <w:rFonts w:ascii="Times New Roman" w:hAnsi="Times New Roman"/>
        </w:rPr>
        <w:t xml:space="preserve"> </w:t>
      </w:r>
      <w:r>
        <w:rPr>
          <w:rFonts w:ascii="Times New Roman" w:hAnsi="Times New Roman"/>
        </w:rPr>
        <w:t xml:space="preserve">and </w:t>
      </w:r>
      <w:r w:rsidRPr="007B263F">
        <w:rPr>
          <w:rFonts w:ascii="Times New Roman" w:hAnsi="Times New Roman"/>
        </w:rPr>
        <w:t>Emekci M (2016) Fumigant recirculation in A</w:t>
      </w:r>
      <w:r w:rsidR="00705C9D">
        <w:rPr>
          <w:rFonts w:ascii="Times New Roman" w:hAnsi="Times New Roman"/>
        </w:rPr>
        <w:t>ynalikavak pavilion</w:t>
      </w:r>
      <w:r w:rsidRPr="007B263F">
        <w:rPr>
          <w:rFonts w:ascii="Times New Roman" w:hAnsi="Times New Roman"/>
        </w:rPr>
        <w:t xml:space="preserve"> Pp. 201–204 In: Navarro S, Jayas DS, Alagusundaram K, (Eds.) Proceedings of the 10th International Conference on Controlled Atmosphere and Fumigation in Stored Products (CAF2016), CAF Permanent Committe</w:t>
      </w:r>
      <w:r w:rsidR="00705C9D">
        <w:rPr>
          <w:rFonts w:ascii="Times New Roman" w:hAnsi="Times New Roman"/>
        </w:rPr>
        <w:t>e Secretariat, Winnipeg, Canada</w:t>
      </w:r>
    </w:p>
    <w:p w14:paraId="025627D7" w14:textId="7C24963B" w:rsidR="00F73340" w:rsidRPr="007B263F" w:rsidRDefault="00F73340" w:rsidP="00F73340">
      <w:pPr>
        <w:pStyle w:val="Refs0"/>
        <w:rPr>
          <w:rFonts w:ascii="Times New Roman" w:hAnsi="Times New Roman"/>
        </w:rPr>
      </w:pPr>
      <w:r w:rsidRPr="007B263F">
        <w:rPr>
          <w:rFonts w:ascii="Times New Roman" w:hAnsi="Times New Roman"/>
        </w:rPr>
        <w:t xml:space="preserve">García –Sinovas, D., M.A. Andrade, M. Becerril and A. Martinez-Treceño, </w:t>
      </w:r>
      <w:r>
        <w:rPr>
          <w:rFonts w:ascii="Times New Roman" w:hAnsi="Times New Roman"/>
        </w:rPr>
        <w:t>(</w:t>
      </w:r>
      <w:r w:rsidRPr="007B263F">
        <w:rPr>
          <w:rFonts w:ascii="Times New Roman" w:hAnsi="Times New Roman"/>
        </w:rPr>
        <w:t>2014</w:t>
      </w:r>
      <w:r>
        <w:rPr>
          <w:rFonts w:ascii="Times New Roman" w:hAnsi="Times New Roman"/>
        </w:rPr>
        <w:t>)</w:t>
      </w:r>
      <w:r w:rsidRPr="007B263F">
        <w:rPr>
          <w:rFonts w:ascii="Times New Roman" w:hAnsi="Times New Roman"/>
        </w:rPr>
        <w:t xml:space="preserve"> Soil disinfection in Spanish strawberry nurseries – three years without methyl bromide. </w:t>
      </w:r>
      <w:r w:rsidRPr="001B1725">
        <w:rPr>
          <w:rFonts w:ascii="Times New Roman" w:hAnsi="Times New Roman"/>
          <w:i/>
        </w:rPr>
        <w:t>Acta Horticulturae</w:t>
      </w:r>
      <w:r w:rsidRPr="007B263F">
        <w:rPr>
          <w:rFonts w:ascii="Times New Roman" w:hAnsi="Times New Roman"/>
        </w:rPr>
        <w:t xml:space="preserve"> 1049: 691-696. </w:t>
      </w:r>
    </w:p>
    <w:p w14:paraId="3E4304C0" w14:textId="72185937" w:rsidR="00F73340" w:rsidRPr="007B263F" w:rsidRDefault="00F73340" w:rsidP="00F73340">
      <w:pPr>
        <w:pStyle w:val="Refs0"/>
        <w:rPr>
          <w:rFonts w:ascii="Times New Roman" w:hAnsi="Times New Roman"/>
        </w:rPr>
      </w:pPr>
      <w:proofErr w:type="gramStart"/>
      <w:r w:rsidRPr="007B263F">
        <w:rPr>
          <w:rFonts w:ascii="Times New Roman" w:hAnsi="Times New Roman"/>
        </w:rPr>
        <w:lastRenderedPageBreak/>
        <w:t>Giménez,</w:t>
      </w:r>
      <w:r>
        <w:rPr>
          <w:rFonts w:ascii="Times New Roman" w:hAnsi="Times New Roman"/>
        </w:rPr>
        <w:t xml:space="preserve"> G.,</w:t>
      </w:r>
      <w:r w:rsidRPr="007B263F">
        <w:rPr>
          <w:rFonts w:ascii="Times New Roman" w:hAnsi="Times New Roman"/>
        </w:rPr>
        <w:t xml:space="preserve"> Andriolo,</w:t>
      </w:r>
      <w:r>
        <w:rPr>
          <w:rFonts w:ascii="Times New Roman" w:hAnsi="Times New Roman"/>
        </w:rPr>
        <w:t xml:space="preserve"> J.L.,</w:t>
      </w:r>
      <w:r w:rsidRPr="007B263F">
        <w:rPr>
          <w:rFonts w:ascii="Times New Roman" w:hAnsi="Times New Roman"/>
        </w:rPr>
        <w:t xml:space="preserve"> Janisch</w:t>
      </w:r>
      <w:r>
        <w:rPr>
          <w:rFonts w:ascii="Times New Roman" w:hAnsi="Times New Roman"/>
        </w:rPr>
        <w:t xml:space="preserve"> D.,</w:t>
      </w:r>
      <w:r w:rsidRPr="007B263F">
        <w:rPr>
          <w:rFonts w:ascii="Times New Roman" w:hAnsi="Times New Roman"/>
        </w:rPr>
        <w:t xml:space="preserve"> and Godoi</w:t>
      </w:r>
      <w:r>
        <w:rPr>
          <w:rFonts w:ascii="Times New Roman" w:hAnsi="Times New Roman"/>
        </w:rPr>
        <w:t>, R.</w:t>
      </w:r>
      <w:r w:rsidRPr="007B263F" w:rsidDel="00A73B2D">
        <w:rPr>
          <w:rFonts w:ascii="Times New Roman" w:hAnsi="Times New Roman"/>
        </w:rPr>
        <w:t xml:space="preserve"> </w:t>
      </w:r>
      <w:r>
        <w:rPr>
          <w:rFonts w:ascii="Times New Roman" w:hAnsi="Times New Roman"/>
        </w:rPr>
        <w:t>(</w:t>
      </w:r>
      <w:r w:rsidRPr="007B263F">
        <w:rPr>
          <w:rFonts w:ascii="Times New Roman" w:hAnsi="Times New Roman"/>
        </w:rPr>
        <w:t>2008</w:t>
      </w:r>
      <w:r>
        <w:rPr>
          <w:rFonts w:ascii="Times New Roman" w:hAnsi="Times New Roman"/>
        </w:rPr>
        <w:t>)</w:t>
      </w:r>
      <w:r w:rsidRPr="007B263F">
        <w:rPr>
          <w:rFonts w:ascii="Times New Roman" w:hAnsi="Times New Roman"/>
        </w:rPr>
        <w:t>.</w:t>
      </w:r>
      <w:proofErr w:type="gramEnd"/>
      <w:r w:rsidRPr="007B263F">
        <w:rPr>
          <w:rFonts w:ascii="Times New Roman" w:hAnsi="Times New Roman"/>
        </w:rPr>
        <w:t xml:space="preserve"> Closed soilless growing system for producing strawberry bare r</w:t>
      </w:r>
      <w:r w:rsidR="00705C9D">
        <w:rPr>
          <w:rFonts w:ascii="Times New Roman" w:hAnsi="Times New Roman"/>
        </w:rPr>
        <w:t>oot transplants and runner tips</w:t>
      </w:r>
      <w:r w:rsidRPr="007B263F">
        <w:rPr>
          <w:rFonts w:ascii="Times New Roman" w:hAnsi="Times New Roman"/>
        </w:rPr>
        <w:t xml:space="preserve"> </w:t>
      </w:r>
      <w:r w:rsidRPr="001B1725">
        <w:rPr>
          <w:rFonts w:ascii="Times New Roman" w:hAnsi="Times New Roman"/>
          <w:i/>
        </w:rPr>
        <w:t>Pesquisa Agropecuaria Brasilera</w:t>
      </w:r>
      <w:r>
        <w:rPr>
          <w:rFonts w:ascii="Times New Roman" w:hAnsi="Times New Roman"/>
        </w:rPr>
        <w:t xml:space="preserve"> </w:t>
      </w:r>
      <w:r w:rsidRPr="007B263F">
        <w:rPr>
          <w:rFonts w:ascii="Times New Roman" w:hAnsi="Times New Roman"/>
        </w:rPr>
        <w:t>.43</w:t>
      </w:r>
      <w:r>
        <w:rPr>
          <w:rFonts w:ascii="Times New Roman" w:hAnsi="Times New Roman"/>
        </w:rPr>
        <w:t xml:space="preserve"> (</w:t>
      </w:r>
      <w:r w:rsidRPr="007B263F">
        <w:rPr>
          <w:rFonts w:ascii="Times New Roman" w:hAnsi="Times New Roman"/>
        </w:rPr>
        <w:t>12</w:t>
      </w:r>
      <w:r>
        <w:rPr>
          <w:rFonts w:ascii="Times New Roman" w:hAnsi="Times New Roman"/>
        </w:rPr>
        <w:t>):</w:t>
      </w:r>
      <w:r w:rsidR="00705C9D">
        <w:rPr>
          <w:rFonts w:ascii="Times New Roman" w:hAnsi="Times New Roman"/>
        </w:rPr>
        <w:t xml:space="preserve"> </w:t>
      </w:r>
      <w:r w:rsidRPr="007B263F">
        <w:rPr>
          <w:rFonts w:ascii="Times New Roman" w:hAnsi="Times New Roman"/>
        </w:rPr>
        <w:t>1757-1761</w:t>
      </w:r>
    </w:p>
    <w:p w14:paraId="2C1A0296" w14:textId="2B237C42" w:rsidR="00F73340" w:rsidRPr="007B263F" w:rsidRDefault="00F73340" w:rsidP="00F73340">
      <w:pPr>
        <w:pStyle w:val="Refs0"/>
        <w:rPr>
          <w:rFonts w:ascii="Times New Roman" w:hAnsi="Times New Roman"/>
        </w:rPr>
      </w:pPr>
      <w:r w:rsidRPr="007B263F">
        <w:rPr>
          <w:rFonts w:ascii="Times New Roman" w:hAnsi="Times New Roman"/>
        </w:rPr>
        <w:t xml:space="preserve">Grout, T. G., </w:t>
      </w:r>
      <w:r>
        <w:rPr>
          <w:rFonts w:ascii="Times New Roman" w:hAnsi="Times New Roman"/>
        </w:rPr>
        <w:t xml:space="preserve">and </w:t>
      </w:r>
      <w:r w:rsidRPr="007B263F">
        <w:rPr>
          <w:rFonts w:ascii="Times New Roman" w:hAnsi="Times New Roman"/>
        </w:rPr>
        <w:t xml:space="preserve">K. C. Stoltz (2016) Eliminating Macchiademus diplopterus (Hemiptera: Lygaeidae) and </w:t>
      </w:r>
      <w:r w:rsidRPr="001B1725">
        <w:rPr>
          <w:rFonts w:ascii="Times New Roman" w:hAnsi="Times New Roman"/>
          <w:i/>
        </w:rPr>
        <w:t>Siculobata sicula</w:t>
      </w:r>
      <w:r w:rsidRPr="007B263F">
        <w:rPr>
          <w:rFonts w:ascii="Times New Roman" w:hAnsi="Times New Roman"/>
        </w:rPr>
        <w:t xml:space="preserve"> (Acari: Oribatulidae) from export fruit using ethyl formate. </w:t>
      </w:r>
      <w:r w:rsidRPr="001B1725">
        <w:rPr>
          <w:rFonts w:ascii="Times New Roman" w:hAnsi="Times New Roman"/>
          <w:i/>
        </w:rPr>
        <w:t>Journal of Economic Entomology</w:t>
      </w:r>
      <w:r w:rsidRPr="007B263F">
        <w:rPr>
          <w:rFonts w:ascii="Times New Roman" w:hAnsi="Times New Roman"/>
        </w:rPr>
        <w:t xml:space="preserve"> 109(6):</w:t>
      </w:r>
      <w:r w:rsidR="00705C9D">
        <w:rPr>
          <w:rFonts w:ascii="Times New Roman" w:hAnsi="Times New Roman"/>
        </w:rPr>
        <w:t xml:space="preserve"> </w:t>
      </w:r>
      <w:r w:rsidRPr="007B263F">
        <w:rPr>
          <w:rFonts w:ascii="Times New Roman" w:hAnsi="Times New Roman"/>
        </w:rPr>
        <w:t xml:space="preserve">2329-2333. </w:t>
      </w:r>
    </w:p>
    <w:p w14:paraId="7CE1EDE2" w14:textId="77777777" w:rsidR="00F73340" w:rsidRPr="007B263F" w:rsidRDefault="00F73340" w:rsidP="00F73340">
      <w:pPr>
        <w:pStyle w:val="Refs0"/>
        <w:rPr>
          <w:rFonts w:ascii="Times New Roman" w:hAnsi="Times New Roman"/>
        </w:rPr>
      </w:pPr>
      <w:r w:rsidRPr="007B263F">
        <w:rPr>
          <w:rFonts w:ascii="Times New Roman" w:hAnsi="Times New Roman"/>
        </w:rPr>
        <w:t>Guthman, J</w:t>
      </w:r>
      <w:r>
        <w:rPr>
          <w:rFonts w:ascii="Times New Roman" w:hAnsi="Times New Roman"/>
        </w:rPr>
        <w:t>.</w:t>
      </w:r>
      <w:r w:rsidRPr="007B263F">
        <w:rPr>
          <w:rFonts w:ascii="Times New Roman" w:hAnsi="Times New Roman"/>
        </w:rPr>
        <w:t xml:space="preserve">, </w:t>
      </w:r>
      <w:r>
        <w:rPr>
          <w:rFonts w:ascii="Times New Roman" w:hAnsi="Times New Roman"/>
        </w:rPr>
        <w:t>(</w:t>
      </w:r>
      <w:r w:rsidRPr="007B263F">
        <w:rPr>
          <w:rFonts w:ascii="Times New Roman" w:hAnsi="Times New Roman"/>
        </w:rPr>
        <w:t>2016</w:t>
      </w:r>
      <w:r>
        <w:rPr>
          <w:rFonts w:ascii="Times New Roman" w:hAnsi="Times New Roman"/>
        </w:rPr>
        <w:t>)</w:t>
      </w:r>
      <w:r w:rsidRPr="007B263F">
        <w:rPr>
          <w:rFonts w:ascii="Times New Roman" w:hAnsi="Times New Roman"/>
        </w:rPr>
        <w:t xml:space="preserve">. Strawberry growers wavered over methyl iodide, feared public backlash. </w:t>
      </w:r>
      <w:r w:rsidRPr="001B1725">
        <w:rPr>
          <w:rFonts w:ascii="Times New Roman" w:hAnsi="Times New Roman"/>
          <w:i/>
        </w:rPr>
        <w:t>California Agriculture</w:t>
      </w:r>
      <w:r w:rsidRPr="007B263F">
        <w:rPr>
          <w:rFonts w:ascii="Times New Roman" w:hAnsi="Times New Roman"/>
        </w:rPr>
        <w:t xml:space="preserve"> 70(3): 124-129.</w:t>
      </w:r>
    </w:p>
    <w:p w14:paraId="026FFC8E" w14:textId="095A0F7C" w:rsidR="00F73340" w:rsidRPr="007B263F" w:rsidRDefault="0024285E" w:rsidP="00F73340">
      <w:pPr>
        <w:pStyle w:val="Refs0"/>
        <w:rPr>
          <w:rFonts w:ascii="Times New Roman" w:eastAsia="Minion-Regular" w:hAnsi="Times New Roman"/>
        </w:rPr>
      </w:pPr>
      <w:r>
        <w:rPr>
          <w:rFonts w:ascii="Times New Roman" w:eastAsia="Minion-Regular" w:hAnsi="Times New Roman"/>
        </w:rPr>
        <w:t>Hall M.K.D., Najar-Rodriguez</w:t>
      </w:r>
      <w:r w:rsidR="00F73340" w:rsidRPr="007B263F">
        <w:rPr>
          <w:rFonts w:ascii="Times New Roman" w:eastAsia="Minion-Regular" w:hAnsi="Times New Roman"/>
        </w:rPr>
        <w:t xml:space="preserve"> A.J.</w:t>
      </w:r>
      <w:proofErr w:type="gramStart"/>
      <w:r w:rsidR="00F73340" w:rsidRPr="007B263F">
        <w:rPr>
          <w:rFonts w:ascii="Times New Roman" w:eastAsia="Minion-Regular" w:hAnsi="Times New Roman"/>
        </w:rPr>
        <w:t>,  Pranamornkith</w:t>
      </w:r>
      <w:proofErr w:type="gramEnd"/>
      <w:r w:rsidR="00F73340" w:rsidRPr="007B263F">
        <w:rPr>
          <w:rFonts w:ascii="Times New Roman" w:eastAsia="Minion-Regular" w:hAnsi="Times New Roman"/>
        </w:rPr>
        <w:t xml:space="preserve"> T, Adlam A.R., Hall A.J.,</w:t>
      </w:r>
      <w:r w:rsidR="00F73340">
        <w:rPr>
          <w:rFonts w:ascii="Times New Roman" w:eastAsia="Minion-Regular" w:hAnsi="Times New Roman"/>
        </w:rPr>
        <w:t xml:space="preserve">and </w:t>
      </w:r>
      <w:r w:rsidR="00F73340" w:rsidRPr="007B263F">
        <w:rPr>
          <w:rFonts w:ascii="Times New Roman" w:eastAsia="Minion-Regular" w:hAnsi="Times New Roman"/>
        </w:rPr>
        <w:t xml:space="preserve">Brash D.W. </w:t>
      </w:r>
      <w:r w:rsidR="00F73340">
        <w:rPr>
          <w:rFonts w:ascii="Times New Roman" w:eastAsia="Minion-Regular" w:hAnsi="Times New Roman"/>
        </w:rPr>
        <w:t xml:space="preserve">(2015). </w:t>
      </w:r>
      <w:r w:rsidR="00F73340" w:rsidRPr="007B263F">
        <w:rPr>
          <w:rFonts w:ascii="Times New Roman" w:eastAsia="Minion-Regular" w:hAnsi="Times New Roman"/>
        </w:rPr>
        <w:t>Influence of dose, bark cover and end-grain sealing on ethanedinitrile (C2N2) sorption by pine (Pinus radiate D. Don) logs</w:t>
      </w:r>
      <w:r w:rsidR="00F73340">
        <w:rPr>
          <w:rFonts w:ascii="Times New Roman" w:eastAsia="Minion-Regular" w:hAnsi="Times New Roman"/>
        </w:rPr>
        <w:t>.</w:t>
      </w:r>
      <w:r w:rsidR="00F73340" w:rsidRPr="007B263F">
        <w:rPr>
          <w:rFonts w:ascii="Times New Roman" w:eastAsia="Minion-Regular" w:hAnsi="Times New Roman"/>
        </w:rPr>
        <w:t xml:space="preserve"> </w:t>
      </w:r>
      <w:r w:rsidR="00F73340" w:rsidRPr="001B1725">
        <w:rPr>
          <w:rFonts w:ascii="Times New Roman" w:eastAsia="Minion-Regular" w:hAnsi="Times New Roman"/>
          <w:i/>
        </w:rPr>
        <w:t>New Zealand Plant Protection</w:t>
      </w:r>
      <w:r w:rsidR="00F73340" w:rsidRPr="007B263F">
        <w:rPr>
          <w:rFonts w:ascii="Times New Roman" w:eastAsia="Minion-Regular" w:hAnsi="Times New Roman"/>
        </w:rPr>
        <w:t xml:space="preserve"> 68: 13-18 </w:t>
      </w:r>
    </w:p>
    <w:p w14:paraId="1D387408" w14:textId="0633A24C" w:rsidR="00F73340" w:rsidRPr="007B263F" w:rsidRDefault="00F73340" w:rsidP="00F73340">
      <w:pPr>
        <w:pStyle w:val="Refs0"/>
        <w:rPr>
          <w:rFonts w:ascii="Times New Roman" w:hAnsi="Times New Roman"/>
        </w:rPr>
      </w:pPr>
      <w:r w:rsidRPr="007B263F">
        <w:rPr>
          <w:rFonts w:ascii="Times New Roman" w:hAnsi="Times New Roman"/>
        </w:rPr>
        <w:t>Hall, M., Adlam, A., Najar-Rodriguez, A., Zeng, F., Hall, A. (20</w:t>
      </w:r>
      <w:r w:rsidR="00935013">
        <w:rPr>
          <w:rFonts w:ascii="Times New Roman" w:hAnsi="Times New Roman"/>
        </w:rPr>
        <w:t>16)</w:t>
      </w:r>
      <w:r w:rsidRPr="007B263F">
        <w:rPr>
          <w:rFonts w:ascii="Times New Roman" w:hAnsi="Times New Roman"/>
        </w:rPr>
        <w:t xml:space="preserve"> Determination of ethanedinitrile emissions during fumigation of comme</w:t>
      </w:r>
      <w:r w:rsidR="00705C9D">
        <w:rPr>
          <w:rFonts w:ascii="Times New Roman" w:hAnsi="Times New Roman"/>
        </w:rPr>
        <w:t>rcial log stacks in New Zealand</w:t>
      </w:r>
      <w:r w:rsidRPr="007B263F">
        <w:rPr>
          <w:rFonts w:ascii="Times New Roman" w:hAnsi="Times New Roman"/>
        </w:rPr>
        <w:t xml:space="preserve"> Annual Research Conference on Methyl Bromide Alternatives and Emissions Reduction, 8-10 November 2016 in Maitland, Fl., </w:t>
      </w:r>
      <w:r w:rsidR="0070607D">
        <w:rPr>
          <w:rFonts w:ascii="Times New Roman" w:hAnsi="Times New Roman"/>
        </w:rPr>
        <w:t>US</w:t>
      </w:r>
      <w:r w:rsidRPr="007B263F">
        <w:rPr>
          <w:rFonts w:ascii="Times New Roman" w:hAnsi="Times New Roman"/>
        </w:rPr>
        <w:t xml:space="preserve">, </w:t>
      </w:r>
      <w:hyperlink r:id="rId56" w:history="1">
        <w:r w:rsidRPr="007B263F">
          <w:rPr>
            <w:rStyle w:val="Hyperlink"/>
            <w:rFonts w:ascii="Times New Roman" w:hAnsi="Times New Roman"/>
          </w:rPr>
          <w:t>http://mbao.org</w:t>
        </w:r>
      </w:hyperlink>
      <w:r w:rsidRPr="007B263F">
        <w:rPr>
          <w:rFonts w:ascii="Times New Roman" w:hAnsi="Times New Roman"/>
        </w:rPr>
        <w:t>, 1 slide, abstract: 30-1.</w:t>
      </w:r>
    </w:p>
    <w:p w14:paraId="19C82357" w14:textId="62478030" w:rsidR="00F73340" w:rsidRPr="007B263F" w:rsidRDefault="00F73340" w:rsidP="00F73340">
      <w:pPr>
        <w:pStyle w:val="Refs0"/>
        <w:rPr>
          <w:rFonts w:ascii="Times New Roman" w:hAnsi="Times New Roman"/>
        </w:rPr>
      </w:pPr>
      <w:r w:rsidRPr="007B263F">
        <w:rPr>
          <w:rFonts w:ascii="Times New Roman" w:hAnsi="Times New Roman"/>
        </w:rPr>
        <w:t xml:space="preserve">Hallman, G.J. (2016). What might be the lowest possible phytosanitary irradiation doses? Methyl Bromide Alternatives Outreach Conference Nov 8-10 2016 Orlando, Florida </w:t>
      </w:r>
      <w:r w:rsidR="0070607D">
        <w:rPr>
          <w:rFonts w:ascii="Times New Roman" w:hAnsi="Times New Roman"/>
        </w:rPr>
        <w:t>US</w:t>
      </w:r>
      <w:r w:rsidRPr="007B263F">
        <w:rPr>
          <w:rFonts w:ascii="Times New Roman" w:hAnsi="Times New Roman"/>
        </w:rPr>
        <w:t xml:space="preserve"> pp 39-1 – 39-2 </w:t>
      </w:r>
    </w:p>
    <w:p w14:paraId="2E006F36" w14:textId="2502425C" w:rsidR="00F73340" w:rsidRPr="007B263F" w:rsidRDefault="00F73340" w:rsidP="00F73340">
      <w:pPr>
        <w:pStyle w:val="Refs0"/>
        <w:rPr>
          <w:rFonts w:ascii="Times New Roman" w:hAnsi="Times New Roman"/>
          <w:lang w:val="en-GB"/>
        </w:rPr>
      </w:pPr>
      <w:r w:rsidRPr="007B263F">
        <w:rPr>
          <w:rFonts w:ascii="Times New Roman" w:hAnsi="Times New Roman"/>
          <w:lang w:val="en-GB"/>
        </w:rPr>
        <w:t xml:space="preserve">Hammond, D. (2015). </w:t>
      </w:r>
      <w:proofErr w:type="gramStart"/>
      <w:r w:rsidRPr="007B263F">
        <w:rPr>
          <w:rFonts w:ascii="Times New Roman" w:hAnsi="Times New Roman"/>
          <w:lang w:val="en-GB"/>
        </w:rPr>
        <w:t xml:space="preserve">Heat </w:t>
      </w:r>
      <w:r>
        <w:rPr>
          <w:rFonts w:ascii="Times New Roman" w:hAnsi="Times New Roman"/>
          <w:lang w:val="en-GB"/>
        </w:rPr>
        <w:t>t</w:t>
      </w:r>
      <w:r w:rsidRPr="007B263F">
        <w:rPr>
          <w:rFonts w:ascii="Times New Roman" w:hAnsi="Times New Roman"/>
          <w:lang w:val="en-GB"/>
        </w:rPr>
        <w:t xml:space="preserve">reatment for </w:t>
      </w:r>
      <w:r>
        <w:rPr>
          <w:rFonts w:ascii="Times New Roman" w:hAnsi="Times New Roman"/>
          <w:lang w:val="en-GB"/>
        </w:rPr>
        <w:t>i</w:t>
      </w:r>
      <w:r w:rsidRPr="007B263F">
        <w:rPr>
          <w:rFonts w:ascii="Times New Roman" w:hAnsi="Times New Roman"/>
          <w:lang w:val="en-GB"/>
        </w:rPr>
        <w:t xml:space="preserve">nsect </w:t>
      </w:r>
      <w:r>
        <w:rPr>
          <w:rFonts w:ascii="Times New Roman" w:hAnsi="Times New Roman"/>
          <w:lang w:val="en-GB"/>
        </w:rPr>
        <w:t>c</w:t>
      </w:r>
      <w:r w:rsidRPr="007B263F">
        <w:rPr>
          <w:rFonts w:ascii="Times New Roman" w:hAnsi="Times New Roman"/>
          <w:lang w:val="en-GB"/>
        </w:rPr>
        <w:t>ontrol.</w:t>
      </w:r>
      <w:proofErr w:type="gramEnd"/>
      <w:r w:rsidRPr="007B263F">
        <w:rPr>
          <w:rFonts w:ascii="Times New Roman" w:hAnsi="Times New Roman"/>
          <w:lang w:val="en-GB"/>
        </w:rPr>
        <w:t xml:space="preserve"> Developments and </w:t>
      </w:r>
      <w:r>
        <w:rPr>
          <w:rFonts w:ascii="Times New Roman" w:hAnsi="Times New Roman"/>
          <w:lang w:val="en-GB"/>
        </w:rPr>
        <w:t>a</w:t>
      </w:r>
      <w:r w:rsidR="00705C9D">
        <w:rPr>
          <w:rFonts w:ascii="Times New Roman" w:hAnsi="Times New Roman"/>
          <w:lang w:val="en-GB"/>
        </w:rPr>
        <w:t>pplications</w:t>
      </w:r>
      <w:r w:rsidRPr="007B263F">
        <w:rPr>
          <w:rFonts w:ascii="Times New Roman" w:hAnsi="Times New Roman"/>
          <w:lang w:val="en-GB"/>
        </w:rPr>
        <w:t xml:space="preserve"> Woodhead Publishing Series in Food Science, Technology and Nutrition: Number 241. Elsevier, Amsterdam, 2015, ISBN 978-0-85709-776-7 (print), ISBN 978 - 0- 85709-781-1 (online), 99 p</w:t>
      </w:r>
    </w:p>
    <w:p w14:paraId="61B743B5" w14:textId="352C5498" w:rsidR="00F73340" w:rsidRPr="004D571E" w:rsidRDefault="00F73340" w:rsidP="00F73340">
      <w:pPr>
        <w:pStyle w:val="Refs0"/>
        <w:rPr>
          <w:rStyle w:val="A20"/>
          <w:rFonts w:ascii="Times New Roman" w:eastAsia="MS ????" w:hAnsi="Times New Roman"/>
          <w:b w:val="0"/>
          <w:bCs/>
          <w:sz w:val="20"/>
          <w:lang w:val="en-US"/>
        </w:rPr>
      </w:pPr>
      <w:r w:rsidRPr="004D571E">
        <w:rPr>
          <w:rStyle w:val="A20"/>
          <w:rFonts w:ascii="Times New Roman" w:eastAsia="MS ????" w:hAnsi="Times New Roman"/>
          <w:b w:val="0"/>
          <w:bCs/>
          <w:sz w:val="20"/>
          <w:lang w:val="en-US"/>
        </w:rPr>
        <w:t>Hidalgo C</w:t>
      </w:r>
      <w:proofErr w:type="gramStart"/>
      <w:r w:rsidRPr="004D571E">
        <w:rPr>
          <w:rStyle w:val="A20"/>
          <w:rFonts w:ascii="Times New Roman" w:eastAsia="MS ????" w:hAnsi="Times New Roman"/>
          <w:b w:val="0"/>
          <w:bCs/>
          <w:sz w:val="20"/>
          <w:lang w:val="en-US"/>
        </w:rPr>
        <w:t>,.</w:t>
      </w:r>
      <w:proofErr w:type="gramEnd"/>
      <w:r w:rsidRPr="004D571E">
        <w:rPr>
          <w:rStyle w:val="A20"/>
          <w:rFonts w:ascii="Times New Roman" w:eastAsia="MS ????" w:hAnsi="Times New Roman"/>
          <w:b w:val="0"/>
          <w:bCs/>
          <w:sz w:val="20"/>
          <w:lang w:val="en-US"/>
        </w:rPr>
        <w:t xml:space="preserve"> </w:t>
      </w:r>
      <w:proofErr w:type="gramStart"/>
      <w:r w:rsidRPr="004D571E">
        <w:rPr>
          <w:rStyle w:val="A20"/>
          <w:rFonts w:ascii="Times New Roman" w:eastAsia="MS ????" w:hAnsi="Times New Roman"/>
          <w:b w:val="0"/>
          <w:bCs/>
          <w:sz w:val="20"/>
          <w:lang w:val="en-US"/>
        </w:rPr>
        <w:t xml:space="preserve">Valadez Moctezuma A. J., E, and </w:t>
      </w:r>
      <w:r w:rsidRPr="004D571E" w:rsidDel="00807007">
        <w:rPr>
          <w:rStyle w:val="A20"/>
          <w:rFonts w:ascii="Times New Roman" w:eastAsia="MS ????" w:hAnsi="Times New Roman"/>
          <w:b w:val="0"/>
          <w:bCs/>
          <w:sz w:val="20"/>
          <w:lang w:val="en-US"/>
        </w:rPr>
        <w:t xml:space="preserve">N. </w:t>
      </w:r>
      <w:r w:rsidRPr="004D571E">
        <w:rPr>
          <w:rStyle w:val="A20"/>
          <w:rFonts w:ascii="Times New Roman" w:eastAsia="MS ????" w:hAnsi="Times New Roman"/>
          <w:b w:val="0"/>
          <w:bCs/>
          <w:sz w:val="20"/>
          <w:lang w:val="en-US"/>
        </w:rPr>
        <w:t>Marbán Mendoza.</w:t>
      </w:r>
      <w:proofErr w:type="gramEnd"/>
      <w:r w:rsidRPr="004D571E">
        <w:rPr>
          <w:rStyle w:val="A20"/>
          <w:rFonts w:ascii="Times New Roman" w:eastAsia="MS ????" w:hAnsi="Times New Roman"/>
          <w:b w:val="0"/>
          <w:bCs/>
          <w:sz w:val="20"/>
          <w:lang w:val="en-US"/>
        </w:rPr>
        <w:t xml:space="preserve"> </w:t>
      </w:r>
      <w:proofErr w:type="gramStart"/>
      <w:r w:rsidRPr="004D571E">
        <w:rPr>
          <w:rStyle w:val="A20"/>
          <w:rFonts w:ascii="Times New Roman" w:eastAsia="MS ????" w:hAnsi="Times New Roman"/>
          <w:b w:val="0"/>
          <w:bCs/>
          <w:sz w:val="20"/>
          <w:lang w:val="en-US"/>
        </w:rPr>
        <w:t>N., (2015.)</w:t>
      </w:r>
      <w:proofErr w:type="gramEnd"/>
      <w:r w:rsidRPr="004D571E">
        <w:rPr>
          <w:rStyle w:val="A20"/>
          <w:rFonts w:ascii="Times New Roman" w:eastAsia="MS ????" w:hAnsi="Times New Roman"/>
          <w:b w:val="0"/>
          <w:bCs/>
          <w:sz w:val="20"/>
          <w:lang w:val="en-US"/>
        </w:rPr>
        <w:t xml:space="preserve"> Effect of fluensulfone on the mobility </w:t>
      </w:r>
      <w:r w:rsidRPr="004D571E">
        <w:rPr>
          <w:rStyle w:val="A20"/>
          <w:rFonts w:ascii="Times New Roman" w:eastAsia="MS ????" w:hAnsi="Times New Roman"/>
          <w:b w:val="0"/>
          <w:bCs/>
          <w:i/>
          <w:iCs/>
          <w:sz w:val="20"/>
          <w:lang w:val="en-US"/>
        </w:rPr>
        <w:t>in vitro</w:t>
      </w:r>
      <w:r w:rsidRPr="004D571E">
        <w:rPr>
          <w:rStyle w:val="A20"/>
          <w:rFonts w:ascii="Times New Roman" w:eastAsia="MS ????" w:hAnsi="Times New Roman"/>
          <w:b w:val="0"/>
          <w:bCs/>
          <w:sz w:val="20"/>
          <w:lang w:val="en-US"/>
        </w:rPr>
        <w:t xml:space="preserve">, and reproduction and root galling of </w:t>
      </w:r>
      <w:r w:rsidRPr="004D571E">
        <w:rPr>
          <w:rStyle w:val="A20"/>
          <w:rFonts w:ascii="Times New Roman" w:eastAsia="MS ????" w:hAnsi="Times New Roman"/>
          <w:b w:val="0"/>
          <w:bCs/>
          <w:i/>
          <w:iCs/>
          <w:sz w:val="20"/>
          <w:lang w:val="en-US"/>
        </w:rPr>
        <w:t xml:space="preserve">Nacobbus aberrans </w:t>
      </w:r>
      <w:r w:rsidRPr="004D571E">
        <w:rPr>
          <w:rStyle w:val="A20"/>
          <w:rFonts w:ascii="Times New Roman" w:eastAsia="MS ????" w:hAnsi="Times New Roman"/>
          <w:b w:val="0"/>
          <w:bCs/>
          <w:sz w:val="20"/>
          <w:lang w:val="en-US"/>
        </w:rPr>
        <w:t>in m</w:t>
      </w:r>
      <w:r w:rsidR="00705C9D">
        <w:rPr>
          <w:rStyle w:val="A20"/>
          <w:rFonts w:ascii="Times New Roman" w:eastAsia="MS ????" w:hAnsi="Times New Roman"/>
          <w:b w:val="0"/>
          <w:bCs/>
          <w:sz w:val="20"/>
          <w:lang w:val="en-US"/>
        </w:rPr>
        <w:t xml:space="preserve">icroplots </w:t>
      </w:r>
      <w:r w:rsidRPr="004D571E">
        <w:rPr>
          <w:rStyle w:val="A20"/>
          <w:rFonts w:ascii="Times New Roman" w:eastAsia="MS ????" w:hAnsi="Times New Roman"/>
          <w:b w:val="0"/>
          <w:bCs/>
          <w:i/>
          <w:sz w:val="20"/>
          <w:lang w:val="en-US"/>
        </w:rPr>
        <w:t>Nematropica</w:t>
      </w:r>
      <w:r w:rsidR="00705C9D">
        <w:rPr>
          <w:rStyle w:val="A20"/>
          <w:rFonts w:ascii="Times New Roman" w:eastAsia="MS ????" w:hAnsi="Times New Roman"/>
          <w:b w:val="0"/>
          <w:bCs/>
          <w:sz w:val="20"/>
          <w:lang w:val="en-US"/>
        </w:rPr>
        <w:t xml:space="preserve"> 45:59-71</w:t>
      </w:r>
    </w:p>
    <w:p w14:paraId="4EAD4F78" w14:textId="668ED0DD" w:rsidR="00F73340" w:rsidRPr="007B263F" w:rsidRDefault="00F73340" w:rsidP="00F73340">
      <w:pPr>
        <w:pStyle w:val="Refs0"/>
        <w:rPr>
          <w:rFonts w:ascii="Times New Roman" w:hAnsi="Times New Roman"/>
          <w:b/>
          <w:bCs/>
          <w:lang w:val="en-US"/>
        </w:rPr>
      </w:pPr>
      <w:r w:rsidRPr="004D571E">
        <w:rPr>
          <w:rStyle w:val="A20"/>
          <w:rFonts w:ascii="Times New Roman" w:eastAsia="MS ????" w:hAnsi="Times New Roman"/>
          <w:b w:val="0"/>
          <w:bCs/>
          <w:sz w:val="20"/>
          <w:lang w:val="en-US"/>
        </w:rPr>
        <w:t>Indian Ministry of Agriculture (2017) Plant Quarantine Regulation</w:t>
      </w:r>
      <w:r w:rsidR="00705C9D">
        <w:rPr>
          <w:rStyle w:val="A20"/>
          <w:rFonts w:ascii="Times New Roman" w:eastAsia="MS ????" w:hAnsi="Times New Roman"/>
          <w:b w:val="0"/>
          <w:bCs/>
          <w:sz w:val="20"/>
          <w:lang w:val="en-US"/>
        </w:rPr>
        <w:t xml:space="preserve"> of Import into India Order 201</w:t>
      </w:r>
      <w:r w:rsidRPr="004D571E">
        <w:rPr>
          <w:rStyle w:val="A20"/>
          <w:rFonts w:ascii="Times New Roman" w:eastAsia="MS ????" w:hAnsi="Times New Roman"/>
          <w:b w:val="0"/>
          <w:bCs/>
          <w:sz w:val="20"/>
          <w:lang w:val="en-US"/>
        </w:rPr>
        <w:t xml:space="preserve"> </w:t>
      </w:r>
      <w:hyperlink r:id="rId57" w:history="1">
        <w:r w:rsidRPr="007B263F">
          <w:rPr>
            <w:rStyle w:val="Hyperlink"/>
            <w:rFonts w:ascii="Times New Roman" w:eastAsia="MS ????" w:hAnsi="Times New Roman"/>
            <w:bCs/>
            <w:lang w:val="en-US"/>
          </w:rPr>
          <w:t>http://agricoop.nic.in/sites/default/files/Draft%20notification%20%26amp%3B%20WTO-SPS%20format.pdf</w:t>
        </w:r>
      </w:hyperlink>
      <w:r w:rsidRPr="007B263F">
        <w:rPr>
          <w:rStyle w:val="A20"/>
          <w:rFonts w:ascii="Times New Roman" w:eastAsia="MS ????" w:hAnsi="Times New Roman"/>
          <w:bCs/>
          <w:lang w:val="en-US"/>
        </w:rPr>
        <w:t xml:space="preserve"> </w:t>
      </w:r>
    </w:p>
    <w:p w14:paraId="69CE8AD4" w14:textId="77777777" w:rsidR="00F73340" w:rsidRPr="007B263F" w:rsidRDefault="00F73340" w:rsidP="00F73340">
      <w:pPr>
        <w:pStyle w:val="Refs0"/>
        <w:rPr>
          <w:rFonts w:ascii="Times New Roman" w:hAnsi="Times New Roman"/>
        </w:rPr>
      </w:pPr>
      <w:r w:rsidRPr="007B263F">
        <w:rPr>
          <w:rFonts w:ascii="Times New Roman" w:hAnsi="Times New Roman"/>
        </w:rPr>
        <w:t xml:space="preserve">Ishige, Y, H. Nishizaki, Y. Hoshikawa, Y. Taenaka, H. Kimura and H. Naito (2017) </w:t>
      </w:r>
      <w:proofErr w:type="gramStart"/>
      <w:r w:rsidRPr="007B263F">
        <w:rPr>
          <w:rFonts w:ascii="Times New Roman" w:hAnsi="Times New Roman"/>
        </w:rPr>
        <w:t>A</w:t>
      </w:r>
      <w:proofErr w:type="gramEnd"/>
      <w:r w:rsidRPr="007B263F">
        <w:rPr>
          <w:rFonts w:ascii="Times New Roman" w:hAnsi="Times New Roman"/>
        </w:rPr>
        <w:t xml:space="preserve"> study on the treatment schedule of phosphine fumibation for stored grains infested with granary weevil, </w:t>
      </w:r>
      <w:r w:rsidRPr="007B263F">
        <w:rPr>
          <w:rFonts w:ascii="Times New Roman" w:hAnsi="Times New Roman"/>
          <w:i/>
        </w:rPr>
        <w:t>Sitophilus granaries</w:t>
      </w:r>
      <w:r w:rsidRPr="007B263F">
        <w:rPr>
          <w:rFonts w:ascii="Times New Roman" w:hAnsi="Times New Roman"/>
        </w:rPr>
        <w:t xml:space="preserve"> (L.) (Coleoptera: Dryophthoridae). </w:t>
      </w:r>
      <w:r w:rsidRPr="001B1725">
        <w:rPr>
          <w:rFonts w:ascii="Times New Roman" w:hAnsi="Times New Roman"/>
          <w:i/>
        </w:rPr>
        <w:t>Research Bulletin of Plant Protec</w:t>
      </w:r>
      <w:r>
        <w:rPr>
          <w:rFonts w:ascii="Times New Roman" w:hAnsi="Times New Roman"/>
          <w:i/>
        </w:rPr>
        <w:t>t</w:t>
      </w:r>
      <w:r w:rsidRPr="001B1725">
        <w:rPr>
          <w:rFonts w:ascii="Times New Roman" w:hAnsi="Times New Roman"/>
          <w:i/>
        </w:rPr>
        <w:t>ion Japan</w:t>
      </w:r>
      <w:r w:rsidRPr="007B263F">
        <w:rPr>
          <w:rFonts w:ascii="Times New Roman" w:hAnsi="Times New Roman"/>
        </w:rPr>
        <w:t xml:space="preserve"> 53:19-24 (in Japanese).</w:t>
      </w:r>
    </w:p>
    <w:p w14:paraId="33B0D7DC" w14:textId="00B61D45" w:rsidR="00F73340" w:rsidRPr="007B263F" w:rsidRDefault="00F73340" w:rsidP="00F73340">
      <w:pPr>
        <w:pStyle w:val="Refs0"/>
        <w:rPr>
          <w:rFonts w:ascii="Times New Roman" w:hAnsi="Times New Roman"/>
        </w:rPr>
      </w:pPr>
      <w:r w:rsidRPr="007B263F">
        <w:rPr>
          <w:rFonts w:ascii="Times New Roman" w:hAnsi="Times New Roman"/>
        </w:rPr>
        <w:t>Jamieson L.E, Page-Weir N.E.M., Griffin M.J., Redpath S.P</w:t>
      </w:r>
      <w:proofErr w:type="gramStart"/>
      <w:r w:rsidRPr="007B263F">
        <w:rPr>
          <w:rFonts w:ascii="Times New Roman" w:hAnsi="Times New Roman"/>
        </w:rPr>
        <w:t>. ,</w:t>
      </w:r>
      <w:proofErr w:type="gramEnd"/>
      <w:r w:rsidRPr="007B263F">
        <w:rPr>
          <w:rFonts w:ascii="Times New Roman" w:hAnsi="Times New Roman"/>
        </w:rPr>
        <w:t xml:space="preserve"> Chhagan A., </w:t>
      </w:r>
      <w:r>
        <w:rPr>
          <w:rFonts w:ascii="Times New Roman" w:hAnsi="Times New Roman"/>
        </w:rPr>
        <w:t xml:space="preserve">and </w:t>
      </w:r>
      <w:r w:rsidRPr="007B263F">
        <w:rPr>
          <w:rFonts w:ascii="Times New Roman" w:hAnsi="Times New Roman"/>
        </w:rPr>
        <w:t>Connolly P.G</w:t>
      </w:r>
      <w:r>
        <w:rPr>
          <w:rFonts w:ascii="Times New Roman" w:hAnsi="Times New Roman"/>
        </w:rPr>
        <w:t xml:space="preserve"> (2015)</w:t>
      </w:r>
      <w:r w:rsidRPr="007B263F">
        <w:rPr>
          <w:rFonts w:ascii="Times New Roman" w:hAnsi="Times New Roman"/>
        </w:rPr>
        <w:t xml:space="preserve">.  </w:t>
      </w:r>
      <w:proofErr w:type="gramStart"/>
      <w:r w:rsidRPr="007B263F">
        <w:rPr>
          <w:rFonts w:ascii="Times New Roman" w:hAnsi="Times New Roman"/>
        </w:rPr>
        <w:t>Efficacy, Woolf A.B.</w:t>
      </w:r>
      <w:proofErr w:type="gramEnd"/>
      <w:r w:rsidRPr="007B263F">
        <w:rPr>
          <w:rFonts w:ascii="Times New Roman" w:hAnsi="Times New Roman"/>
        </w:rPr>
        <w:t xml:space="preserve"> The tolerance of tomato potato psyllid life stages to ethyl formate </w:t>
      </w:r>
      <w:r w:rsidRPr="001B1725">
        <w:rPr>
          <w:rFonts w:ascii="Times New Roman" w:hAnsi="Times New Roman"/>
          <w:i/>
        </w:rPr>
        <w:t>New Zealand Plant Protection</w:t>
      </w:r>
      <w:r w:rsidRPr="007B263F">
        <w:rPr>
          <w:rFonts w:ascii="Times New Roman" w:hAnsi="Times New Roman"/>
        </w:rPr>
        <w:t xml:space="preserve"> 68: 91-97 </w:t>
      </w:r>
    </w:p>
    <w:p w14:paraId="2255DB88" w14:textId="658D8F92" w:rsidR="00F73340" w:rsidRPr="007B263F" w:rsidRDefault="00F73340" w:rsidP="00F73340">
      <w:pPr>
        <w:pStyle w:val="Refs0"/>
        <w:rPr>
          <w:rFonts w:ascii="Times New Roman" w:hAnsi="Times New Roman"/>
        </w:rPr>
      </w:pPr>
      <w:proofErr w:type="gramStart"/>
      <w:r w:rsidRPr="007B263F">
        <w:rPr>
          <w:rFonts w:ascii="Times New Roman" w:hAnsi="Times New Roman"/>
        </w:rPr>
        <w:t>Jamieson L.E, Page-Weir N.E.M., Griffin M.J., Redpath S.P.</w:t>
      </w:r>
      <w:r>
        <w:rPr>
          <w:rFonts w:ascii="Times New Roman" w:hAnsi="Times New Roman"/>
        </w:rPr>
        <w:t>.,</w:t>
      </w:r>
      <w:r w:rsidRPr="007B263F">
        <w:rPr>
          <w:rFonts w:ascii="Times New Roman" w:hAnsi="Times New Roman"/>
        </w:rPr>
        <w:t xml:space="preserve"> Chhagan A., </w:t>
      </w:r>
      <w:r>
        <w:rPr>
          <w:rFonts w:ascii="Times New Roman" w:hAnsi="Times New Roman"/>
        </w:rPr>
        <w:t xml:space="preserve">and </w:t>
      </w:r>
      <w:r w:rsidRPr="007B263F">
        <w:rPr>
          <w:rFonts w:ascii="Times New Roman" w:hAnsi="Times New Roman"/>
        </w:rPr>
        <w:t>Connolly P.G.</w:t>
      </w:r>
      <w:r>
        <w:rPr>
          <w:rFonts w:ascii="Times New Roman" w:hAnsi="Times New Roman"/>
        </w:rPr>
        <w:t xml:space="preserve"> (2016).</w:t>
      </w:r>
      <w:proofErr w:type="gramEnd"/>
      <w:r w:rsidRPr="007B263F">
        <w:rPr>
          <w:rFonts w:ascii="Times New Roman" w:hAnsi="Times New Roman"/>
        </w:rPr>
        <w:t xml:space="preserve">  Efficacy of ethyl formate as a disinfestation treatment for codling moth (Cydia pomonella) in apples </w:t>
      </w:r>
      <w:r w:rsidRPr="001B1725">
        <w:rPr>
          <w:rFonts w:ascii="Times New Roman" w:hAnsi="Times New Roman"/>
          <w:i/>
        </w:rPr>
        <w:t>New Zealand Plant Protection</w:t>
      </w:r>
      <w:r w:rsidRPr="007B263F">
        <w:rPr>
          <w:rFonts w:ascii="Times New Roman" w:hAnsi="Times New Roman"/>
        </w:rPr>
        <w:t xml:space="preserve"> 69: 167 - 175</w:t>
      </w:r>
    </w:p>
    <w:p w14:paraId="52D3A441" w14:textId="43044C86" w:rsidR="00F73340" w:rsidRPr="007B263F" w:rsidRDefault="00F73340" w:rsidP="00F73340">
      <w:pPr>
        <w:pStyle w:val="Refs0"/>
        <w:rPr>
          <w:rFonts w:ascii="Times New Roman" w:hAnsi="Times New Roman"/>
          <w:lang w:val="fr-FR"/>
        </w:rPr>
      </w:pPr>
      <w:r w:rsidRPr="007B263F">
        <w:rPr>
          <w:rFonts w:ascii="Times New Roman" w:hAnsi="Times New Roman"/>
        </w:rPr>
        <w:t>Jones, J.T., Haegeman, A., Danchin, E.G., Gaur, H.S., Helder, J., Jones, M.G., Kikuchi, T.,</w:t>
      </w:r>
      <w:r w:rsidR="00705C9D">
        <w:rPr>
          <w:rFonts w:ascii="Times New Roman" w:hAnsi="Times New Roman"/>
        </w:rPr>
        <w:t xml:space="preserve"> </w:t>
      </w:r>
      <w:r w:rsidRPr="007B263F">
        <w:rPr>
          <w:rFonts w:ascii="Times New Roman" w:hAnsi="Times New Roman"/>
        </w:rPr>
        <w:t>Manzanilla-L</w:t>
      </w:r>
      <w:r w:rsidR="00705C9D">
        <w:rPr>
          <w:rFonts w:ascii="Times New Roman" w:hAnsi="Times New Roman"/>
        </w:rPr>
        <w:t>ò</w:t>
      </w:r>
      <w:r w:rsidRPr="007B263F">
        <w:rPr>
          <w:rFonts w:ascii="Times New Roman" w:hAnsi="Times New Roman"/>
        </w:rPr>
        <w:t xml:space="preserve">pez, R., Palomares-Rius, J.E., Wesemael, W.M., </w:t>
      </w:r>
      <w:r>
        <w:rPr>
          <w:rFonts w:ascii="Times New Roman" w:hAnsi="Times New Roman"/>
        </w:rPr>
        <w:t xml:space="preserve">and </w:t>
      </w:r>
      <w:r w:rsidR="00705C9D">
        <w:rPr>
          <w:rFonts w:ascii="Times New Roman" w:hAnsi="Times New Roman"/>
        </w:rPr>
        <w:t>Perry, R.N., (2013)</w:t>
      </w:r>
      <w:r w:rsidRPr="007B263F">
        <w:rPr>
          <w:rFonts w:ascii="Times New Roman" w:hAnsi="Times New Roman"/>
        </w:rPr>
        <w:t xml:space="preserve"> Top 10 plant-parasitic nematodes in molecular plant pathology. </w:t>
      </w:r>
      <w:r w:rsidRPr="001B1725">
        <w:rPr>
          <w:rFonts w:ascii="Times New Roman" w:hAnsi="Times New Roman"/>
          <w:i/>
        </w:rPr>
        <w:t>Molecular Plant Pathology</w:t>
      </w:r>
      <w:r w:rsidRPr="007B263F">
        <w:rPr>
          <w:rFonts w:ascii="Times New Roman" w:hAnsi="Times New Roman"/>
        </w:rPr>
        <w:t xml:space="preserve"> </w:t>
      </w:r>
      <w:r w:rsidRPr="007B263F">
        <w:rPr>
          <w:rFonts w:ascii="Times New Roman" w:hAnsi="Times New Roman"/>
          <w:lang w:val="fr-FR"/>
        </w:rPr>
        <w:t>14</w:t>
      </w:r>
      <w:r>
        <w:rPr>
          <w:rFonts w:ascii="Times New Roman" w:hAnsi="Times New Roman"/>
          <w:lang w:val="fr-FR"/>
        </w:rPr>
        <w:t>:</w:t>
      </w:r>
      <w:r w:rsidRPr="007B263F">
        <w:rPr>
          <w:rFonts w:ascii="Times New Roman" w:hAnsi="Times New Roman"/>
          <w:lang w:val="fr-FR"/>
        </w:rPr>
        <w:t xml:space="preserve"> 946-961.</w:t>
      </w:r>
    </w:p>
    <w:p w14:paraId="1C514621" w14:textId="77D7F0A8" w:rsidR="00F73340" w:rsidRPr="007B263F" w:rsidRDefault="00F73340" w:rsidP="00F73340">
      <w:pPr>
        <w:pStyle w:val="Refs0"/>
        <w:rPr>
          <w:rFonts w:ascii="Times New Roman" w:hAnsi="Times New Roman"/>
        </w:rPr>
      </w:pPr>
      <w:r w:rsidRPr="007B263F">
        <w:rPr>
          <w:rFonts w:ascii="Times New Roman" w:hAnsi="Times New Roman"/>
          <w:lang w:val="fr-FR"/>
        </w:rPr>
        <w:t xml:space="preserve">Lax, P., Rondan Duenas, J.C., Coronel, N.B., Gardenal, C.N., Bima, P., </w:t>
      </w:r>
      <w:r>
        <w:rPr>
          <w:rFonts w:ascii="Times New Roman" w:hAnsi="Times New Roman"/>
          <w:lang w:val="fr-FR"/>
        </w:rPr>
        <w:t xml:space="preserve">and </w:t>
      </w:r>
      <w:r w:rsidRPr="007B263F">
        <w:rPr>
          <w:rFonts w:ascii="Times New Roman" w:hAnsi="Times New Roman"/>
          <w:lang w:val="fr-FR"/>
        </w:rPr>
        <w:t xml:space="preserve">Doucet, M.E., (2011). </w:t>
      </w:r>
      <w:r w:rsidRPr="007B263F">
        <w:rPr>
          <w:rFonts w:ascii="Times New Roman" w:hAnsi="Times New Roman"/>
        </w:rPr>
        <w:t xml:space="preserve">Host range study of Argentine </w:t>
      </w:r>
      <w:r w:rsidRPr="007B263F">
        <w:rPr>
          <w:rFonts w:ascii="Times New Roman" w:hAnsi="Times New Roman"/>
          <w:i/>
        </w:rPr>
        <w:t>Nacobbus aberrans</w:t>
      </w:r>
      <w:r w:rsidRPr="007B263F">
        <w:rPr>
          <w:rFonts w:ascii="Times New Roman" w:hAnsi="Times New Roman"/>
        </w:rPr>
        <w:t xml:space="preserve"> sensu Sher populations and comment</w:t>
      </w:r>
      <w:r w:rsidR="00705C9D">
        <w:rPr>
          <w:rFonts w:ascii="Times New Roman" w:hAnsi="Times New Roman"/>
        </w:rPr>
        <w:t>s on the differential host test</w:t>
      </w:r>
      <w:r w:rsidRPr="007B263F">
        <w:rPr>
          <w:rFonts w:ascii="Times New Roman" w:hAnsi="Times New Roman"/>
        </w:rPr>
        <w:t xml:space="preserve"> </w:t>
      </w:r>
      <w:r w:rsidRPr="001B1725">
        <w:rPr>
          <w:rFonts w:ascii="Times New Roman" w:hAnsi="Times New Roman"/>
          <w:i/>
        </w:rPr>
        <w:t>Crop Protection</w:t>
      </w:r>
      <w:r w:rsidRPr="007B263F">
        <w:rPr>
          <w:rFonts w:ascii="Times New Roman" w:hAnsi="Times New Roman"/>
        </w:rPr>
        <w:t xml:space="preserve"> 30</w:t>
      </w:r>
      <w:r>
        <w:rPr>
          <w:rFonts w:ascii="Times New Roman" w:hAnsi="Times New Roman"/>
        </w:rPr>
        <w:t>:</w:t>
      </w:r>
      <w:r w:rsidRPr="007B263F">
        <w:rPr>
          <w:rFonts w:ascii="Times New Roman" w:hAnsi="Times New Roman"/>
        </w:rPr>
        <w:t xml:space="preserve"> 1414</w:t>
      </w:r>
      <w:r>
        <w:rPr>
          <w:rFonts w:ascii="Times New Roman" w:hAnsi="Times New Roman"/>
        </w:rPr>
        <w:t>-</w:t>
      </w:r>
      <w:r w:rsidR="00935013">
        <w:rPr>
          <w:rFonts w:ascii="Times New Roman" w:hAnsi="Times New Roman"/>
        </w:rPr>
        <w:t>1420</w:t>
      </w:r>
    </w:p>
    <w:p w14:paraId="74FC24C5" w14:textId="38E766C0" w:rsidR="00F73340" w:rsidRPr="007B263F" w:rsidRDefault="00F73340" w:rsidP="00F73340">
      <w:pPr>
        <w:pStyle w:val="Refs0"/>
        <w:rPr>
          <w:rFonts w:ascii="Times New Roman" w:hAnsi="Times New Roman"/>
          <w:lang w:val="en-US"/>
        </w:rPr>
      </w:pPr>
      <w:r w:rsidRPr="007B263F">
        <w:rPr>
          <w:rFonts w:ascii="Times New Roman" w:hAnsi="Times New Roman"/>
          <w:lang w:val="fr-FR"/>
        </w:rPr>
        <w:t xml:space="preserve">Lax, P., Rondan-Duenas, J. C., Ramos, D., Doucet, M. D., Braga, R., </w:t>
      </w:r>
      <w:r>
        <w:rPr>
          <w:rFonts w:ascii="Times New Roman" w:hAnsi="Times New Roman"/>
          <w:lang w:val="fr-FR"/>
        </w:rPr>
        <w:t xml:space="preserve">and </w:t>
      </w:r>
      <w:r w:rsidRPr="007B263F">
        <w:rPr>
          <w:rFonts w:ascii="Times New Roman" w:hAnsi="Times New Roman"/>
          <w:lang w:val="fr-FR"/>
        </w:rPr>
        <w:t xml:space="preserve">Kobori, R. (2016). </w:t>
      </w:r>
      <w:r w:rsidRPr="007B263F">
        <w:rPr>
          <w:rFonts w:ascii="Times New Roman" w:hAnsi="Times New Roman"/>
          <w:lang w:val="en-US"/>
        </w:rPr>
        <w:t xml:space="preserve">Host suitability of peppers to the false root-knot nematode </w:t>
      </w:r>
      <w:r w:rsidR="00705C9D">
        <w:rPr>
          <w:rFonts w:ascii="Times New Roman" w:hAnsi="Times New Roman"/>
          <w:i/>
          <w:iCs/>
          <w:lang w:val="en-US"/>
        </w:rPr>
        <w:t>Nacobbus aberrans</w:t>
      </w:r>
      <w:r w:rsidRPr="007B263F">
        <w:rPr>
          <w:rFonts w:ascii="Times New Roman" w:hAnsi="Times New Roman"/>
          <w:i/>
          <w:iCs/>
          <w:lang w:val="en-US"/>
        </w:rPr>
        <w:t xml:space="preserve"> </w:t>
      </w:r>
      <w:r w:rsidRPr="007B263F">
        <w:rPr>
          <w:rFonts w:ascii="Times New Roman" w:hAnsi="Times New Roman"/>
          <w:i/>
          <w:lang w:val="en-US"/>
        </w:rPr>
        <w:t>Crop Protection</w:t>
      </w:r>
      <w:r w:rsidR="00935013">
        <w:rPr>
          <w:rFonts w:ascii="Times New Roman" w:hAnsi="Times New Roman"/>
          <w:lang w:val="en-US"/>
        </w:rPr>
        <w:t xml:space="preserve"> 79, 15-19</w:t>
      </w:r>
    </w:p>
    <w:p w14:paraId="081B9008" w14:textId="77777777" w:rsidR="00F73340" w:rsidRPr="007B263F" w:rsidRDefault="00F73340" w:rsidP="00F73340">
      <w:pPr>
        <w:pStyle w:val="Refs0"/>
        <w:rPr>
          <w:rFonts w:ascii="Times New Roman" w:hAnsi="Times New Roman"/>
          <w:bCs/>
          <w:lang w:val="en-US"/>
        </w:rPr>
      </w:pPr>
      <w:r w:rsidRPr="007B263F">
        <w:rPr>
          <w:rFonts w:ascii="Times New Roman" w:hAnsi="Times New Roman"/>
          <w:lang w:val="en-US"/>
        </w:rPr>
        <w:lastRenderedPageBreak/>
        <w:t xml:space="preserve">López-Aranda, </w:t>
      </w:r>
      <w:r w:rsidRPr="007B263F">
        <w:rPr>
          <w:rFonts w:ascii="Times New Roman" w:hAnsi="Times New Roman"/>
          <w:bCs/>
          <w:lang w:val="en-US"/>
        </w:rPr>
        <w:t xml:space="preserve">J. M., Domínguez, P., Miranda, L., De los Santos, B., Talavera, M., Daugovish, O., Soria, C., Chamorro, M. and Medina, J.J. (2016): Fumigant </w:t>
      </w:r>
      <w:r>
        <w:rPr>
          <w:rFonts w:ascii="Times New Roman" w:hAnsi="Times New Roman"/>
          <w:bCs/>
          <w:lang w:val="en-US"/>
        </w:rPr>
        <w:t>u</w:t>
      </w:r>
      <w:r w:rsidRPr="007B263F">
        <w:rPr>
          <w:rFonts w:ascii="Times New Roman" w:hAnsi="Times New Roman"/>
          <w:bCs/>
          <w:lang w:val="en-US"/>
        </w:rPr>
        <w:t xml:space="preserve">se for </w:t>
      </w:r>
      <w:r>
        <w:rPr>
          <w:rFonts w:ascii="Times New Roman" w:hAnsi="Times New Roman"/>
          <w:bCs/>
          <w:lang w:val="en-US"/>
        </w:rPr>
        <w:t>s</w:t>
      </w:r>
      <w:r w:rsidRPr="007B263F">
        <w:rPr>
          <w:rFonts w:ascii="Times New Roman" w:hAnsi="Times New Roman"/>
          <w:bCs/>
          <w:lang w:val="en-US"/>
        </w:rPr>
        <w:t xml:space="preserve">trawberry </w:t>
      </w:r>
      <w:r>
        <w:rPr>
          <w:rFonts w:ascii="Times New Roman" w:hAnsi="Times New Roman"/>
          <w:bCs/>
          <w:lang w:val="en-US"/>
        </w:rPr>
        <w:t>p</w:t>
      </w:r>
      <w:r w:rsidRPr="007B263F">
        <w:rPr>
          <w:rFonts w:ascii="Times New Roman" w:hAnsi="Times New Roman"/>
          <w:bCs/>
          <w:lang w:val="en-US"/>
        </w:rPr>
        <w:t xml:space="preserve">roduction in Europe: </w:t>
      </w:r>
      <w:r>
        <w:rPr>
          <w:rFonts w:ascii="Times New Roman" w:hAnsi="Times New Roman"/>
          <w:bCs/>
          <w:lang w:val="en-US"/>
        </w:rPr>
        <w:t>t</w:t>
      </w:r>
      <w:r w:rsidRPr="007B263F">
        <w:rPr>
          <w:rFonts w:ascii="Times New Roman" w:hAnsi="Times New Roman"/>
          <w:bCs/>
          <w:lang w:val="en-US"/>
        </w:rPr>
        <w:t xml:space="preserve">he </w:t>
      </w:r>
      <w:r>
        <w:rPr>
          <w:rFonts w:ascii="Times New Roman" w:hAnsi="Times New Roman"/>
          <w:bCs/>
          <w:lang w:val="en-US"/>
        </w:rPr>
        <w:t>c</w:t>
      </w:r>
      <w:r w:rsidRPr="007B263F">
        <w:rPr>
          <w:rFonts w:ascii="Times New Roman" w:hAnsi="Times New Roman"/>
          <w:bCs/>
          <w:lang w:val="en-US"/>
        </w:rPr>
        <w:t xml:space="preserve">urrent </w:t>
      </w:r>
      <w:r>
        <w:rPr>
          <w:rFonts w:ascii="Times New Roman" w:hAnsi="Times New Roman"/>
          <w:bCs/>
          <w:lang w:val="en-US"/>
        </w:rPr>
        <w:t>l</w:t>
      </w:r>
      <w:r w:rsidRPr="007B263F">
        <w:rPr>
          <w:rFonts w:ascii="Times New Roman" w:hAnsi="Times New Roman"/>
          <w:bCs/>
          <w:lang w:val="en-US"/>
        </w:rPr>
        <w:t xml:space="preserve">andscape and </w:t>
      </w:r>
      <w:r>
        <w:rPr>
          <w:rFonts w:ascii="Times New Roman" w:hAnsi="Times New Roman"/>
          <w:bCs/>
          <w:lang w:val="en-US"/>
        </w:rPr>
        <w:t>s</w:t>
      </w:r>
      <w:r w:rsidRPr="007B263F">
        <w:rPr>
          <w:rFonts w:ascii="Times New Roman" w:hAnsi="Times New Roman"/>
          <w:bCs/>
          <w:lang w:val="en-US"/>
        </w:rPr>
        <w:t xml:space="preserve">olutions. </w:t>
      </w:r>
      <w:r w:rsidRPr="007B263F">
        <w:rPr>
          <w:rFonts w:ascii="Times New Roman" w:hAnsi="Times New Roman"/>
          <w:bCs/>
          <w:i/>
          <w:lang w:val="en-US"/>
        </w:rPr>
        <w:t>International Journal of Fruit Science</w:t>
      </w:r>
      <w:r w:rsidRPr="007B263F">
        <w:rPr>
          <w:rFonts w:ascii="Times New Roman" w:hAnsi="Times New Roman"/>
          <w:bCs/>
          <w:lang w:val="en-US"/>
        </w:rPr>
        <w:t xml:space="preserve"> 16 (Sup1): 1-15</w:t>
      </w:r>
    </w:p>
    <w:p w14:paraId="24713D21" w14:textId="19C93B17" w:rsidR="00F73340" w:rsidRPr="007B263F" w:rsidRDefault="00F73340" w:rsidP="00F73340">
      <w:pPr>
        <w:pStyle w:val="Refs0"/>
        <w:rPr>
          <w:rFonts w:ascii="Times New Roman" w:hAnsi="Times New Roman"/>
          <w:bCs/>
        </w:rPr>
      </w:pPr>
      <w:r w:rsidRPr="007B263F">
        <w:rPr>
          <w:rFonts w:ascii="Times New Roman" w:hAnsi="Times New Roman"/>
        </w:rPr>
        <w:t xml:space="preserve">Malkova J, Aulicky R, Dlouhy M, Stejskal V, Hnatek J, Hampl J, </w:t>
      </w:r>
      <w:r>
        <w:rPr>
          <w:rFonts w:ascii="Times New Roman" w:hAnsi="Times New Roman"/>
        </w:rPr>
        <w:t xml:space="preserve">and </w:t>
      </w:r>
      <w:r w:rsidRPr="007B263F">
        <w:rPr>
          <w:rFonts w:ascii="Times New Roman" w:hAnsi="Times New Roman"/>
        </w:rPr>
        <w:t>Trocha</w:t>
      </w:r>
      <w:r>
        <w:rPr>
          <w:rFonts w:ascii="Times New Roman" w:hAnsi="Times New Roman"/>
        </w:rPr>
        <w:t>,</w:t>
      </w:r>
      <w:r w:rsidRPr="007B263F">
        <w:rPr>
          <w:rFonts w:ascii="Times New Roman" w:hAnsi="Times New Roman"/>
        </w:rPr>
        <w:t xml:space="preserve"> A </w:t>
      </w:r>
      <w:r>
        <w:rPr>
          <w:rFonts w:ascii="Times New Roman" w:hAnsi="Times New Roman"/>
        </w:rPr>
        <w:t>.</w:t>
      </w:r>
      <w:r w:rsidRPr="007B263F">
        <w:rPr>
          <w:rFonts w:ascii="Times New Roman" w:hAnsi="Times New Roman"/>
        </w:rPr>
        <w:t>(2016) Efficacy of ethanedinitrile</w:t>
      </w:r>
      <w:r w:rsidRPr="007B263F">
        <w:rPr>
          <w:rFonts w:ascii="Times New Roman" w:hAnsi="Times New Roman"/>
          <w:bCs/>
        </w:rPr>
        <w:t xml:space="preserve"> </w:t>
      </w:r>
      <w:r w:rsidRPr="007B263F">
        <w:rPr>
          <w:rFonts w:ascii="Times New Roman" w:hAnsi="Times New Roman"/>
        </w:rPr>
        <w:t>and hydrogen cyanide on wood infesting insects. Pp. 477–478. In: Navarro S, Jayas DS, Alagusundaram</w:t>
      </w:r>
      <w:r w:rsidRPr="007B263F">
        <w:rPr>
          <w:rFonts w:ascii="Times New Roman" w:hAnsi="Times New Roman"/>
          <w:bCs/>
        </w:rPr>
        <w:t xml:space="preserve"> </w:t>
      </w:r>
      <w:r w:rsidRPr="007B263F">
        <w:rPr>
          <w:rFonts w:ascii="Times New Roman" w:hAnsi="Times New Roman"/>
        </w:rPr>
        <w:t>K, (Eds.) Proceedings of the 10th International Conference on Controlled Atmosphere and Fumigation</w:t>
      </w:r>
      <w:r w:rsidRPr="007B263F">
        <w:rPr>
          <w:rFonts w:ascii="Times New Roman" w:hAnsi="Times New Roman"/>
          <w:bCs/>
        </w:rPr>
        <w:t xml:space="preserve"> </w:t>
      </w:r>
      <w:r w:rsidRPr="007B263F">
        <w:rPr>
          <w:rFonts w:ascii="Times New Roman" w:hAnsi="Times New Roman"/>
        </w:rPr>
        <w:t>in Stored Products (CAF2016), CAF Permanent Committe</w:t>
      </w:r>
      <w:r w:rsidR="002F2119">
        <w:rPr>
          <w:rFonts w:ascii="Times New Roman" w:hAnsi="Times New Roman"/>
        </w:rPr>
        <w:t>e Secretariat, Winnipeg, Canada</w:t>
      </w:r>
    </w:p>
    <w:p w14:paraId="2742D3A3" w14:textId="604B8174" w:rsidR="00F73340" w:rsidRPr="007B263F" w:rsidRDefault="00F73340" w:rsidP="00F73340">
      <w:pPr>
        <w:pStyle w:val="Refs0"/>
        <w:rPr>
          <w:rFonts w:ascii="Times New Roman" w:hAnsi="Times New Roman"/>
        </w:rPr>
      </w:pPr>
      <w:r w:rsidRPr="007B263F">
        <w:rPr>
          <w:rFonts w:ascii="Times New Roman" w:hAnsi="Times New Roman"/>
        </w:rPr>
        <w:t xml:space="preserve">McConville, K. (2016). </w:t>
      </w:r>
      <w:proofErr w:type="gramStart"/>
      <w:r w:rsidRPr="007B263F">
        <w:rPr>
          <w:rFonts w:ascii="Times New Roman" w:hAnsi="Times New Roman"/>
        </w:rPr>
        <w:t>EDN for post harvest application – a promising outlook.</w:t>
      </w:r>
      <w:proofErr w:type="gramEnd"/>
      <w:r w:rsidRPr="007B263F">
        <w:rPr>
          <w:rFonts w:ascii="Times New Roman" w:hAnsi="Times New Roman"/>
        </w:rPr>
        <w:t xml:space="preserve"> In: Obenauf, G. (Ed.), Annual Research Conference on Methyl Bromide Alternatives and Emissions Reduction, 8-10 November 2016 in </w:t>
      </w:r>
      <w:r>
        <w:rPr>
          <w:rFonts w:ascii="Times New Roman" w:hAnsi="Times New Roman"/>
        </w:rPr>
        <w:t>Orlando</w:t>
      </w:r>
      <w:r w:rsidRPr="007B263F">
        <w:rPr>
          <w:rFonts w:ascii="Times New Roman" w:hAnsi="Times New Roman"/>
        </w:rPr>
        <w:t>, Fl</w:t>
      </w:r>
      <w:r>
        <w:rPr>
          <w:rFonts w:ascii="Times New Roman" w:hAnsi="Times New Roman"/>
        </w:rPr>
        <w:t>orida</w:t>
      </w:r>
      <w:r w:rsidRPr="007B263F">
        <w:rPr>
          <w:rFonts w:ascii="Times New Roman" w:hAnsi="Times New Roman"/>
        </w:rPr>
        <w:t xml:space="preserve">, </w:t>
      </w:r>
      <w:r w:rsidR="0070607D">
        <w:rPr>
          <w:rFonts w:ascii="Times New Roman" w:hAnsi="Times New Roman"/>
        </w:rPr>
        <w:t>US</w:t>
      </w:r>
      <w:r w:rsidRPr="007B263F">
        <w:rPr>
          <w:rFonts w:ascii="Times New Roman" w:hAnsi="Times New Roman"/>
        </w:rPr>
        <w:t xml:space="preserve">, </w:t>
      </w:r>
      <w:hyperlink r:id="rId58" w:history="1">
        <w:r w:rsidRPr="007B263F">
          <w:rPr>
            <w:rStyle w:val="Hyperlink"/>
            <w:rFonts w:ascii="Times New Roman" w:hAnsi="Times New Roman"/>
          </w:rPr>
          <w:t>http://mbao.org</w:t>
        </w:r>
      </w:hyperlink>
      <w:r w:rsidRPr="007B263F">
        <w:rPr>
          <w:rFonts w:ascii="Times New Roman" w:hAnsi="Times New Roman"/>
        </w:rPr>
        <w:t>, 1 slide, abstract: 34-1.</w:t>
      </w:r>
    </w:p>
    <w:p w14:paraId="49BDD3FB" w14:textId="6053CD3E" w:rsidR="00F73340" w:rsidRDefault="00F73340" w:rsidP="00F73340">
      <w:pPr>
        <w:pStyle w:val="Refs0"/>
        <w:rPr>
          <w:rFonts w:ascii="Times New Roman" w:hAnsi="Times New Roman"/>
        </w:rPr>
      </w:pPr>
      <w:r w:rsidRPr="007B263F">
        <w:rPr>
          <w:rFonts w:ascii="Times New Roman" w:hAnsi="Times New Roman"/>
        </w:rPr>
        <w:t xml:space="preserve">Manzanilla-Lopez, R.H., Costilla, M.A., Doucet, M., Franco, J., Inserra, R.N., Lehman, P.S., </w:t>
      </w:r>
      <w:r>
        <w:rPr>
          <w:rFonts w:ascii="Times New Roman" w:hAnsi="Times New Roman"/>
        </w:rPr>
        <w:t>D</w:t>
      </w:r>
      <w:r w:rsidRPr="007B263F">
        <w:rPr>
          <w:rFonts w:ascii="Times New Roman" w:hAnsi="Times New Roman"/>
        </w:rPr>
        <w:t>el Prado-Vera, I.</w:t>
      </w:r>
      <w:r>
        <w:rPr>
          <w:rFonts w:ascii="Times New Roman" w:hAnsi="Times New Roman"/>
        </w:rPr>
        <w:t>C.</w:t>
      </w:r>
      <w:r w:rsidRPr="007B263F">
        <w:rPr>
          <w:rFonts w:ascii="Times New Roman" w:hAnsi="Times New Roman"/>
        </w:rPr>
        <w:t xml:space="preserve">, Souza, R.M., </w:t>
      </w:r>
      <w:r>
        <w:rPr>
          <w:rFonts w:ascii="Times New Roman" w:hAnsi="Times New Roman"/>
        </w:rPr>
        <w:t xml:space="preserve">and </w:t>
      </w:r>
      <w:r w:rsidRPr="007B263F">
        <w:rPr>
          <w:rFonts w:ascii="Times New Roman" w:hAnsi="Times New Roman"/>
        </w:rPr>
        <w:t xml:space="preserve">Evans, K., (2002). The genus </w:t>
      </w:r>
      <w:r w:rsidRPr="007B263F">
        <w:rPr>
          <w:rFonts w:ascii="Times New Roman" w:hAnsi="Times New Roman"/>
          <w:i/>
        </w:rPr>
        <w:t>Nacobbus</w:t>
      </w:r>
      <w:r w:rsidRPr="007B263F">
        <w:rPr>
          <w:rFonts w:ascii="Times New Roman" w:hAnsi="Times New Roman"/>
        </w:rPr>
        <w:t xml:space="preserve"> Thorne &amp; Allen, 1944 (Nematoda: Pratylenchidae): systematics, distribution, biology and management. </w:t>
      </w:r>
      <w:r w:rsidRPr="001B1725">
        <w:rPr>
          <w:rFonts w:ascii="Times New Roman" w:hAnsi="Times New Roman"/>
          <w:i/>
        </w:rPr>
        <w:t>Nematropica</w:t>
      </w:r>
      <w:r w:rsidR="002F2119">
        <w:rPr>
          <w:rFonts w:ascii="Times New Roman" w:hAnsi="Times New Roman"/>
        </w:rPr>
        <w:t xml:space="preserve"> 32, 149-227</w:t>
      </w:r>
    </w:p>
    <w:p w14:paraId="71B1321F" w14:textId="342CE9C3" w:rsidR="002F2119" w:rsidRPr="007B263F" w:rsidRDefault="002F2119" w:rsidP="00F73340">
      <w:pPr>
        <w:pStyle w:val="Refs0"/>
        <w:rPr>
          <w:rFonts w:ascii="Times New Roman" w:hAnsi="Times New Roman"/>
        </w:rPr>
      </w:pPr>
      <w:proofErr w:type="gramStart"/>
      <w:r>
        <w:rPr>
          <w:rFonts w:ascii="Times New Roman" w:hAnsi="Times New Roman"/>
        </w:rPr>
        <w:t>MBTOC, (1995).</w:t>
      </w:r>
      <w:proofErr w:type="gramEnd"/>
      <w:r>
        <w:rPr>
          <w:rFonts w:ascii="Times New Roman" w:hAnsi="Times New Roman"/>
        </w:rPr>
        <w:t xml:space="preserve"> Methyl Bromide Technical Options C</w:t>
      </w:r>
      <w:r w:rsidR="00705C9D">
        <w:rPr>
          <w:rFonts w:ascii="Times New Roman" w:hAnsi="Times New Roman"/>
        </w:rPr>
        <w:t>ommittee 1994 Assessment Report</w:t>
      </w:r>
      <w:r>
        <w:rPr>
          <w:rFonts w:ascii="Times New Roman" w:hAnsi="Times New Roman"/>
        </w:rPr>
        <w:t xml:space="preserve"> Ozone Secretariat, Nairobi, Kenya, 309pp</w:t>
      </w:r>
    </w:p>
    <w:p w14:paraId="127A0DC4" w14:textId="2AD14903" w:rsidR="00F73340" w:rsidRPr="007B263F" w:rsidRDefault="00F73340" w:rsidP="00F73340">
      <w:pPr>
        <w:pStyle w:val="Refs0"/>
        <w:rPr>
          <w:rFonts w:ascii="Times New Roman" w:hAnsi="Times New Roman"/>
        </w:rPr>
      </w:pPr>
      <w:proofErr w:type="gramStart"/>
      <w:r w:rsidRPr="007B263F">
        <w:rPr>
          <w:rFonts w:ascii="Times New Roman" w:hAnsi="Times New Roman"/>
        </w:rPr>
        <w:t xml:space="preserve">MBTOC, </w:t>
      </w:r>
      <w:r>
        <w:rPr>
          <w:rFonts w:ascii="Times New Roman" w:hAnsi="Times New Roman"/>
        </w:rPr>
        <w:t>(</w:t>
      </w:r>
      <w:r w:rsidRPr="007B263F">
        <w:rPr>
          <w:rFonts w:ascii="Times New Roman" w:hAnsi="Times New Roman"/>
        </w:rPr>
        <w:t>2015</w:t>
      </w:r>
      <w:r>
        <w:rPr>
          <w:rFonts w:ascii="Times New Roman" w:hAnsi="Times New Roman"/>
        </w:rPr>
        <w:t>)</w:t>
      </w:r>
      <w:r w:rsidRPr="007B263F">
        <w:rPr>
          <w:rFonts w:ascii="Times New Roman" w:hAnsi="Times New Roman"/>
        </w:rPr>
        <w:t>.</w:t>
      </w:r>
      <w:proofErr w:type="gramEnd"/>
      <w:r w:rsidRPr="007B263F">
        <w:rPr>
          <w:rFonts w:ascii="Times New Roman" w:hAnsi="Times New Roman"/>
        </w:rPr>
        <w:t xml:space="preserve"> Methyl Bromide Technical Options Committee 2014 Assessme</w:t>
      </w:r>
      <w:r w:rsidR="00705C9D">
        <w:rPr>
          <w:rFonts w:ascii="Times New Roman" w:hAnsi="Times New Roman"/>
        </w:rPr>
        <w:t>nt Report</w:t>
      </w:r>
      <w:r w:rsidRPr="007B263F">
        <w:rPr>
          <w:rFonts w:ascii="Times New Roman" w:hAnsi="Times New Roman"/>
        </w:rPr>
        <w:t xml:space="preserve"> O</w:t>
      </w:r>
      <w:r w:rsidR="002F2119">
        <w:rPr>
          <w:rFonts w:ascii="Times New Roman" w:hAnsi="Times New Roman"/>
        </w:rPr>
        <w:t>zone Secretaria, Nairobi, Kenya</w:t>
      </w:r>
      <w:r w:rsidRPr="007B263F">
        <w:rPr>
          <w:rFonts w:ascii="Times New Roman" w:hAnsi="Times New Roman"/>
        </w:rPr>
        <w:t xml:space="preserve"> </w:t>
      </w:r>
      <w:hyperlink r:id="rId59" w:history="1">
        <w:r w:rsidRPr="007B263F">
          <w:rPr>
            <w:rStyle w:val="Hyperlink"/>
            <w:rFonts w:ascii="Times New Roman" w:hAnsi="Times New Roman"/>
          </w:rPr>
          <w:t>http://conf.montreal-protocol.org/meeting/oewg/oewg-36/presession/Background%20Documents%20are%20available%20in%20English%20only/MBTOC-Assessment-Report-2014.pdf</w:t>
        </w:r>
      </w:hyperlink>
      <w:r w:rsidRPr="007B263F">
        <w:rPr>
          <w:rFonts w:ascii="Times New Roman" w:hAnsi="Times New Roman"/>
        </w:rPr>
        <w:t xml:space="preserve"> </w:t>
      </w:r>
    </w:p>
    <w:p w14:paraId="6F6ED9EA" w14:textId="77777777" w:rsidR="00F73340" w:rsidRPr="007B263F" w:rsidRDefault="00F73340" w:rsidP="00F73340">
      <w:pPr>
        <w:pStyle w:val="Refs0"/>
        <w:rPr>
          <w:rFonts w:ascii="Times New Roman" w:hAnsi="Times New Roman"/>
        </w:rPr>
      </w:pPr>
      <w:proofErr w:type="gramStart"/>
      <w:r w:rsidRPr="007B263F">
        <w:rPr>
          <w:rFonts w:ascii="Times New Roman" w:hAnsi="Times New Roman"/>
        </w:rPr>
        <w:t>Mori, T and N. Kawamoto (1966) Studies on the properties and effect of fumigant, aluminum phosphide.</w:t>
      </w:r>
      <w:proofErr w:type="gramEnd"/>
      <w:r w:rsidRPr="007B263F">
        <w:rPr>
          <w:rFonts w:ascii="Times New Roman" w:hAnsi="Times New Roman"/>
        </w:rPr>
        <w:t xml:space="preserve"> </w:t>
      </w:r>
      <w:proofErr w:type="gramStart"/>
      <w:r w:rsidRPr="001B1725">
        <w:rPr>
          <w:rFonts w:ascii="Times New Roman" w:hAnsi="Times New Roman"/>
          <w:i/>
        </w:rPr>
        <w:t>Research Bulletin or Plant Protection of Japan</w:t>
      </w:r>
      <w:r w:rsidRPr="007B263F">
        <w:rPr>
          <w:rFonts w:ascii="Times New Roman" w:hAnsi="Times New Roman"/>
        </w:rPr>
        <w:t>.</w:t>
      </w:r>
      <w:proofErr w:type="gramEnd"/>
      <w:r w:rsidRPr="007B263F">
        <w:rPr>
          <w:rFonts w:ascii="Times New Roman" w:hAnsi="Times New Roman"/>
        </w:rPr>
        <w:t xml:space="preserve"> 3:24-35 (in Japanese).</w:t>
      </w:r>
    </w:p>
    <w:p w14:paraId="0AAACB50" w14:textId="25E6084D" w:rsidR="00F73340" w:rsidRPr="007B263F" w:rsidRDefault="00F73340" w:rsidP="00F73340">
      <w:pPr>
        <w:pStyle w:val="Refs0"/>
        <w:rPr>
          <w:rFonts w:ascii="Times New Roman" w:hAnsi="Times New Roman"/>
        </w:rPr>
      </w:pPr>
      <w:r w:rsidRPr="007B263F">
        <w:rPr>
          <w:rFonts w:ascii="Times New Roman" w:hAnsi="Times New Roman"/>
        </w:rPr>
        <w:t>Navarro H, Navarro S (2016) Comparative practical application of two novel candidate fumigants. Pp. 147–152. In: Navarro S, Jayas DS, Alagusundaram K, (Eds.) Proceedings of the 10th International Conference on Controlled Atmosphere and Fumigation in Stored Products (CAF2016), CAF Permanent Committe</w:t>
      </w:r>
      <w:r w:rsidR="002F2119">
        <w:rPr>
          <w:rFonts w:ascii="Times New Roman" w:hAnsi="Times New Roman"/>
        </w:rPr>
        <w:t>e Secretariat, Winnipeg, Canada</w:t>
      </w:r>
    </w:p>
    <w:p w14:paraId="64750CCE" w14:textId="77777777" w:rsidR="002878D4" w:rsidRDefault="00F73340" w:rsidP="002878D4">
      <w:pPr>
        <w:pStyle w:val="Refs0"/>
        <w:rPr>
          <w:rFonts w:ascii="Times New Roman" w:hAnsi="Times New Roman"/>
        </w:rPr>
      </w:pPr>
      <w:r w:rsidRPr="007B263F">
        <w:rPr>
          <w:rFonts w:ascii="Times New Roman" w:hAnsi="Times New Roman"/>
        </w:rPr>
        <w:t xml:space="preserve">Nishizaki, H, H. Hayashi, H. Naito and T. Akagawa (2016) Study of the development potential of the granary weevil, </w:t>
      </w:r>
      <w:r w:rsidRPr="007B263F">
        <w:rPr>
          <w:rFonts w:ascii="Times New Roman" w:hAnsi="Times New Roman"/>
          <w:i/>
        </w:rPr>
        <w:t>Sitophilus granaries</w:t>
      </w:r>
      <w:r w:rsidRPr="007B263F">
        <w:rPr>
          <w:rFonts w:ascii="Times New Roman" w:hAnsi="Times New Roman"/>
        </w:rPr>
        <w:t xml:space="preserve"> L. (Coleoptera: Dryophthoridae), in various feed grains and feedstuffs. </w:t>
      </w:r>
      <w:r w:rsidRPr="00196EDE">
        <w:rPr>
          <w:rFonts w:ascii="Times New Roman" w:hAnsi="Times New Roman"/>
          <w:i/>
        </w:rPr>
        <w:t>Research Bulletin or Plant Protection of Japan</w:t>
      </w:r>
      <w:r w:rsidRPr="007B263F">
        <w:rPr>
          <w:rFonts w:ascii="Times New Roman" w:hAnsi="Times New Roman"/>
        </w:rPr>
        <w:t xml:space="preserve"> 52:37-43 (in Japanese).</w:t>
      </w:r>
    </w:p>
    <w:p w14:paraId="5E3B5673" w14:textId="79791F16" w:rsidR="002878D4" w:rsidRPr="002878D4" w:rsidRDefault="002F2119" w:rsidP="002878D4">
      <w:pPr>
        <w:pStyle w:val="Refs0"/>
        <w:rPr>
          <w:rFonts w:ascii="Times New Roman" w:hAnsi="Times New Roman"/>
        </w:rPr>
      </w:pPr>
      <w:r>
        <w:rPr>
          <w:rFonts w:ascii="Times New Roman" w:hAnsi="Times New Roman"/>
        </w:rPr>
        <w:t>ORM (2017)</w:t>
      </w:r>
      <w:r w:rsidR="00F73340" w:rsidRPr="007B263F">
        <w:rPr>
          <w:rFonts w:ascii="Times New Roman" w:hAnsi="Times New Roman"/>
        </w:rPr>
        <w:t xml:space="preserve"> </w:t>
      </w:r>
      <w:r>
        <w:rPr>
          <w:rFonts w:ascii="Times New Roman" w:hAnsi="Times New Roman"/>
        </w:rPr>
        <w:t>Report</w:t>
      </w:r>
      <w:r w:rsidR="00F73340" w:rsidRPr="007B263F">
        <w:rPr>
          <w:rFonts w:ascii="Times New Roman" w:hAnsi="Times New Roman"/>
        </w:rPr>
        <w:t xml:space="preserve"> of the 10</w:t>
      </w:r>
      <w:r w:rsidR="00F73340" w:rsidRPr="007B263F">
        <w:rPr>
          <w:rFonts w:ascii="Times New Roman" w:hAnsi="Times New Roman"/>
          <w:vertAlign w:val="superscript"/>
        </w:rPr>
        <w:t>th</w:t>
      </w:r>
      <w:r w:rsidR="00F73340" w:rsidRPr="007B263F">
        <w:rPr>
          <w:rFonts w:ascii="Times New Roman" w:hAnsi="Times New Roman"/>
        </w:rPr>
        <w:t xml:space="preserve"> Meeting of the Ozone Research Managers, Geneva, Switzerland 28-30 March 2017.</w:t>
      </w:r>
      <w:r w:rsidR="002878D4">
        <w:rPr>
          <w:rFonts w:ascii="Times New Roman" w:hAnsi="Times New Roman"/>
        </w:rPr>
        <w:t xml:space="preserve"> </w:t>
      </w:r>
      <w:r w:rsidR="002878D4">
        <w:rPr>
          <w:rStyle w:val="apple-converted-space"/>
          <w:rFonts w:ascii="Roboto" w:hAnsi="Roboto"/>
        </w:rPr>
        <w:t> </w:t>
      </w:r>
      <w:hyperlink r:id="rId60" w:history="1">
        <w:r w:rsidR="002878D4">
          <w:rPr>
            <w:rStyle w:val="Hyperlink"/>
            <w:rFonts w:ascii="Roboto" w:hAnsi="Roboto"/>
          </w:rPr>
          <w:t>http://conf.montreal-protocol.org/meeting/orm/10orm/report</w:t>
        </w:r>
        <w:r w:rsidR="002878D4">
          <w:rPr>
            <w:rStyle w:val="apple-converted-space"/>
            <w:rFonts w:ascii="Roboto" w:hAnsi="Roboto"/>
            <w:color w:val="0000FF"/>
            <w:u w:val="single"/>
          </w:rPr>
          <w:t> </w:t>
        </w:r>
      </w:hyperlink>
    </w:p>
    <w:p w14:paraId="35DB71DD" w14:textId="7CF6ACEA" w:rsidR="00F73340" w:rsidRPr="007B263F" w:rsidRDefault="0045350D" w:rsidP="00F73340">
      <w:pPr>
        <w:pStyle w:val="Refs0"/>
        <w:rPr>
          <w:rFonts w:ascii="Times New Roman" w:eastAsia="Minion-Regular" w:hAnsi="Times New Roman"/>
        </w:rPr>
      </w:pPr>
      <w:hyperlink r:id="rId61" w:history="1">
        <w:r w:rsidR="00F73340" w:rsidRPr="007B263F">
          <w:rPr>
            <w:rFonts w:ascii="Times New Roman" w:eastAsia="Minion-Regular" w:hAnsi="Times New Roman"/>
          </w:rPr>
          <w:t>Park, CGyoo</w:t>
        </w:r>
      </w:hyperlink>
      <w:r w:rsidR="00F73340" w:rsidRPr="007B263F">
        <w:rPr>
          <w:rFonts w:ascii="Times New Roman" w:eastAsia="Minion-Regular" w:hAnsi="Times New Roman"/>
        </w:rPr>
        <w:t>, </w:t>
      </w:r>
      <w:hyperlink r:id="rId62" w:history="1">
        <w:r w:rsidR="00F73340" w:rsidRPr="007B263F">
          <w:rPr>
            <w:rFonts w:ascii="Times New Roman" w:eastAsia="Minion-Regular" w:hAnsi="Times New Roman"/>
          </w:rPr>
          <w:t>Son, J-K</w:t>
        </w:r>
      </w:hyperlink>
      <w:r w:rsidR="00F73340" w:rsidRPr="007B263F">
        <w:rPr>
          <w:rFonts w:ascii="Times New Roman" w:eastAsia="Minion-Regular" w:hAnsi="Times New Roman"/>
        </w:rPr>
        <w:t>, </w:t>
      </w:r>
      <w:hyperlink r:id="rId63" w:history="1">
        <w:r w:rsidR="00F73340" w:rsidRPr="007B263F">
          <w:rPr>
            <w:rFonts w:ascii="Times New Roman" w:eastAsia="Minion-Regular" w:hAnsi="Times New Roman"/>
          </w:rPr>
          <w:t>Lee, B-H</w:t>
        </w:r>
      </w:hyperlink>
      <w:r w:rsidR="00F73340" w:rsidRPr="007B263F">
        <w:rPr>
          <w:rFonts w:ascii="Times New Roman" w:eastAsia="Minion-Regular" w:hAnsi="Times New Roman"/>
        </w:rPr>
        <w:t>, </w:t>
      </w:r>
      <w:hyperlink r:id="rId64" w:history="1">
        <w:r w:rsidR="00F73340" w:rsidRPr="007B263F">
          <w:rPr>
            <w:rFonts w:ascii="Times New Roman" w:eastAsia="Minion-Regular" w:hAnsi="Times New Roman"/>
          </w:rPr>
          <w:t>Cho, JHoon</w:t>
        </w:r>
      </w:hyperlink>
      <w:r w:rsidR="00F73340" w:rsidRPr="007B263F">
        <w:rPr>
          <w:rFonts w:ascii="Times New Roman" w:eastAsia="Minion-Regular" w:hAnsi="Times New Roman"/>
        </w:rPr>
        <w:t>, </w:t>
      </w:r>
      <w:r w:rsidR="00F73340">
        <w:rPr>
          <w:rFonts w:ascii="Times New Roman" w:eastAsia="Minion-Regular" w:hAnsi="Times New Roman"/>
        </w:rPr>
        <w:t xml:space="preserve">and </w:t>
      </w:r>
      <w:hyperlink r:id="rId65" w:history="1">
        <w:r w:rsidR="00F73340" w:rsidRPr="007B263F">
          <w:rPr>
            <w:rFonts w:ascii="Times New Roman" w:eastAsia="Minion-Regular" w:hAnsi="Times New Roman"/>
          </w:rPr>
          <w:t>Ren, YL</w:t>
        </w:r>
      </w:hyperlink>
      <w:r w:rsidR="00F73340">
        <w:rPr>
          <w:rFonts w:ascii="Times New Roman" w:eastAsia="Minion-Regular" w:hAnsi="Times New Roman"/>
        </w:rPr>
        <w:t xml:space="preserve"> (2014)</w:t>
      </w:r>
      <w:r w:rsidR="00F73340" w:rsidRPr="007B263F">
        <w:rPr>
          <w:rFonts w:ascii="Times New Roman" w:eastAsia="Minion-Regular" w:hAnsi="Times New Roman"/>
        </w:rPr>
        <w:t xml:space="preserve"> Comparison of </w:t>
      </w:r>
      <w:r w:rsidR="00F73340">
        <w:rPr>
          <w:rFonts w:ascii="Times New Roman" w:eastAsia="Minion-Regular" w:hAnsi="Times New Roman"/>
        </w:rPr>
        <w:t>e</w:t>
      </w:r>
      <w:r w:rsidR="00F73340" w:rsidRPr="007B263F">
        <w:rPr>
          <w:rFonts w:ascii="Times New Roman" w:eastAsia="Minion-Regular" w:hAnsi="Times New Roman"/>
        </w:rPr>
        <w:t xml:space="preserve">thanedinitrile (C2N2) and </w:t>
      </w:r>
      <w:r w:rsidR="00F73340">
        <w:rPr>
          <w:rFonts w:ascii="Times New Roman" w:eastAsia="Minion-Regular" w:hAnsi="Times New Roman"/>
        </w:rPr>
        <w:t>m</w:t>
      </w:r>
      <w:r w:rsidR="00F73340" w:rsidRPr="007B263F">
        <w:rPr>
          <w:rFonts w:ascii="Times New Roman" w:eastAsia="Minion-Regular" w:hAnsi="Times New Roman"/>
        </w:rPr>
        <w:t xml:space="preserve">etam </w:t>
      </w:r>
      <w:r w:rsidR="00F73340">
        <w:rPr>
          <w:rFonts w:ascii="Times New Roman" w:eastAsia="Minion-Regular" w:hAnsi="Times New Roman"/>
        </w:rPr>
        <w:t>s</w:t>
      </w:r>
      <w:r w:rsidR="00F73340" w:rsidRPr="007B263F">
        <w:rPr>
          <w:rFonts w:ascii="Times New Roman" w:eastAsia="Minion-Regular" w:hAnsi="Times New Roman"/>
        </w:rPr>
        <w:t xml:space="preserve">odium for </w:t>
      </w:r>
      <w:r w:rsidR="00F73340">
        <w:rPr>
          <w:rFonts w:ascii="Times New Roman" w:eastAsia="Minion-Regular" w:hAnsi="Times New Roman"/>
        </w:rPr>
        <w:t>c</w:t>
      </w:r>
      <w:r w:rsidR="00F73340" w:rsidRPr="007B263F">
        <w:rPr>
          <w:rFonts w:ascii="Times New Roman" w:eastAsia="Minion-Regular" w:hAnsi="Times New Roman"/>
        </w:rPr>
        <w:t xml:space="preserve">ontrol of </w:t>
      </w:r>
      <w:r w:rsidR="00F73340" w:rsidRPr="001B1725">
        <w:rPr>
          <w:rFonts w:ascii="Times New Roman" w:eastAsia="Minion-Regular" w:hAnsi="Times New Roman"/>
          <w:i/>
        </w:rPr>
        <w:t>Bursaphelenchus xylophilus</w:t>
      </w:r>
      <w:r w:rsidR="00F73340" w:rsidRPr="007B263F">
        <w:rPr>
          <w:rFonts w:ascii="Times New Roman" w:eastAsia="Minion-Regular" w:hAnsi="Times New Roman"/>
        </w:rPr>
        <w:t xml:space="preserve"> (Nematoda: Aphelenchidae) and </w:t>
      </w:r>
      <w:r w:rsidR="00F73340" w:rsidRPr="001B1725">
        <w:rPr>
          <w:rFonts w:ascii="Times New Roman" w:eastAsia="Minion-Regular" w:hAnsi="Times New Roman"/>
          <w:i/>
        </w:rPr>
        <w:t>Monochamus alternatus</w:t>
      </w:r>
      <w:r w:rsidR="00F73340" w:rsidRPr="007B263F">
        <w:rPr>
          <w:rFonts w:ascii="Times New Roman" w:eastAsia="Minion-Regular" w:hAnsi="Times New Roman"/>
        </w:rPr>
        <w:t xml:space="preserve"> (Coleoptera: Cerambycidae) in </w:t>
      </w:r>
      <w:r w:rsidR="00F73340">
        <w:rPr>
          <w:rFonts w:ascii="Times New Roman" w:eastAsia="Minion-Regular" w:hAnsi="Times New Roman"/>
        </w:rPr>
        <w:t>n</w:t>
      </w:r>
      <w:r w:rsidR="00F73340" w:rsidRPr="007B263F">
        <w:rPr>
          <w:rFonts w:ascii="Times New Roman" w:eastAsia="Minion-Regular" w:hAnsi="Times New Roman"/>
        </w:rPr>
        <w:t xml:space="preserve">aturally </w:t>
      </w:r>
      <w:r w:rsidR="00F73340">
        <w:rPr>
          <w:rFonts w:ascii="Times New Roman" w:eastAsia="Minion-Regular" w:hAnsi="Times New Roman"/>
        </w:rPr>
        <w:t>i</w:t>
      </w:r>
      <w:r w:rsidR="00F73340" w:rsidRPr="007B263F">
        <w:rPr>
          <w:rFonts w:ascii="Times New Roman" w:eastAsia="Minion-Regular" w:hAnsi="Times New Roman"/>
        </w:rPr>
        <w:t xml:space="preserve">nfested </w:t>
      </w:r>
      <w:r w:rsidR="00F73340">
        <w:rPr>
          <w:rFonts w:ascii="Times New Roman" w:eastAsia="Minion-Regular" w:hAnsi="Times New Roman"/>
        </w:rPr>
        <w:t>l</w:t>
      </w:r>
      <w:r w:rsidR="00F73340" w:rsidRPr="007B263F">
        <w:rPr>
          <w:rFonts w:ascii="Times New Roman" w:eastAsia="Minion-Regular" w:hAnsi="Times New Roman"/>
        </w:rPr>
        <w:t xml:space="preserve">ogs at </w:t>
      </w:r>
      <w:r w:rsidR="00F73340">
        <w:rPr>
          <w:rFonts w:ascii="Times New Roman" w:eastAsia="Minion-Regular" w:hAnsi="Times New Roman"/>
        </w:rPr>
        <w:t>l</w:t>
      </w:r>
      <w:r w:rsidR="00F73340" w:rsidRPr="007B263F">
        <w:rPr>
          <w:rFonts w:ascii="Times New Roman" w:eastAsia="Minion-Regular" w:hAnsi="Times New Roman"/>
        </w:rPr>
        <w:t xml:space="preserve">ow </w:t>
      </w:r>
      <w:r w:rsidR="00F73340">
        <w:rPr>
          <w:rFonts w:ascii="Times New Roman" w:eastAsia="Minion-Regular" w:hAnsi="Times New Roman"/>
        </w:rPr>
        <w:t>t</w:t>
      </w:r>
      <w:r w:rsidR="00F73340" w:rsidRPr="007B263F">
        <w:rPr>
          <w:rFonts w:ascii="Times New Roman" w:eastAsia="Minion-Regular" w:hAnsi="Times New Roman"/>
        </w:rPr>
        <w:t>emperatures</w:t>
      </w:r>
      <w:r w:rsidR="00F73340">
        <w:rPr>
          <w:rFonts w:ascii="Times New Roman" w:eastAsia="Minion-Regular" w:hAnsi="Times New Roman"/>
        </w:rPr>
        <w:t>.</w:t>
      </w:r>
      <w:r w:rsidR="00F73340" w:rsidRPr="007B263F">
        <w:rPr>
          <w:rFonts w:ascii="Times New Roman" w:eastAsia="Minion-Regular" w:hAnsi="Times New Roman"/>
        </w:rPr>
        <w:t xml:space="preserve"> </w:t>
      </w:r>
      <w:r w:rsidR="00F73340" w:rsidRPr="001B1725">
        <w:rPr>
          <w:rFonts w:ascii="Times New Roman" w:eastAsia="Minion-Regular" w:hAnsi="Times New Roman"/>
          <w:i/>
        </w:rPr>
        <w:t>Journal of Economic Entomology</w:t>
      </w:r>
      <w:r w:rsidR="00705C9D">
        <w:rPr>
          <w:rFonts w:ascii="Times New Roman" w:eastAsia="Minion-Regular" w:hAnsi="Times New Roman"/>
        </w:rPr>
        <w:t xml:space="preserve"> 107/6, 20155</w:t>
      </w:r>
    </w:p>
    <w:p w14:paraId="3EABF551" w14:textId="106E7A69" w:rsidR="00F73340" w:rsidRPr="007B263F" w:rsidRDefault="00F73340" w:rsidP="00F73340">
      <w:pPr>
        <w:pStyle w:val="Refs0"/>
        <w:rPr>
          <w:rFonts w:ascii="Times New Roman" w:hAnsi="Times New Roman"/>
          <w:bCs/>
          <w:lang w:val="en-US"/>
        </w:rPr>
      </w:pPr>
      <w:r w:rsidRPr="007B263F">
        <w:rPr>
          <w:rFonts w:ascii="Times New Roman" w:hAnsi="Times New Roman"/>
          <w:bCs/>
          <w:lang w:val="en-US"/>
        </w:rPr>
        <w:t xml:space="preserve">Pérez-Rodríguez, I., Franco-Navarro, F., </w:t>
      </w:r>
      <w:r>
        <w:rPr>
          <w:rFonts w:ascii="Times New Roman" w:hAnsi="Times New Roman"/>
          <w:bCs/>
          <w:lang w:val="en-US"/>
        </w:rPr>
        <w:t>D</w:t>
      </w:r>
      <w:r w:rsidRPr="007B263F">
        <w:rPr>
          <w:rFonts w:ascii="Times New Roman" w:hAnsi="Times New Roman"/>
          <w:bCs/>
          <w:lang w:val="en-US"/>
        </w:rPr>
        <w:t>el Prado-Vera, I.</w:t>
      </w:r>
      <w:r>
        <w:rPr>
          <w:rFonts w:ascii="Times New Roman" w:hAnsi="Times New Roman"/>
          <w:bCs/>
          <w:lang w:val="en-US"/>
        </w:rPr>
        <w:t>C., and</w:t>
      </w:r>
      <w:r w:rsidRPr="007B263F">
        <w:rPr>
          <w:rFonts w:ascii="Times New Roman" w:hAnsi="Times New Roman"/>
          <w:bCs/>
          <w:lang w:val="en-US"/>
        </w:rPr>
        <w:t xml:space="preserve"> Zavaleta-Mejía</w:t>
      </w:r>
      <w:r>
        <w:rPr>
          <w:rFonts w:ascii="Times New Roman" w:hAnsi="Times New Roman"/>
          <w:bCs/>
          <w:lang w:val="en-US"/>
        </w:rPr>
        <w:t>, E.</w:t>
      </w:r>
      <w:r w:rsidR="002F2119">
        <w:rPr>
          <w:rFonts w:ascii="Times New Roman" w:hAnsi="Times New Roman"/>
          <w:bCs/>
          <w:lang w:val="en-US"/>
        </w:rPr>
        <w:t xml:space="preserve"> (2010)</w:t>
      </w:r>
      <w:r w:rsidRPr="007B263F">
        <w:rPr>
          <w:rFonts w:ascii="Times New Roman" w:hAnsi="Times New Roman"/>
          <w:bCs/>
          <w:lang w:val="en-US"/>
        </w:rPr>
        <w:t xml:space="preserve"> Control of </w:t>
      </w:r>
      <w:r w:rsidRPr="007B263F">
        <w:rPr>
          <w:rFonts w:ascii="Times New Roman" w:hAnsi="Times New Roman"/>
          <w:bCs/>
          <w:i/>
          <w:lang w:val="en-US"/>
        </w:rPr>
        <w:t>Nacobbus aberrans</w:t>
      </w:r>
      <w:r w:rsidRPr="007B263F">
        <w:rPr>
          <w:rFonts w:ascii="Times New Roman" w:hAnsi="Times New Roman"/>
          <w:bCs/>
          <w:lang w:val="en-US"/>
        </w:rPr>
        <w:t xml:space="preserve"> in chili pepper (</w:t>
      </w:r>
      <w:r w:rsidRPr="007B263F">
        <w:rPr>
          <w:rFonts w:ascii="Times New Roman" w:hAnsi="Times New Roman"/>
          <w:bCs/>
          <w:i/>
          <w:lang w:val="en-US"/>
        </w:rPr>
        <w:t>Capsicum annuum</w:t>
      </w:r>
      <w:r w:rsidRPr="007B263F">
        <w:rPr>
          <w:rFonts w:ascii="Times New Roman" w:hAnsi="Times New Roman"/>
          <w:bCs/>
          <w:lang w:val="en-US"/>
        </w:rPr>
        <w:t xml:space="preserve"> L.) by the combination of organic amendments, nematophagous fungi </w:t>
      </w:r>
      <w:r w:rsidR="002F2119">
        <w:rPr>
          <w:rFonts w:ascii="Times New Roman" w:hAnsi="Times New Roman"/>
          <w:bCs/>
          <w:lang w:val="en-US"/>
        </w:rPr>
        <w:t>and nematicides</w:t>
      </w:r>
      <w:r w:rsidRPr="007B263F">
        <w:rPr>
          <w:rFonts w:ascii="Times New Roman" w:hAnsi="Times New Roman"/>
          <w:bCs/>
          <w:lang w:val="en-US"/>
        </w:rPr>
        <w:t xml:space="preserve"> </w:t>
      </w:r>
      <w:r w:rsidRPr="007B263F">
        <w:rPr>
          <w:rFonts w:ascii="Times New Roman" w:hAnsi="Times New Roman"/>
          <w:bCs/>
          <w:i/>
          <w:lang w:val="en-US"/>
        </w:rPr>
        <w:t>Nematropica</w:t>
      </w:r>
      <w:r w:rsidRPr="007B263F">
        <w:rPr>
          <w:rFonts w:ascii="Times New Roman" w:hAnsi="Times New Roman"/>
          <w:bCs/>
          <w:lang w:val="en-US"/>
        </w:rPr>
        <w:t xml:space="preserve"> 41</w:t>
      </w:r>
      <w:r>
        <w:rPr>
          <w:rFonts w:ascii="Times New Roman" w:hAnsi="Times New Roman"/>
          <w:bCs/>
          <w:lang w:val="en-US"/>
        </w:rPr>
        <w:t>:</w:t>
      </w:r>
      <w:r w:rsidRPr="007B263F">
        <w:rPr>
          <w:rFonts w:ascii="Times New Roman" w:hAnsi="Times New Roman"/>
          <w:bCs/>
          <w:lang w:val="en-US"/>
        </w:rPr>
        <w:t xml:space="preserve"> 122-129</w:t>
      </w:r>
    </w:p>
    <w:p w14:paraId="65EEE995" w14:textId="7B9F2184" w:rsidR="00F73340" w:rsidRPr="007B263F" w:rsidRDefault="00F73340" w:rsidP="00F73340">
      <w:pPr>
        <w:pStyle w:val="Refs0"/>
        <w:rPr>
          <w:rFonts w:ascii="Times New Roman" w:hAnsi="Times New Roman"/>
        </w:rPr>
      </w:pPr>
      <w:r w:rsidRPr="007B263F">
        <w:rPr>
          <w:rFonts w:ascii="Times New Roman" w:hAnsi="Times New Roman"/>
        </w:rPr>
        <w:t xml:space="preserve">Phomphai, A., </w:t>
      </w:r>
      <w:r w:rsidRPr="007B263F">
        <w:rPr>
          <w:rStyle w:val="cmpparsedlocation"/>
          <w:rFonts w:ascii="Times New Roman" w:hAnsi="Times New Roman"/>
        </w:rPr>
        <w:t>Wanna</w:t>
      </w:r>
      <w:r w:rsidRPr="007B263F">
        <w:rPr>
          <w:rFonts w:ascii="Times New Roman" w:hAnsi="Times New Roman"/>
        </w:rPr>
        <w:t xml:space="preserve">, R., Wiset, L., Laohavanich, J., Ronsse, F., </w:t>
      </w:r>
      <w:r>
        <w:rPr>
          <w:rFonts w:ascii="Times New Roman" w:hAnsi="Times New Roman"/>
        </w:rPr>
        <w:t xml:space="preserve">and </w:t>
      </w:r>
      <w:r w:rsidR="00705C9D">
        <w:rPr>
          <w:rFonts w:ascii="Times New Roman" w:hAnsi="Times New Roman"/>
        </w:rPr>
        <w:t>Pieters, J. G. (2017)</w:t>
      </w:r>
      <w:r w:rsidRPr="007B263F">
        <w:rPr>
          <w:rFonts w:ascii="Times New Roman" w:hAnsi="Times New Roman"/>
        </w:rPr>
        <w:t xml:space="preserve"> Infrared heating as a disinfestation method against </w:t>
      </w:r>
      <w:r w:rsidRPr="007B263F">
        <w:rPr>
          <w:rFonts w:ascii="Times New Roman" w:hAnsi="Times New Roman"/>
          <w:i/>
        </w:rPr>
        <w:t xml:space="preserve">Sitophilus oryzae </w:t>
      </w:r>
      <w:r w:rsidRPr="007B263F">
        <w:rPr>
          <w:rFonts w:ascii="Times New Roman" w:hAnsi="Times New Roman"/>
        </w:rPr>
        <w:t xml:space="preserve">and its effect on textural and cooking properties of milled rice. </w:t>
      </w:r>
      <w:r w:rsidRPr="001B1725">
        <w:rPr>
          <w:rFonts w:ascii="Times New Roman" w:hAnsi="Times New Roman"/>
          <w:i/>
        </w:rPr>
        <w:t>Food and Bioprocess Technology</w:t>
      </w:r>
      <w:r w:rsidRPr="007B263F">
        <w:rPr>
          <w:rFonts w:ascii="Times New Roman" w:hAnsi="Times New Roman"/>
        </w:rPr>
        <w:t xml:space="preserve"> </w:t>
      </w:r>
      <w:r w:rsidRPr="001B1725">
        <w:rPr>
          <w:rFonts w:ascii="Times New Roman" w:hAnsi="Times New Roman"/>
        </w:rPr>
        <w:t>10</w:t>
      </w:r>
      <w:r>
        <w:rPr>
          <w:rFonts w:ascii="Times New Roman" w:hAnsi="Times New Roman"/>
        </w:rPr>
        <w:t>:</w:t>
      </w:r>
      <w:r w:rsidRPr="007B263F">
        <w:rPr>
          <w:rFonts w:ascii="Times New Roman" w:hAnsi="Times New Roman"/>
        </w:rPr>
        <w:t xml:space="preserve"> 284-295. </w:t>
      </w:r>
    </w:p>
    <w:p w14:paraId="1983EC12" w14:textId="77777777" w:rsidR="00F73340" w:rsidRPr="007B263F" w:rsidRDefault="00F73340" w:rsidP="00F73340">
      <w:pPr>
        <w:pStyle w:val="Refs0"/>
        <w:rPr>
          <w:rFonts w:ascii="Times New Roman" w:eastAsia="Minion-Regular" w:hAnsi="Times New Roman"/>
        </w:rPr>
      </w:pPr>
      <w:r w:rsidRPr="007B263F">
        <w:rPr>
          <w:rFonts w:ascii="Times New Roman" w:eastAsia="Minion-Regular" w:hAnsi="Times New Roman"/>
        </w:rPr>
        <w:t xml:space="preserve">Pranamornkith T, Hall M.K.D, Adlam A.R., Somerfield K.G., Page B.B.C., Hall A.J., </w:t>
      </w:r>
      <w:r>
        <w:rPr>
          <w:rFonts w:ascii="Times New Roman" w:eastAsia="Minion-Regular" w:hAnsi="Times New Roman"/>
        </w:rPr>
        <w:t xml:space="preserve">and </w:t>
      </w:r>
      <w:r w:rsidRPr="007B263F">
        <w:rPr>
          <w:rFonts w:ascii="Times New Roman" w:eastAsia="Minion-Regular" w:hAnsi="Times New Roman"/>
        </w:rPr>
        <w:t>Brash D.W.</w:t>
      </w:r>
      <w:r>
        <w:rPr>
          <w:rFonts w:ascii="Times New Roman" w:eastAsia="Minion-Regular" w:hAnsi="Times New Roman"/>
        </w:rPr>
        <w:t xml:space="preserve"> (2014)</w:t>
      </w:r>
      <w:r w:rsidRPr="007B263F">
        <w:rPr>
          <w:rFonts w:ascii="Times New Roman" w:eastAsia="Minion-Regular" w:hAnsi="Times New Roman"/>
        </w:rPr>
        <w:t xml:space="preserve"> Effect of fumigant dose, timber moisture content, end-grain sealing, and chamber load factor on sorption by sawn timber fumigated with ethanedinitrile. New Zealand Plant Protection 67: 66-74 </w:t>
      </w:r>
    </w:p>
    <w:p w14:paraId="75043A70" w14:textId="4668D98D" w:rsidR="00F73340" w:rsidRPr="007B263F" w:rsidRDefault="00F73340" w:rsidP="00F73340">
      <w:pPr>
        <w:pStyle w:val="Refs0"/>
        <w:rPr>
          <w:rFonts w:ascii="Times New Roman" w:hAnsi="Times New Roman"/>
          <w:lang w:val="fr-FR"/>
        </w:rPr>
      </w:pPr>
      <w:r w:rsidRPr="007B263F">
        <w:rPr>
          <w:rFonts w:ascii="Times New Roman" w:hAnsi="Times New Roman"/>
        </w:rPr>
        <w:lastRenderedPageBreak/>
        <w:t xml:space="preserve">Sher, S.A., </w:t>
      </w:r>
      <w:r>
        <w:rPr>
          <w:rFonts w:ascii="Times New Roman" w:hAnsi="Times New Roman"/>
        </w:rPr>
        <w:t>(</w:t>
      </w:r>
      <w:r w:rsidRPr="007B263F">
        <w:rPr>
          <w:rFonts w:ascii="Times New Roman" w:hAnsi="Times New Roman"/>
        </w:rPr>
        <w:t>1970</w:t>
      </w:r>
      <w:r>
        <w:rPr>
          <w:rFonts w:ascii="Times New Roman" w:hAnsi="Times New Roman"/>
        </w:rPr>
        <w:t>)</w:t>
      </w:r>
      <w:r w:rsidR="00935013">
        <w:rPr>
          <w:rFonts w:ascii="Times New Roman" w:hAnsi="Times New Roman"/>
        </w:rPr>
        <w:t>.</w:t>
      </w:r>
      <w:r w:rsidRPr="007B263F">
        <w:rPr>
          <w:rFonts w:ascii="Times New Roman" w:hAnsi="Times New Roman"/>
        </w:rPr>
        <w:t xml:space="preserve">Revision of the genus </w:t>
      </w:r>
      <w:r w:rsidRPr="007B263F">
        <w:rPr>
          <w:rFonts w:ascii="Times New Roman" w:hAnsi="Times New Roman"/>
          <w:i/>
        </w:rPr>
        <w:t xml:space="preserve">Nacobbus </w:t>
      </w:r>
      <w:r w:rsidRPr="007B263F">
        <w:rPr>
          <w:rFonts w:ascii="Times New Roman" w:hAnsi="Times New Roman"/>
        </w:rPr>
        <w:t>Thorne &amp; All</w:t>
      </w:r>
      <w:r w:rsidR="00705C9D">
        <w:rPr>
          <w:rFonts w:ascii="Times New Roman" w:hAnsi="Times New Roman"/>
        </w:rPr>
        <w:t>en, 1944 (Nematoda: Tylenchida)</w:t>
      </w:r>
      <w:r w:rsidRPr="007B263F">
        <w:rPr>
          <w:rFonts w:ascii="Times New Roman" w:hAnsi="Times New Roman"/>
        </w:rPr>
        <w:t xml:space="preserve"> </w:t>
      </w:r>
      <w:r w:rsidRPr="001B1725">
        <w:rPr>
          <w:rFonts w:ascii="Times New Roman" w:hAnsi="Times New Roman"/>
          <w:i/>
          <w:lang w:val="fr-FR"/>
        </w:rPr>
        <w:t>Journal of Nematology</w:t>
      </w:r>
      <w:r w:rsidRPr="007B263F">
        <w:rPr>
          <w:rFonts w:ascii="Times New Roman" w:hAnsi="Times New Roman"/>
          <w:lang w:val="fr-FR"/>
        </w:rPr>
        <w:t xml:space="preserve"> </w:t>
      </w:r>
      <w:proofErr w:type="gramStart"/>
      <w:r w:rsidRPr="007B263F">
        <w:rPr>
          <w:rFonts w:ascii="Times New Roman" w:hAnsi="Times New Roman"/>
          <w:lang w:val="fr-FR"/>
        </w:rPr>
        <w:t>2</w:t>
      </w:r>
      <w:r>
        <w:rPr>
          <w:rFonts w:ascii="Times New Roman" w:hAnsi="Times New Roman"/>
          <w:lang w:val="fr-FR"/>
        </w:rPr>
        <w:t> :</w:t>
      </w:r>
      <w:proofErr w:type="gramEnd"/>
      <w:r w:rsidRPr="007B263F">
        <w:rPr>
          <w:rFonts w:ascii="Times New Roman" w:hAnsi="Times New Roman"/>
          <w:lang w:val="fr-FR"/>
        </w:rPr>
        <w:t xml:space="preserve"> 228-235.</w:t>
      </w:r>
    </w:p>
    <w:p w14:paraId="3E42DAF7" w14:textId="198423BD" w:rsidR="00F73340" w:rsidRPr="007B263F" w:rsidRDefault="00F73340" w:rsidP="00F73340">
      <w:pPr>
        <w:pStyle w:val="Refs0"/>
        <w:rPr>
          <w:rFonts w:ascii="Times New Roman" w:hAnsi="Times New Roman"/>
          <w:b/>
          <w:lang w:val="fr-FR"/>
        </w:rPr>
      </w:pPr>
      <w:r w:rsidRPr="007B263F">
        <w:rPr>
          <w:rFonts w:ascii="Times New Roman" w:hAnsi="Times New Roman"/>
          <w:lang w:val="fr-FR"/>
        </w:rPr>
        <w:t>Sisler De, G</w:t>
      </w:r>
      <w:r w:rsidR="00935013">
        <w:rPr>
          <w:rFonts w:ascii="Times New Roman" w:hAnsi="Times New Roman"/>
          <w:lang w:val="fr-FR"/>
        </w:rPr>
        <w:t>.M., Pelicano de Casaurang, A.</w:t>
      </w:r>
      <w:r w:rsidRPr="007B263F">
        <w:rPr>
          <w:rFonts w:ascii="Times New Roman" w:hAnsi="Times New Roman"/>
          <w:lang w:val="fr-FR"/>
        </w:rPr>
        <w:t xml:space="preserve"> (1983).  Reacción de cultivares de tomate y pimiento a </w:t>
      </w:r>
      <w:r w:rsidRPr="007B263F">
        <w:rPr>
          <w:rFonts w:ascii="Times New Roman" w:hAnsi="Times New Roman"/>
          <w:i/>
          <w:lang w:val="fr-FR"/>
        </w:rPr>
        <w:t>Nacobbus aberrans</w:t>
      </w:r>
      <w:r w:rsidRPr="007B263F">
        <w:rPr>
          <w:rFonts w:ascii="Times New Roman" w:hAnsi="Times New Roman"/>
          <w:lang w:val="fr-FR"/>
        </w:rPr>
        <w:t xml:space="preserve"> (Nematoda, Nacobbidae) </w:t>
      </w:r>
      <w:r w:rsidRPr="00705C9D">
        <w:rPr>
          <w:rStyle w:val="Emphasis"/>
          <w:rFonts w:ascii="Times New Roman" w:hAnsi="Times New Roman"/>
          <w:b w:val="0"/>
          <w:lang w:val="fr-FR"/>
        </w:rPr>
        <w:t>Revista de la Facultad de Agronomia, Buenos Aires, Argentina</w:t>
      </w:r>
      <w:r w:rsidRPr="007B263F">
        <w:rPr>
          <w:rFonts w:ascii="Times New Roman" w:hAnsi="Times New Roman"/>
          <w:b/>
          <w:lang w:val="fr-FR"/>
        </w:rPr>
        <w:t> </w:t>
      </w:r>
      <w:r w:rsidRPr="007B263F">
        <w:rPr>
          <w:rFonts w:ascii="Times New Roman" w:hAnsi="Times New Roman"/>
          <w:lang w:val="fr-FR"/>
        </w:rPr>
        <w:t>4</w:t>
      </w:r>
      <w:r>
        <w:rPr>
          <w:rFonts w:ascii="Times New Roman" w:hAnsi="Times New Roman"/>
          <w:lang w:val="fr-FR"/>
        </w:rPr>
        <w:t> :</w:t>
      </w:r>
      <w:r w:rsidRPr="007B263F">
        <w:rPr>
          <w:rFonts w:ascii="Times New Roman" w:hAnsi="Times New Roman"/>
          <w:lang w:val="fr-FR"/>
        </w:rPr>
        <w:t>79-82.</w:t>
      </w:r>
    </w:p>
    <w:p w14:paraId="25D70E5F" w14:textId="13C67E29" w:rsidR="00F73340" w:rsidRPr="007B263F" w:rsidRDefault="00F73340" w:rsidP="00F73340">
      <w:pPr>
        <w:pStyle w:val="Refs0"/>
        <w:rPr>
          <w:rFonts w:ascii="Times New Roman" w:hAnsi="Times New Roman"/>
        </w:rPr>
      </w:pPr>
      <w:r w:rsidRPr="007B263F">
        <w:rPr>
          <w:rFonts w:ascii="Times New Roman" w:hAnsi="Times New Roman"/>
        </w:rPr>
        <w:t xml:space="preserve">Stejskal, V., Douda, O., Zouhar, M., Manasova, M., Dlouhy, M., </w:t>
      </w:r>
      <w:r w:rsidR="00705C9D">
        <w:rPr>
          <w:rFonts w:ascii="Times New Roman" w:hAnsi="Times New Roman"/>
        </w:rPr>
        <w:t>Simbera, J., Aulicky, R. (2014)</w:t>
      </w:r>
      <w:r w:rsidRPr="007B263F">
        <w:rPr>
          <w:rFonts w:ascii="Times New Roman" w:hAnsi="Times New Roman"/>
        </w:rPr>
        <w:t xml:space="preserve"> Wood penetration ability of hydrogen cyanide and its efficacy for fumigation of </w:t>
      </w:r>
      <w:r w:rsidRPr="007B263F">
        <w:rPr>
          <w:rFonts w:ascii="Times New Roman" w:hAnsi="Times New Roman"/>
          <w:i/>
        </w:rPr>
        <w:t>Anoplophora</w:t>
      </w:r>
      <w:r w:rsidRPr="007B263F">
        <w:rPr>
          <w:rFonts w:ascii="Times New Roman" w:hAnsi="Times New Roman"/>
        </w:rPr>
        <w:t xml:space="preserve"> </w:t>
      </w:r>
      <w:r w:rsidRPr="007B263F">
        <w:rPr>
          <w:rFonts w:ascii="Times New Roman" w:hAnsi="Times New Roman"/>
          <w:i/>
        </w:rPr>
        <w:t>glabripennis</w:t>
      </w:r>
      <w:r w:rsidRPr="007B263F">
        <w:rPr>
          <w:rFonts w:ascii="Times New Roman" w:hAnsi="Times New Roman"/>
        </w:rPr>
        <w:t xml:space="preserve">, </w:t>
      </w:r>
      <w:r w:rsidRPr="007B263F">
        <w:rPr>
          <w:rFonts w:ascii="Times New Roman" w:hAnsi="Times New Roman"/>
          <w:i/>
        </w:rPr>
        <w:t>Hylotrupes bajulus</w:t>
      </w:r>
      <w:r w:rsidRPr="007B263F">
        <w:rPr>
          <w:rFonts w:ascii="Times New Roman" w:hAnsi="Times New Roman"/>
        </w:rPr>
        <w:t xml:space="preserve"> (Coleoptera), and </w:t>
      </w:r>
      <w:r w:rsidRPr="007B263F">
        <w:rPr>
          <w:rFonts w:ascii="Times New Roman" w:hAnsi="Times New Roman"/>
          <w:i/>
        </w:rPr>
        <w:t>Bursaphelenchus xylophilus</w:t>
      </w:r>
      <w:r w:rsidRPr="007B263F">
        <w:rPr>
          <w:rFonts w:ascii="Times New Roman" w:hAnsi="Times New Roman"/>
        </w:rPr>
        <w:t xml:space="preserve"> (Nematoda). International Biodeterioration &amp; Biodegradation 86</w:t>
      </w:r>
      <w:r>
        <w:rPr>
          <w:rFonts w:ascii="Times New Roman" w:hAnsi="Times New Roman"/>
        </w:rPr>
        <w:t>:</w:t>
      </w:r>
      <w:r w:rsidRPr="007B263F">
        <w:rPr>
          <w:rFonts w:ascii="Times New Roman" w:hAnsi="Times New Roman"/>
        </w:rPr>
        <w:t xml:space="preserve"> 189-195.</w:t>
      </w:r>
    </w:p>
    <w:p w14:paraId="464F27C8" w14:textId="522465B3" w:rsidR="00F73340" w:rsidRPr="007B263F" w:rsidRDefault="00F73340" w:rsidP="00F73340">
      <w:pPr>
        <w:pStyle w:val="Refs0"/>
        <w:rPr>
          <w:rFonts w:ascii="Times New Roman" w:hAnsi="Times New Roman"/>
        </w:rPr>
      </w:pPr>
      <w:r w:rsidRPr="007B263F">
        <w:rPr>
          <w:rFonts w:ascii="Times New Roman" w:eastAsiaTheme="minorHAnsi" w:hAnsi="Times New Roman"/>
          <w:lang w:val="en-US" w:eastAsia="en-US"/>
        </w:rPr>
        <w:t>Stejskal V, Dlouhý M, Malkova J, Hampl J, Aulicky R (2016) Flour-mill fumigation using hydrogen cyanide insecticide gas. Pp. 173–177. In: Navarro S, Jayas DS, Alagusundaram K, (Eds.) Proceedings of the 10th International Conference on Controlled Atmosphere and Fumigation in Stored Products (CAF2016), CAF Permanent Committee</w:t>
      </w:r>
      <w:r w:rsidR="00705C9D">
        <w:rPr>
          <w:rFonts w:ascii="Times New Roman" w:eastAsiaTheme="minorHAnsi" w:hAnsi="Times New Roman"/>
          <w:lang w:val="en-US" w:eastAsia="en-US"/>
        </w:rPr>
        <w:t xml:space="preserve"> Secretariat, Winnipeg, Canada</w:t>
      </w:r>
    </w:p>
    <w:p w14:paraId="65B5F241" w14:textId="77777777" w:rsidR="00F73340" w:rsidRPr="007B263F" w:rsidRDefault="00F73340" w:rsidP="00F73340">
      <w:pPr>
        <w:pStyle w:val="Refs0"/>
        <w:rPr>
          <w:rFonts w:ascii="Times New Roman" w:hAnsi="Times New Roman"/>
        </w:rPr>
      </w:pPr>
      <w:r w:rsidRPr="007B263F">
        <w:rPr>
          <w:rFonts w:ascii="Times New Roman" w:hAnsi="Times New Roman"/>
        </w:rPr>
        <w:t>Tang J. (Ed). (2007). Heat treatments for postharvest pest control: Theory and practice. CAB Books, CABI International Series, 349 pp</w:t>
      </w:r>
    </w:p>
    <w:p w14:paraId="101B9636" w14:textId="58C22396" w:rsidR="00F73340" w:rsidRPr="007B263F" w:rsidRDefault="00705C9D" w:rsidP="00F73340">
      <w:pPr>
        <w:pStyle w:val="Refs0"/>
        <w:rPr>
          <w:rFonts w:ascii="Times New Roman" w:hAnsi="Times New Roman"/>
          <w:lang w:val="en-US" w:eastAsia="en-US"/>
        </w:rPr>
      </w:pPr>
      <w:r>
        <w:rPr>
          <w:rFonts w:ascii="Times New Roman" w:hAnsi="Times New Roman"/>
          <w:lang w:val="en-US" w:eastAsia="en-US"/>
        </w:rPr>
        <w:t>TEAP (2009)</w:t>
      </w:r>
      <w:r w:rsidR="00F73340" w:rsidRPr="007B263F">
        <w:rPr>
          <w:rFonts w:ascii="Times New Roman" w:hAnsi="Times New Roman"/>
          <w:lang w:val="en-US" w:eastAsia="en-US"/>
        </w:rPr>
        <w:t xml:space="preserve"> Technology and Economic Assessment Panel, October 2009. Quarantine and Pre-shipment Task Force Final Report. O</w:t>
      </w:r>
      <w:r>
        <w:rPr>
          <w:rFonts w:ascii="Times New Roman" w:hAnsi="Times New Roman"/>
          <w:lang w:val="en-US" w:eastAsia="en-US"/>
        </w:rPr>
        <w:t>zone Secretaria, Nairobi, Kenya</w:t>
      </w:r>
      <w:r w:rsidR="00F73340" w:rsidRPr="007B263F">
        <w:rPr>
          <w:rFonts w:ascii="Times New Roman" w:hAnsi="Times New Roman"/>
          <w:lang w:val="en-US" w:eastAsia="en-US"/>
        </w:rPr>
        <w:t xml:space="preserve"> </w:t>
      </w:r>
      <w:hyperlink r:id="rId66" w:history="1">
        <w:r w:rsidR="00F73340" w:rsidRPr="007B263F">
          <w:rPr>
            <w:rStyle w:val="Hyperlink"/>
            <w:rFonts w:ascii="Times New Roman" w:hAnsi="Times New Roman"/>
            <w:lang w:val="en-US" w:eastAsia="en-US"/>
          </w:rPr>
          <w:t>http://ozone.unep.org/en/Assessment_Panels/TEAP/Reports/TEAP_Reports/teap-qpstf-october2009.pdf</w:t>
        </w:r>
      </w:hyperlink>
      <w:r w:rsidR="00F73340" w:rsidRPr="007B263F">
        <w:rPr>
          <w:rFonts w:ascii="Times New Roman" w:hAnsi="Times New Roman"/>
          <w:lang w:val="en-US" w:eastAsia="en-US"/>
        </w:rPr>
        <w:t xml:space="preserve"> </w:t>
      </w:r>
    </w:p>
    <w:p w14:paraId="0D5E4CFE" w14:textId="574C864F" w:rsidR="00F73340" w:rsidRPr="007B263F" w:rsidRDefault="00705C9D" w:rsidP="00F73340">
      <w:pPr>
        <w:pStyle w:val="Refs0"/>
        <w:rPr>
          <w:rFonts w:ascii="Times New Roman" w:eastAsia="Minion-Regular" w:hAnsi="Times New Roman"/>
        </w:rPr>
      </w:pPr>
      <w:proofErr w:type="gramStart"/>
      <w:r>
        <w:rPr>
          <w:rFonts w:ascii="Times New Roman" w:hAnsi="Times New Roman"/>
        </w:rPr>
        <w:t>TEAP (2016)</w:t>
      </w:r>
      <w:r w:rsidR="00F73340" w:rsidRPr="007B263F">
        <w:rPr>
          <w:rFonts w:ascii="Times New Roman" w:hAnsi="Times New Roman"/>
        </w:rPr>
        <w:t xml:space="preserve"> Technology and Economic Assessment Panel.</w:t>
      </w:r>
      <w:proofErr w:type="gramEnd"/>
      <w:r w:rsidR="00F73340" w:rsidRPr="007B263F">
        <w:rPr>
          <w:rFonts w:ascii="Times New Roman" w:hAnsi="Times New Roman"/>
        </w:rPr>
        <w:t xml:space="preserve"> </w:t>
      </w:r>
      <w:proofErr w:type="gramStart"/>
      <w:r w:rsidR="00F73340" w:rsidRPr="007B263F">
        <w:rPr>
          <w:rFonts w:ascii="Times New Roman" w:hAnsi="Times New Roman"/>
        </w:rPr>
        <w:t>June 2016 Progress Report.</w:t>
      </w:r>
      <w:proofErr w:type="gramEnd"/>
      <w:r w:rsidR="00F73340" w:rsidRPr="007B263F">
        <w:rPr>
          <w:rFonts w:ascii="Times New Roman" w:hAnsi="Times New Roman"/>
        </w:rPr>
        <w:t xml:space="preserve"> Oz</w:t>
      </w:r>
      <w:r>
        <w:rPr>
          <w:rFonts w:ascii="Times New Roman" w:hAnsi="Times New Roman"/>
        </w:rPr>
        <w:t>one Secretariat, Nairobi, Kenya</w:t>
      </w:r>
      <w:r w:rsidR="00F73340" w:rsidRPr="007B263F">
        <w:rPr>
          <w:rFonts w:ascii="Times New Roman" w:eastAsia="Minion-Regular" w:hAnsi="Times New Roman"/>
        </w:rPr>
        <w:t xml:space="preserve"> </w:t>
      </w:r>
      <w:hyperlink r:id="rId67" w:history="1">
        <w:r w:rsidR="00F73340" w:rsidRPr="007B263F">
          <w:rPr>
            <w:rStyle w:val="Hyperlink"/>
            <w:rFonts w:ascii="Times New Roman" w:eastAsia="Minion-Regular" w:hAnsi="Times New Roman"/>
          </w:rPr>
          <w:t>http://conf.montreal-protocol.org/meeting/oewg/oewg-38/presession/Background%20Documents%20%20TEAP%20Reports/TEAP_Progress_Report_June2016.pdf</w:t>
        </w:r>
      </w:hyperlink>
      <w:r w:rsidR="00F73340" w:rsidRPr="007B263F">
        <w:rPr>
          <w:rFonts w:ascii="Times New Roman" w:eastAsia="Minion-Regular" w:hAnsi="Times New Roman"/>
        </w:rPr>
        <w:t xml:space="preserve"> </w:t>
      </w:r>
    </w:p>
    <w:p w14:paraId="75BC68AA" w14:textId="0B9A59AB" w:rsidR="00F73340" w:rsidRPr="007B263F" w:rsidRDefault="00F73340" w:rsidP="00F73340">
      <w:pPr>
        <w:pStyle w:val="Refs0"/>
        <w:rPr>
          <w:rFonts w:ascii="Times New Roman" w:eastAsia="Minion-Regular" w:hAnsi="Times New Roman"/>
        </w:rPr>
      </w:pPr>
      <w:r w:rsidRPr="007B263F">
        <w:rPr>
          <w:rFonts w:ascii="Times New Roman" w:eastAsia="Minion-Regular" w:hAnsi="Times New Roman"/>
        </w:rPr>
        <w:t xml:space="preserve">Thalavaisundaram S., Mattner S., Milinkovic M., Ridley T, Greenhalgh F., </w:t>
      </w:r>
      <w:r>
        <w:rPr>
          <w:rFonts w:ascii="Times New Roman" w:eastAsia="Minion-Regular" w:hAnsi="Times New Roman"/>
        </w:rPr>
        <w:t xml:space="preserve">and </w:t>
      </w:r>
      <w:r w:rsidRPr="007B263F">
        <w:rPr>
          <w:rFonts w:ascii="Times New Roman" w:eastAsia="Minion-Regular" w:hAnsi="Times New Roman"/>
        </w:rPr>
        <w:t>Jonas A.</w:t>
      </w:r>
      <w:r>
        <w:rPr>
          <w:rFonts w:ascii="Times New Roman" w:eastAsia="Minion-Regular" w:hAnsi="Times New Roman"/>
        </w:rPr>
        <w:t xml:space="preserve"> (2015)</w:t>
      </w:r>
      <w:r w:rsidRPr="007B263F">
        <w:rPr>
          <w:rFonts w:ascii="Times New Roman" w:eastAsia="Minion-Regular" w:hAnsi="Times New Roman"/>
        </w:rPr>
        <w:t xml:space="preserve"> VIF improves the efficacy of EDN ® fumigas in the Australian strawberry nursery industry</w:t>
      </w:r>
      <w:r>
        <w:rPr>
          <w:rFonts w:ascii="Times New Roman" w:eastAsia="Minion-Regular" w:hAnsi="Times New Roman"/>
        </w:rPr>
        <w:t>.</w:t>
      </w:r>
      <w:r w:rsidRPr="007B263F">
        <w:rPr>
          <w:rFonts w:ascii="Times New Roman" w:eastAsia="Minion-Regular" w:hAnsi="Times New Roman"/>
        </w:rPr>
        <w:t xml:space="preserve"> M</w:t>
      </w:r>
      <w:r>
        <w:rPr>
          <w:rFonts w:ascii="Times New Roman" w:eastAsia="Minion-Regular" w:hAnsi="Times New Roman"/>
        </w:rPr>
        <w:t xml:space="preserve">ethyl </w:t>
      </w:r>
      <w:r w:rsidRPr="007B263F">
        <w:rPr>
          <w:rFonts w:ascii="Times New Roman" w:eastAsia="Minion-Regular" w:hAnsi="Times New Roman"/>
        </w:rPr>
        <w:t>B</w:t>
      </w:r>
      <w:r>
        <w:rPr>
          <w:rFonts w:ascii="Times New Roman" w:eastAsia="Minion-Regular" w:hAnsi="Times New Roman"/>
        </w:rPr>
        <w:t xml:space="preserve">romide </w:t>
      </w:r>
      <w:r w:rsidRPr="007B263F">
        <w:rPr>
          <w:rFonts w:ascii="Times New Roman" w:eastAsia="Minion-Regular" w:hAnsi="Times New Roman"/>
        </w:rPr>
        <w:t>A</w:t>
      </w:r>
      <w:r>
        <w:rPr>
          <w:rFonts w:ascii="Times New Roman" w:eastAsia="Minion-Regular" w:hAnsi="Times New Roman"/>
        </w:rPr>
        <w:t xml:space="preserve">lternatives </w:t>
      </w:r>
      <w:r w:rsidRPr="007B263F">
        <w:rPr>
          <w:rFonts w:ascii="Times New Roman" w:eastAsia="Minion-Regular" w:hAnsi="Times New Roman"/>
        </w:rPr>
        <w:t>O</w:t>
      </w:r>
      <w:r>
        <w:rPr>
          <w:rFonts w:ascii="Times New Roman" w:eastAsia="Minion-Regular" w:hAnsi="Times New Roman"/>
        </w:rPr>
        <w:t xml:space="preserve">utreach, San Diego, California, </w:t>
      </w:r>
      <w:r w:rsidR="0070607D">
        <w:rPr>
          <w:rFonts w:ascii="Times New Roman" w:eastAsia="Minion-Regular" w:hAnsi="Times New Roman"/>
        </w:rPr>
        <w:t>US</w:t>
      </w:r>
      <w:r w:rsidRPr="007B263F">
        <w:rPr>
          <w:rFonts w:ascii="Times New Roman" w:eastAsia="Minion-Regular" w:hAnsi="Times New Roman"/>
        </w:rPr>
        <w:t xml:space="preserve"> </w:t>
      </w:r>
      <w:r>
        <w:rPr>
          <w:rFonts w:ascii="Times New Roman" w:eastAsia="Minion-Regular" w:hAnsi="Times New Roman"/>
        </w:rPr>
        <w:t xml:space="preserve">Nov </w:t>
      </w:r>
      <w:r w:rsidRPr="007B263F">
        <w:rPr>
          <w:rFonts w:ascii="Times New Roman" w:eastAsia="Minion-Regular" w:hAnsi="Times New Roman"/>
        </w:rPr>
        <w:t>2015</w:t>
      </w:r>
    </w:p>
    <w:p w14:paraId="58082B08" w14:textId="2114679E" w:rsidR="00F73340" w:rsidRPr="007B263F" w:rsidRDefault="00F73340" w:rsidP="00F73340">
      <w:pPr>
        <w:pStyle w:val="Refs0"/>
        <w:rPr>
          <w:rFonts w:ascii="Times New Roman" w:hAnsi="Times New Roman"/>
        </w:rPr>
      </w:pPr>
      <w:r w:rsidRPr="007B263F">
        <w:rPr>
          <w:rFonts w:ascii="Times New Roman" w:hAnsi="Times New Roman"/>
        </w:rPr>
        <w:t>Thies, J.A., Ariss, J.J., (2009). Comparison between the N and Me3 genes conferring resistance to the root-knot nematode (</w:t>
      </w:r>
      <w:r w:rsidRPr="007B263F">
        <w:rPr>
          <w:rFonts w:ascii="Times New Roman" w:hAnsi="Times New Roman"/>
          <w:i/>
        </w:rPr>
        <w:t>Meloidogyne incognita</w:t>
      </w:r>
      <w:r w:rsidRPr="007B263F">
        <w:rPr>
          <w:rFonts w:ascii="Times New Roman" w:hAnsi="Times New Roman"/>
        </w:rPr>
        <w:t>) in genetically different pepper lines (</w:t>
      </w:r>
      <w:r w:rsidRPr="007B263F">
        <w:rPr>
          <w:rFonts w:ascii="Times New Roman" w:hAnsi="Times New Roman"/>
          <w:i/>
        </w:rPr>
        <w:t>Capsicum annuum</w:t>
      </w:r>
      <w:r w:rsidR="00705C9D">
        <w:rPr>
          <w:rFonts w:ascii="Times New Roman" w:hAnsi="Times New Roman"/>
        </w:rPr>
        <w:t>)</w:t>
      </w:r>
      <w:r w:rsidRPr="007B263F">
        <w:rPr>
          <w:rFonts w:ascii="Times New Roman" w:hAnsi="Times New Roman"/>
        </w:rPr>
        <w:t xml:space="preserve"> </w:t>
      </w:r>
      <w:r w:rsidRPr="00705C9D">
        <w:rPr>
          <w:rFonts w:ascii="Times New Roman" w:hAnsi="Times New Roman"/>
          <w:i/>
        </w:rPr>
        <w:t>European Journal of Plant Pathology</w:t>
      </w:r>
      <w:r w:rsidRPr="007B263F">
        <w:rPr>
          <w:rFonts w:ascii="Times New Roman" w:hAnsi="Times New Roman"/>
        </w:rPr>
        <w:t xml:space="preserve"> 125</w:t>
      </w:r>
      <w:r>
        <w:rPr>
          <w:rFonts w:ascii="Times New Roman" w:hAnsi="Times New Roman"/>
        </w:rPr>
        <w:t>:</w:t>
      </w:r>
      <w:r w:rsidRPr="007B263F">
        <w:rPr>
          <w:rFonts w:ascii="Times New Roman" w:hAnsi="Times New Roman"/>
        </w:rPr>
        <w:t xml:space="preserve"> 545-550.</w:t>
      </w:r>
    </w:p>
    <w:p w14:paraId="4C67B3B0" w14:textId="42898175" w:rsidR="00F73340" w:rsidRPr="007B263F" w:rsidRDefault="00F73340" w:rsidP="00F73340">
      <w:pPr>
        <w:pStyle w:val="Refs0"/>
        <w:rPr>
          <w:rFonts w:ascii="Times New Roman" w:hAnsi="Times New Roman"/>
        </w:rPr>
      </w:pPr>
      <w:r w:rsidRPr="007B263F">
        <w:rPr>
          <w:rFonts w:ascii="Times New Roman" w:eastAsiaTheme="minorHAnsi" w:hAnsi="Times New Roman"/>
          <w:lang w:val="en-US" w:eastAsia="en-US"/>
        </w:rPr>
        <w:t xml:space="preserve">Thornton, B.F., Horst, A, Carrizo, D., Holmstrand, H. </w:t>
      </w:r>
      <w:proofErr w:type="gramStart"/>
      <w:r w:rsidRPr="007B263F">
        <w:rPr>
          <w:rFonts w:ascii="Times New Roman" w:eastAsiaTheme="minorHAnsi" w:hAnsi="Times New Roman"/>
          <w:lang w:val="en-US" w:eastAsia="en-US"/>
        </w:rPr>
        <w:t xml:space="preserve">and </w:t>
      </w:r>
      <w:proofErr w:type="gramEnd"/>
      <w:r w:rsidR="002434ED">
        <w:fldChar w:fldCharType="begin"/>
      </w:r>
      <w:r w:rsidR="002434ED">
        <w:instrText xml:space="preserve"> HYPERLINK "https://www.scopus.com/authid/detail.uri?authorId=7801493358&amp;amp;eid=2-s2.0-0031035726" \o "Show Author Details" </w:instrText>
      </w:r>
      <w:r w:rsidR="002434ED">
        <w:fldChar w:fldCharType="separate"/>
      </w:r>
      <w:r w:rsidRPr="007B263F">
        <w:rPr>
          <w:rFonts w:ascii="Times New Roman" w:eastAsia="Times New Roman" w:hAnsi="Times New Roman"/>
          <w:lang w:eastAsia="fr-FR"/>
        </w:rPr>
        <w:t>.</w:t>
      </w:r>
      <w:r w:rsidR="002434ED">
        <w:rPr>
          <w:rFonts w:ascii="Times New Roman" w:eastAsia="Times New Roman" w:hAnsi="Times New Roman"/>
          <w:lang w:eastAsia="fr-FR"/>
        </w:rPr>
        <w:fldChar w:fldCharType="end"/>
      </w:r>
      <w:r w:rsidRPr="007B263F">
        <w:rPr>
          <w:rFonts w:ascii="Times New Roman" w:eastAsia="Times New Roman" w:hAnsi="Times New Roman"/>
          <w:lang w:eastAsia="fr-FR"/>
        </w:rPr>
        <w:t xml:space="preserve"> (2016). </w:t>
      </w:r>
      <w:r w:rsidRPr="007B263F">
        <w:rPr>
          <w:rFonts w:ascii="Times New Roman" w:eastAsiaTheme="minorHAnsi" w:hAnsi="Times New Roman"/>
          <w:lang w:val="en-US" w:eastAsia="en-US"/>
        </w:rPr>
        <w:t>Methyl chloride and methyl bromide emissions from baking:</w:t>
      </w:r>
      <w:r>
        <w:rPr>
          <w:rFonts w:ascii="Times New Roman" w:eastAsiaTheme="minorHAnsi" w:hAnsi="Times New Roman"/>
          <w:lang w:val="en-US" w:eastAsia="en-US"/>
        </w:rPr>
        <w:t xml:space="preserve"> </w:t>
      </w:r>
      <w:r w:rsidRPr="007B263F">
        <w:rPr>
          <w:rFonts w:ascii="Times New Roman" w:eastAsiaTheme="minorHAnsi" w:hAnsi="Times New Roman"/>
          <w:lang w:val="en-US" w:eastAsia="en-US"/>
        </w:rPr>
        <w:t xml:space="preserve">an unrecognized anthropogenic source. </w:t>
      </w:r>
      <w:r w:rsidRPr="001B1725">
        <w:rPr>
          <w:rFonts w:ascii="Times New Roman" w:eastAsiaTheme="minorHAnsi" w:hAnsi="Times New Roman"/>
          <w:i/>
          <w:lang w:val="en-US" w:eastAsia="en-US"/>
        </w:rPr>
        <w:t>Science of the Total Environment</w:t>
      </w:r>
      <w:r w:rsidR="00705C9D">
        <w:rPr>
          <w:rFonts w:ascii="Times New Roman" w:eastAsiaTheme="minorHAnsi" w:hAnsi="Times New Roman"/>
          <w:lang w:val="en-US" w:eastAsia="en-US"/>
        </w:rPr>
        <w:t xml:space="preserve"> 551–552</w:t>
      </w:r>
      <w:r>
        <w:rPr>
          <w:rFonts w:ascii="Times New Roman" w:eastAsiaTheme="minorHAnsi" w:hAnsi="Times New Roman"/>
          <w:lang w:val="en-US" w:eastAsia="en-US"/>
        </w:rPr>
        <w:t>:</w:t>
      </w:r>
      <w:r w:rsidRPr="007B263F">
        <w:rPr>
          <w:rFonts w:ascii="Times New Roman" w:eastAsiaTheme="minorHAnsi" w:hAnsi="Times New Roman"/>
          <w:lang w:val="en-US" w:eastAsia="en-US"/>
        </w:rPr>
        <w:t xml:space="preserve"> 327–333</w:t>
      </w:r>
    </w:p>
    <w:p w14:paraId="4165425A" w14:textId="30383C32" w:rsidR="00F73340" w:rsidRPr="007B263F" w:rsidRDefault="00F73340" w:rsidP="00F73340">
      <w:pPr>
        <w:pStyle w:val="Refs0"/>
        <w:rPr>
          <w:rFonts w:ascii="Times New Roman" w:eastAsia="Times New Roman" w:hAnsi="Times New Roman"/>
          <w:lang w:eastAsia="fr-FR"/>
        </w:rPr>
      </w:pPr>
      <w:proofErr w:type="gramStart"/>
      <w:r w:rsidRPr="007B263F">
        <w:rPr>
          <w:rFonts w:ascii="Times New Roman" w:hAnsi="Times New Roman"/>
        </w:rPr>
        <w:t>Veremis, J.C</w:t>
      </w:r>
      <w:r w:rsidRPr="007B263F">
        <w:rPr>
          <w:rFonts w:ascii="Times New Roman" w:eastAsia="Times New Roman" w:hAnsi="Times New Roman"/>
          <w:lang w:eastAsia="fr-FR"/>
        </w:rPr>
        <w:t>, Cap, G.B., </w:t>
      </w:r>
      <w:r>
        <w:rPr>
          <w:rFonts w:ascii="Times New Roman" w:eastAsia="Times New Roman" w:hAnsi="Times New Roman"/>
          <w:lang w:eastAsia="fr-FR"/>
        </w:rPr>
        <w:t xml:space="preserve">and </w:t>
      </w:r>
      <w:r w:rsidRPr="007B263F">
        <w:rPr>
          <w:rFonts w:ascii="Times New Roman" w:eastAsia="Times New Roman" w:hAnsi="Times New Roman"/>
          <w:lang w:eastAsia="fr-FR"/>
        </w:rPr>
        <w:t>Roberts, P.A. (1997).</w:t>
      </w:r>
      <w:proofErr w:type="gramEnd"/>
      <w:r w:rsidRPr="007B263F">
        <w:rPr>
          <w:rFonts w:ascii="Times New Roman" w:eastAsia="Times New Roman" w:hAnsi="Times New Roman"/>
          <w:lang w:eastAsia="fr-FR"/>
        </w:rPr>
        <w:t xml:space="preserve"> </w:t>
      </w:r>
      <w:r w:rsidRPr="007B263F">
        <w:rPr>
          <w:rFonts w:ascii="Times New Roman" w:eastAsia="Times New Roman" w:hAnsi="Times New Roman"/>
          <w:kern w:val="36"/>
          <w:lang w:eastAsia="fr-FR"/>
        </w:rPr>
        <w:t xml:space="preserve">A search for resistance in </w:t>
      </w:r>
      <w:r w:rsidRPr="007B263F">
        <w:rPr>
          <w:rFonts w:ascii="Times New Roman" w:eastAsia="Times New Roman" w:hAnsi="Times New Roman"/>
          <w:i/>
          <w:kern w:val="36"/>
          <w:lang w:eastAsia="fr-FR"/>
        </w:rPr>
        <w:t>Lycopersicon</w:t>
      </w:r>
      <w:r w:rsidRPr="007B263F">
        <w:rPr>
          <w:rFonts w:ascii="Times New Roman" w:eastAsia="Times New Roman" w:hAnsi="Times New Roman"/>
          <w:kern w:val="36"/>
          <w:lang w:eastAsia="fr-FR"/>
        </w:rPr>
        <w:t xml:space="preserve"> spp. to </w:t>
      </w:r>
      <w:r w:rsidRPr="007B263F">
        <w:rPr>
          <w:rFonts w:ascii="Times New Roman" w:eastAsia="Times New Roman" w:hAnsi="Times New Roman"/>
          <w:i/>
          <w:kern w:val="36"/>
          <w:lang w:eastAsia="fr-FR"/>
        </w:rPr>
        <w:t>Nacobbus aberrans</w:t>
      </w:r>
      <w:r w:rsidRPr="007B263F">
        <w:rPr>
          <w:rFonts w:ascii="Times New Roman" w:eastAsia="Times New Roman" w:hAnsi="Times New Roman"/>
          <w:kern w:val="36"/>
          <w:lang w:eastAsia="fr-FR"/>
        </w:rPr>
        <w:t> </w:t>
      </w:r>
      <w:r w:rsidRPr="001B1725">
        <w:rPr>
          <w:rFonts w:ascii="Times New Roman" w:eastAsia="Times New Roman" w:hAnsi="Times New Roman"/>
          <w:i/>
          <w:lang w:eastAsia="fr-FR"/>
        </w:rPr>
        <w:t xml:space="preserve">Plant </w:t>
      </w:r>
      <w:proofErr w:type="gramStart"/>
      <w:r w:rsidRPr="001B1725">
        <w:rPr>
          <w:rFonts w:ascii="Times New Roman" w:eastAsia="Times New Roman" w:hAnsi="Times New Roman"/>
          <w:i/>
          <w:lang w:eastAsia="fr-FR"/>
        </w:rPr>
        <w:t>Disease</w:t>
      </w:r>
      <w:r w:rsidRPr="007B263F">
        <w:rPr>
          <w:rFonts w:ascii="Times New Roman" w:eastAsia="Times New Roman" w:hAnsi="Times New Roman"/>
          <w:lang w:eastAsia="fr-FR"/>
        </w:rPr>
        <w:t xml:space="preserve">  81</w:t>
      </w:r>
      <w:proofErr w:type="gramEnd"/>
      <w:r>
        <w:rPr>
          <w:rFonts w:ascii="Times New Roman" w:eastAsia="Times New Roman" w:hAnsi="Times New Roman"/>
          <w:lang w:eastAsia="fr-FR"/>
        </w:rPr>
        <w:t>(</w:t>
      </w:r>
      <w:r w:rsidRPr="007B263F">
        <w:rPr>
          <w:rFonts w:ascii="Times New Roman" w:eastAsia="Times New Roman" w:hAnsi="Times New Roman"/>
          <w:lang w:eastAsia="fr-FR"/>
        </w:rPr>
        <w:t>2</w:t>
      </w:r>
      <w:r>
        <w:rPr>
          <w:rFonts w:ascii="Times New Roman" w:eastAsia="Times New Roman" w:hAnsi="Times New Roman"/>
          <w:lang w:eastAsia="fr-FR"/>
        </w:rPr>
        <w:t>):</w:t>
      </w:r>
      <w:r w:rsidRPr="007B263F">
        <w:rPr>
          <w:rFonts w:ascii="Times New Roman" w:eastAsia="Times New Roman" w:hAnsi="Times New Roman"/>
          <w:lang w:eastAsia="fr-FR"/>
        </w:rPr>
        <w:t xml:space="preserve"> 217-221</w:t>
      </w:r>
    </w:p>
    <w:p w14:paraId="64AF413F" w14:textId="605BF7EA" w:rsidR="00F73340" w:rsidRPr="007B263F" w:rsidRDefault="00F73340" w:rsidP="00F73340">
      <w:pPr>
        <w:pStyle w:val="Refs0"/>
        <w:rPr>
          <w:rFonts w:ascii="Times New Roman" w:eastAsia="Times New Roman" w:hAnsi="Times New Roman"/>
          <w:lang w:eastAsia="fr-FR"/>
        </w:rPr>
      </w:pPr>
      <w:r w:rsidRPr="007B263F">
        <w:rPr>
          <w:rFonts w:ascii="Times New Roman" w:hAnsi="Times New Roman"/>
          <w:color w:val="222222"/>
          <w:shd w:val="clear" w:color="auto" w:fill="FFFFFF"/>
          <w:lang w:val="en-US" w:eastAsia="en-US"/>
        </w:rPr>
        <w:t>Yang, J., Park, Y., Hyun, I.H., Kim, G.H., Kim, B.S.</w:t>
      </w:r>
      <w:r w:rsidR="00705C9D">
        <w:rPr>
          <w:rFonts w:ascii="Times New Roman" w:hAnsi="Times New Roman"/>
          <w:color w:val="222222"/>
          <w:shd w:val="clear" w:color="auto" w:fill="FFFFFF"/>
          <w:lang w:val="en-US" w:eastAsia="en-US"/>
        </w:rPr>
        <w:t>, Lee, B.H. and Ren, Y., (2016)</w:t>
      </w:r>
      <w:r w:rsidRPr="007B263F">
        <w:rPr>
          <w:rFonts w:ascii="Times New Roman" w:hAnsi="Times New Roman"/>
          <w:color w:val="222222"/>
          <w:shd w:val="clear" w:color="auto" w:fill="FFFFFF"/>
          <w:lang w:val="en-US" w:eastAsia="en-US"/>
        </w:rPr>
        <w:t xml:space="preserve"> A </w:t>
      </w:r>
      <w:r>
        <w:rPr>
          <w:rFonts w:ascii="Times New Roman" w:hAnsi="Times New Roman"/>
          <w:color w:val="222222"/>
          <w:shd w:val="clear" w:color="auto" w:fill="FFFFFF"/>
          <w:lang w:val="en-US" w:eastAsia="en-US"/>
        </w:rPr>
        <w:t>c</w:t>
      </w:r>
      <w:r w:rsidRPr="007B263F">
        <w:rPr>
          <w:rFonts w:ascii="Times New Roman" w:hAnsi="Times New Roman"/>
          <w:color w:val="222222"/>
          <w:shd w:val="clear" w:color="auto" w:fill="FFFFFF"/>
          <w:lang w:val="en-US" w:eastAsia="en-US"/>
        </w:rPr>
        <w:t xml:space="preserve">ombination </w:t>
      </w:r>
      <w:r>
        <w:rPr>
          <w:rFonts w:ascii="Times New Roman" w:hAnsi="Times New Roman"/>
          <w:color w:val="222222"/>
          <w:shd w:val="clear" w:color="auto" w:fill="FFFFFF"/>
          <w:lang w:val="en-US" w:eastAsia="en-US"/>
        </w:rPr>
        <w:t>t</w:t>
      </w:r>
      <w:r w:rsidRPr="007B263F">
        <w:rPr>
          <w:rFonts w:ascii="Times New Roman" w:hAnsi="Times New Roman"/>
          <w:color w:val="222222"/>
          <w:shd w:val="clear" w:color="auto" w:fill="FFFFFF"/>
          <w:lang w:val="en-US" w:eastAsia="en-US"/>
        </w:rPr>
        <w:t xml:space="preserve">reatment </w:t>
      </w:r>
      <w:r>
        <w:rPr>
          <w:rFonts w:ascii="Times New Roman" w:hAnsi="Times New Roman"/>
          <w:color w:val="222222"/>
          <w:shd w:val="clear" w:color="auto" w:fill="FFFFFF"/>
          <w:lang w:val="en-US" w:eastAsia="en-US"/>
        </w:rPr>
        <w:t>u</w:t>
      </w:r>
      <w:r w:rsidRPr="007B263F">
        <w:rPr>
          <w:rFonts w:ascii="Times New Roman" w:hAnsi="Times New Roman"/>
          <w:color w:val="222222"/>
          <w:shd w:val="clear" w:color="auto" w:fill="FFFFFF"/>
          <w:lang w:val="en-US" w:eastAsia="en-US"/>
        </w:rPr>
        <w:t xml:space="preserve">sing </w:t>
      </w:r>
      <w:r>
        <w:rPr>
          <w:rFonts w:ascii="Times New Roman" w:hAnsi="Times New Roman"/>
          <w:color w:val="222222"/>
          <w:shd w:val="clear" w:color="auto" w:fill="FFFFFF"/>
          <w:lang w:val="en-US" w:eastAsia="en-US"/>
        </w:rPr>
        <w:t>e</w:t>
      </w:r>
      <w:r w:rsidRPr="007B263F">
        <w:rPr>
          <w:rFonts w:ascii="Times New Roman" w:hAnsi="Times New Roman"/>
          <w:color w:val="222222"/>
          <w:shd w:val="clear" w:color="auto" w:fill="FFFFFF"/>
          <w:lang w:val="en-US" w:eastAsia="en-US"/>
        </w:rPr>
        <w:t xml:space="preserve">thyl </w:t>
      </w:r>
      <w:r>
        <w:rPr>
          <w:rFonts w:ascii="Times New Roman" w:hAnsi="Times New Roman"/>
          <w:color w:val="222222"/>
          <w:shd w:val="clear" w:color="auto" w:fill="FFFFFF"/>
          <w:lang w:val="en-US" w:eastAsia="en-US"/>
        </w:rPr>
        <w:t>f</w:t>
      </w:r>
      <w:r w:rsidRPr="007B263F">
        <w:rPr>
          <w:rFonts w:ascii="Times New Roman" w:hAnsi="Times New Roman"/>
          <w:color w:val="222222"/>
          <w:shd w:val="clear" w:color="auto" w:fill="FFFFFF"/>
          <w:lang w:val="en-US" w:eastAsia="en-US"/>
        </w:rPr>
        <w:t xml:space="preserve">ormate and </w:t>
      </w:r>
      <w:r>
        <w:rPr>
          <w:rFonts w:ascii="Times New Roman" w:hAnsi="Times New Roman"/>
          <w:color w:val="222222"/>
          <w:shd w:val="clear" w:color="auto" w:fill="FFFFFF"/>
          <w:lang w:val="en-US" w:eastAsia="en-US"/>
        </w:rPr>
        <w:t>p</w:t>
      </w:r>
      <w:r w:rsidRPr="007B263F">
        <w:rPr>
          <w:rFonts w:ascii="Times New Roman" w:hAnsi="Times New Roman"/>
          <w:color w:val="222222"/>
          <w:shd w:val="clear" w:color="auto" w:fill="FFFFFF"/>
          <w:lang w:val="en-US" w:eastAsia="en-US"/>
        </w:rPr>
        <w:t xml:space="preserve">hosphine to </w:t>
      </w:r>
      <w:r>
        <w:rPr>
          <w:rFonts w:ascii="Times New Roman" w:hAnsi="Times New Roman"/>
          <w:color w:val="222222"/>
          <w:shd w:val="clear" w:color="auto" w:fill="FFFFFF"/>
          <w:lang w:val="en-US" w:eastAsia="en-US"/>
        </w:rPr>
        <w:t>c</w:t>
      </w:r>
      <w:r w:rsidRPr="007B263F">
        <w:rPr>
          <w:rFonts w:ascii="Times New Roman" w:hAnsi="Times New Roman"/>
          <w:color w:val="222222"/>
          <w:shd w:val="clear" w:color="auto" w:fill="FFFFFF"/>
          <w:lang w:val="en-US" w:eastAsia="en-US"/>
        </w:rPr>
        <w:t xml:space="preserve">ontrol </w:t>
      </w:r>
      <w:r w:rsidRPr="001B1725">
        <w:rPr>
          <w:rFonts w:ascii="Times New Roman" w:hAnsi="Times New Roman"/>
          <w:i/>
          <w:color w:val="222222"/>
          <w:shd w:val="clear" w:color="auto" w:fill="FFFFFF"/>
          <w:lang w:val="en-US" w:eastAsia="en-US"/>
        </w:rPr>
        <w:t xml:space="preserve">Planococcus citri </w:t>
      </w:r>
      <w:r w:rsidRPr="007B263F">
        <w:rPr>
          <w:rFonts w:ascii="Times New Roman" w:hAnsi="Times New Roman"/>
          <w:color w:val="222222"/>
          <w:shd w:val="clear" w:color="auto" w:fill="FFFFFF"/>
          <w:lang w:val="en-US" w:eastAsia="en-US"/>
        </w:rPr>
        <w:t xml:space="preserve">(Hemiptera: Pseudococcidae) on </w:t>
      </w:r>
      <w:r>
        <w:rPr>
          <w:rFonts w:ascii="Times New Roman" w:hAnsi="Times New Roman"/>
          <w:color w:val="222222"/>
          <w:shd w:val="clear" w:color="auto" w:fill="FFFFFF"/>
          <w:lang w:val="en-US" w:eastAsia="en-US"/>
        </w:rPr>
        <w:t>p</w:t>
      </w:r>
      <w:r w:rsidR="00705C9D">
        <w:rPr>
          <w:rFonts w:ascii="Times New Roman" w:hAnsi="Times New Roman"/>
          <w:color w:val="222222"/>
          <w:shd w:val="clear" w:color="auto" w:fill="FFFFFF"/>
          <w:lang w:val="en-US" w:eastAsia="en-US"/>
        </w:rPr>
        <w:t>ineapples</w:t>
      </w:r>
      <w:r w:rsidRPr="007B263F">
        <w:rPr>
          <w:rFonts w:ascii="Times New Roman" w:hAnsi="Times New Roman"/>
          <w:color w:val="222222"/>
          <w:shd w:val="clear" w:color="auto" w:fill="FFFFFF"/>
          <w:lang w:val="en-US" w:eastAsia="en-US"/>
        </w:rPr>
        <w:t> </w:t>
      </w:r>
      <w:r w:rsidRPr="007B263F">
        <w:rPr>
          <w:rFonts w:ascii="Times New Roman" w:hAnsi="Times New Roman"/>
          <w:i/>
          <w:iCs/>
          <w:color w:val="222222"/>
          <w:lang w:val="en-US" w:eastAsia="en-US"/>
        </w:rPr>
        <w:t>Journal of Economic Entomology</w:t>
      </w:r>
      <w:r w:rsidRPr="007B263F">
        <w:rPr>
          <w:rFonts w:ascii="Times New Roman" w:hAnsi="Times New Roman"/>
          <w:color w:val="222222"/>
          <w:shd w:val="clear" w:color="auto" w:fill="FFFFFF"/>
          <w:lang w:val="en-US" w:eastAsia="en-US"/>
        </w:rPr>
        <w:t>, p.tow222.</w:t>
      </w:r>
    </w:p>
    <w:p w14:paraId="326703D3" w14:textId="1F74C530" w:rsidR="00F73340" w:rsidRPr="007B263F" w:rsidRDefault="00F73340" w:rsidP="00F73340">
      <w:pPr>
        <w:pStyle w:val="Refs0"/>
        <w:rPr>
          <w:rFonts w:ascii="Times New Roman" w:hAnsi="Times New Roman"/>
          <w:smallCaps/>
          <w:u w:val="single"/>
        </w:rPr>
      </w:pPr>
      <w:r w:rsidRPr="007B263F">
        <w:rPr>
          <w:rFonts w:ascii="Times New Roman" w:hAnsi="Times New Roman"/>
        </w:rPr>
        <w:t>Wu, F</w:t>
      </w:r>
      <w:r>
        <w:rPr>
          <w:rFonts w:ascii="Times New Roman" w:hAnsi="Times New Roman"/>
        </w:rPr>
        <w:t>.</w:t>
      </w:r>
      <w:r w:rsidRPr="007B263F">
        <w:rPr>
          <w:rFonts w:ascii="Times New Roman" w:hAnsi="Times New Roman"/>
        </w:rPr>
        <w:t>, Zhengfei</w:t>
      </w:r>
      <w:r>
        <w:rPr>
          <w:rFonts w:ascii="Times New Roman" w:hAnsi="Times New Roman"/>
        </w:rPr>
        <w:t>,</w:t>
      </w:r>
      <w:r w:rsidRPr="007B263F">
        <w:rPr>
          <w:rFonts w:ascii="Times New Roman" w:hAnsi="Times New Roman"/>
        </w:rPr>
        <w:t xml:space="preserve"> G</w:t>
      </w:r>
      <w:r>
        <w:rPr>
          <w:rFonts w:ascii="Times New Roman" w:hAnsi="Times New Roman"/>
        </w:rPr>
        <w:t>.</w:t>
      </w:r>
      <w:r w:rsidRPr="007B263F">
        <w:rPr>
          <w:rFonts w:ascii="Times New Roman" w:hAnsi="Times New Roman"/>
        </w:rPr>
        <w:t>, Vallad,</w:t>
      </w:r>
      <w:r>
        <w:rPr>
          <w:rFonts w:ascii="Times New Roman" w:hAnsi="Times New Roman"/>
        </w:rPr>
        <w:t xml:space="preserve"> G. and</w:t>
      </w:r>
      <w:r w:rsidRPr="007B263F">
        <w:rPr>
          <w:rFonts w:ascii="Times New Roman" w:hAnsi="Times New Roman"/>
        </w:rPr>
        <w:t xml:space="preserve"> Boyd,</w:t>
      </w:r>
      <w:r>
        <w:rPr>
          <w:rFonts w:ascii="Times New Roman" w:hAnsi="Times New Roman"/>
        </w:rPr>
        <w:t xml:space="preserve"> N.</w:t>
      </w:r>
      <w:r w:rsidRPr="007B263F">
        <w:rPr>
          <w:rFonts w:ascii="Times New Roman" w:hAnsi="Times New Roman"/>
        </w:rPr>
        <w:t xml:space="preserve"> </w:t>
      </w:r>
      <w:r>
        <w:rPr>
          <w:rFonts w:ascii="Times New Roman" w:hAnsi="Times New Roman"/>
        </w:rPr>
        <w:t>(</w:t>
      </w:r>
      <w:r w:rsidRPr="007B263F">
        <w:rPr>
          <w:rFonts w:ascii="Times New Roman" w:hAnsi="Times New Roman"/>
        </w:rPr>
        <w:t>2016</w:t>
      </w:r>
      <w:r>
        <w:rPr>
          <w:rFonts w:ascii="Times New Roman" w:hAnsi="Times New Roman"/>
        </w:rPr>
        <w:t>)</w:t>
      </w:r>
      <w:r w:rsidRPr="007B263F">
        <w:rPr>
          <w:rFonts w:ascii="Times New Roman" w:hAnsi="Times New Roman"/>
        </w:rPr>
        <w:t xml:space="preserve"> </w:t>
      </w:r>
      <w:proofErr w:type="gramStart"/>
      <w:r w:rsidRPr="007B263F">
        <w:rPr>
          <w:rFonts w:ascii="Times New Roman" w:hAnsi="Times New Roman"/>
        </w:rPr>
        <w:t>The</w:t>
      </w:r>
      <w:proofErr w:type="gramEnd"/>
      <w:r w:rsidRPr="007B263F">
        <w:rPr>
          <w:rFonts w:ascii="Times New Roman" w:hAnsi="Times New Roman"/>
        </w:rPr>
        <w:t xml:space="preserve"> </w:t>
      </w:r>
      <w:r>
        <w:rPr>
          <w:rFonts w:ascii="Times New Roman" w:hAnsi="Times New Roman"/>
        </w:rPr>
        <w:t>l</w:t>
      </w:r>
      <w:r w:rsidRPr="007B263F">
        <w:rPr>
          <w:rFonts w:ascii="Times New Roman" w:hAnsi="Times New Roman"/>
        </w:rPr>
        <w:t>ong-</w:t>
      </w:r>
      <w:r>
        <w:rPr>
          <w:rFonts w:ascii="Times New Roman" w:hAnsi="Times New Roman"/>
        </w:rPr>
        <w:t>t</w:t>
      </w:r>
      <w:r w:rsidRPr="007B263F">
        <w:rPr>
          <w:rFonts w:ascii="Times New Roman" w:hAnsi="Times New Roman"/>
        </w:rPr>
        <w:t xml:space="preserve">erm </w:t>
      </w:r>
      <w:r>
        <w:rPr>
          <w:rFonts w:ascii="Times New Roman" w:hAnsi="Times New Roman"/>
        </w:rPr>
        <w:t>e</w:t>
      </w:r>
      <w:r w:rsidRPr="007B263F">
        <w:rPr>
          <w:rFonts w:ascii="Times New Roman" w:hAnsi="Times New Roman"/>
        </w:rPr>
        <w:t xml:space="preserve">conomic </w:t>
      </w:r>
      <w:r>
        <w:rPr>
          <w:rFonts w:ascii="Times New Roman" w:hAnsi="Times New Roman"/>
        </w:rPr>
        <w:t>e</w:t>
      </w:r>
      <w:r w:rsidRPr="007B263F">
        <w:rPr>
          <w:rFonts w:ascii="Times New Roman" w:hAnsi="Times New Roman"/>
        </w:rPr>
        <w:t xml:space="preserve">ffect of </w:t>
      </w:r>
      <w:r>
        <w:rPr>
          <w:rFonts w:ascii="Times New Roman" w:hAnsi="Times New Roman"/>
        </w:rPr>
        <w:t>m</w:t>
      </w:r>
      <w:r w:rsidRPr="007B263F">
        <w:rPr>
          <w:rFonts w:ascii="Times New Roman" w:hAnsi="Times New Roman"/>
        </w:rPr>
        <w:t xml:space="preserve">ethyl </w:t>
      </w:r>
      <w:r>
        <w:rPr>
          <w:rFonts w:ascii="Times New Roman" w:hAnsi="Times New Roman"/>
        </w:rPr>
        <w:t>b</w:t>
      </w:r>
      <w:r w:rsidRPr="007B263F">
        <w:rPr>
          <w:rFonts w:ascii="Times New Roman" w:hAnsi="Times New Roman"/>
        </w:rPr>
        <w:t xml:space="preserve">romide </w:t>
      </w:r>
      <w:r>
        <w:rPr>
          <w:rFonts w:ascii="Times New Roman" w:hAnsi="Times New Roman"/>
        </w:rPr>
        <w:t>a</w:t>
      </w:r>
      <w:r w:rsidRPr="007B263F">
        <w:rPr>
          <w:rFonts w:ascii="Times New Roman" w:hAnsi="Times New Roman"/>
        </w:rPr>
        <w:t xml:space="preserve">lternatives on </w:t>
      </w:r>
      <w:r>
        <w:rPr>
          <w:rFonts w:ascii="Times New Roman" w:hAnsi="Times New Roman"/>
        </w:rPr>
        <w:t>t</w:t>
      </w:r>
      <w:r w:rsidR="00705C9D">
        <w:rPr>
          <w:rFonts w:ascii="Times New Roman" w:hAnsi="Times New Roman"/>
        </w:rPr>
        <w:t>omatoes.</w:t>
      </w:r>
      <w:r w:rsidRPr="007B263F">
        <w:rPr>
          <w:rFonts w:ascii="Times New Roman" w:hAnsi="Times New Roman"/>
        </w:rPr>
        <w:t>M</w:t>
      </w:r>
      <w:r>
        <w:rPr>
          <w:rFonts w:ascii="Times New Roman" w:hAnsi="Times New Roman"/>
        </w:rPr>
        <w:t xml:space="preserve">ethyl </w:t>
      </w:r>
      <w:r w:rsidRPr="007B263F">
        <w:rPr>
          <w:rFonts w:ascii="Times New Roman" w:hAnsi="Times New Roman"/>
        </w:rPr>
        <w:t>B</w:t>
      </w:r>
      <w:r>
        <w:rPr>
          <w:rFonts w:ascii="Times New Roman" w:hAnsi="Times New Roman"/>
        </w:rPr>
        <w:t xml:space="preserve">romide </w:t>
      </w:r>
      <w:r w:rsidRPr="007B263F">
        <w:rPr>
          <w:rFonts w:ascii="Times New Roman" w:hAnsi="Times New Roman"/>
        </w:rPr>
        <w:t>A</w:t>
      </w:r>
      <w:r>
        <w:rPr>
          <w:rFonts w:ascii="Times New Roman" w:hAnsi="Times New Roman"/>
        </w:rPr>
        <w:t xml:space="preserve">lternatives </w:t>
      </w:r>
      <w:r w:rsidRPr="007B263F">
        <w:rPr>
          <w:rFonts w:ascii="Times New Roman" w:hAnsi="Times New Roman"/>
        </w:rPr>
        <w:t>O</w:t>
      </w:r>
      <w:r>
        <w:rPr>
          <w:rFonts w:ascii="Times New Roman" w:hAnsi="Times New Roman"/>
        </w:rPr>
        <w:t>utreach</w:t>
      </w:r>
      <w:r w:rsidRPr="007B263F">
        <w:rPr>
          <w:rFonts w:ascii="Times New Roman" w:hAnsi="Times New Roman"/>
        </w:rPr>
        <w:t>,</w:t>
      </w:r>
      <w:r>
        <w:rPr>
          <w:rFonts w:ascii="Times New Roman" w:hAnsi="Times New Roman"/>
        </w:rPr>
        <w:t xml:space="preserve"> November 8-10</w:t>
      </w:r>
      <w:r w:rsidRPr="007B263F">
        <w:rPr>
          <w:rFonts w:ascii="Times New Roman" w:hAnsi="Times New Roman"/>
        </w:rPr>
        <w:t xml:space="preserve"> 2016</w:t>
      </w:r>
      <w:r>
        <w:rPr>
          <w:rFonts w:ascii="Times New Roman" w:hAnsi="Times New Roman"/>
        </w:rPr>
        <w:t xml:space="preserve">, Orlando, Florida, </w:t>
      </w:r>
      <w:r w:rsidR="0070607D">
        <w:rPr>
          <w:rFonts w:ascii="Times New Roman" w:hAnsi="Times New Roman"/>
        </w:rPr>
        <w:t>US</w:t>
      </w:r>
    </w:p>
    <w:p w14:paraId="350A8BBF" w14:textId="77777777" w:rsidR="00F73340" w:rsidRPr="00C94F4B" w:rsidRDefault="00F73340" w:rsidP="00F73340">
      <w:pPr>
        <w:pStyle w:val="Refs0"/>
        <w:rPr>
          <w:rFonts w:asciiTheme="majorBidi" w:hAnsiTheme="majorBidi" w:cstheme="majorBidi"/>
          <w:sz w:val="24"/>
          <w:szCs w:val="24"/>
        </w:rPr>
      </w:pPr>
    </w:p>
    <w:p w14:paraId="7788F48C" w14:textId="00331D3A" w:rsidR="00C915BD" w:rsidRPr="00FD4EE9" w:rsidRDefault="00C915BD" w:rsidP="001A7577">
      <w:pPr>
        <w:pStyle w:val="Refs0"/>
        <w:jc w:val="both"/>
        <w:rPr>
          <w:rFonts w:ascii="Times New Roman" w:hAnsi="Times New Roman"/>
          <w:lang w:eastAsia="fr-FR"/>
        </w:rPr>
      </w:pPr>
      <w:r w:rsidRPr="00FD4EE9">
        <w:rPr>
          <w:rFonts w:ascii="Times New Roman" w:hAnsi="Times New Roman"/>
          <w:lang w:eastAsia="fr-FR"/>
        </w:rPr>
        <w:t>.</w:t>
      </w:r>
    </w:p>
    <w:p w14:paraId="38A88B69" w14:textId="77777777" w:rsidR="00642379" w:rsidRDefault="00642379" w:rsidP="001A7577">
      <w:pPr>
        <w:pStyle w:val="Refs0"/>
        <w:jc w:val="both"/>
        <w:rPr>
          <w:rFonts w:ascii="Times New Roman" w:hAnsi="Times New Roman"/>
          <w:lang w:eastAsia="fr-FR"/>
        </w:rPr>
        <w:sectPr w:rsidR="00642379" w:rsidSect="0015746F">
          <w:footnotePr>
            <w:numRestart w:val="eachSect"/>
          </w:footnotePr>
          <w:type w:val="oddPage"/>
          <w:pgSz w:w="11907" w:h="16839" w:code="9"/>
          <w:pgMar w:top="1440" w:right="1797" w:bottom="1525" w:left="1797" w:header="720" w:footer="794" w:gutter="0"/>
          <w:cols w:space="720"/>
          <w:docGrid w:linePitch="299"/>
        </w:sectPr>
      </w:pPr>
    </w:p>
    <w:p w14:paraId="4F675CDD" w14:textId="77777777" w:rsidR="00767B1E" w:rsidRPr="00FD4EE9" w:rsidRDefault="00767B1E" w:rsidP="008D06EA">
      <w:pPr>
        <w:pStyle w:val="Heading1"/>
        <w:rPr>
          <w:rStyle w:val="Heading1Char2"/>
          <w:rFonts w:ascii="Times New Roman" w:eastAsia="Calibri" w:hAnsi="Times New Roman"/>
          <w:color w:val="auto"/>
          <w:lang w:val="en-AU" w:eastAsia="en-NZ"/>
        </w:rPr>
      </w:pPr>
      <w:bookmarkStart w:id="120" w:name="_Toc484164349"/>
      <w:bookmarkStart w:id="121" w:name="_Toc325730195"/>
      <w:bookmarkStart w:id="122" w:name="_Toc325730196"/>
      <w:bookmarkStart w:id="123" w:name="_Toc388648365"/>
      <w:r w:rsidRPr="00FD4EE9">
        <w:rPr>
          <w:rStyle w:val="Heading1Char2"/>
          <w:rFonts w:ascii="Times New Roman" w:hAnsi="Times New Roman"/>
        </w:rPr>
        <w:lastRenderedPageBreak/>
        <w:t>5</w:t>
      </w:r>
      <w:r w:rsidRPr="00FD4EE9">
        <w:rPr>
          <w:rStyle w:val="Heading1Char2"/>
          <w:rFonts w:ascii="Times New Roman" w:hAnsi="Times New Roman"/>
        </w:rPr>
        <w:tab/>
        <w:t>Medical and Chemicals TOC (MCTOC) Progress Report (including Recommendations for Essential Use Nominations)</w:t>
      </w:r>
      <w:bookmarkEnd w:id="120"/>
      <w:r w:rsidRPr="00FD4EE9">
        <w:rPr>
          <w:rStyle w:val="Heading1Char2"/>
          <w:rFonts w:ascii="Times New Roman" w:hAnsi="Times New Roman"/>
        </w:rPr>
        <w:t xml:space="preserve"> </w:t>
      </w:r>
    </w:p>
    <w:p w14:paraId="12963437" w14:textId="77777777" w:rsidR="00656E7D" w:rsidRPr="00656E7D" w:rsidRDefault="00656E7D" w:rsidP="00413E4A">
      <w:pPr>
        <w:pStyle w:val="Heading2"/>
      </w:pPr>
      <w:bookmarkStart w:id="124" w:name="_Toc356240451"/>
      <w:bookmarkStart w:id="125" w:name="_Toc484164350"/>
      <w:bookmarkEnd w:id="121"/>
      <w:bookmarkEnd w:id="122"/>
      <w:r w:rsidRPr="00656E7D">
        <w:t>Executive Summary</w:t>
      </w:r>
      <w:bookmarkEnd w:id="124"/>
      <w:bookmarkEnd w:id="125"/>
    </w:p>
    <w:p w14:paraId="275DE20C" w14:textId="77777777" w:rsidR="00656E7D" w:rsidRPr="00656E7D" w:rsidRDefault="00656E7D" w:rsidP="00A140B1">
      <w:r w:rsidRPr="00656E7D">
        <w:t>The global transition away from chlorofluorocarbon (CFC) metered dose inhalers (MDIs) is almost complete. In the last remaining countries, CFC MDIs were manufactured entirely from CFC stockpiles in 2015 and 2016 in China and Russia. Information indicates that hydrochlorofluorocarbon (HCFC) use in medical aerosols in China could be about 2,500 tonnes, using HCFC-22 and HCFC-141b.</w:t>
      </w:r>
    </w:p>
    <w:p w14:paraId="57B5A573" w14:textId="477E5760" w:rsidR="00656E7D" w:rsidRPr="00656E7D" w:rsidRDefault="00656E7D" w:rsidP="00A140B1">
      <w:r w:rsidRPr="00656E7D">
        <w:t xml:space="preserve">China nominated 65 tonnes of carbon tetrachloride (CTC) for laboratory and analytical uses for the testing of oil, grease and total petroleum hydrocarbons in water </w:t>
      </w:r>
      <w:r w:rsidR="00A04150">
        <w:t xml:space="preserve">as an essential use exemption (EUE) </w:t>
      </w:r>
      <w:r w:rsidRPr="00656E7D">
        <w:t>for 2018. MCTOC recommends that parties authorise an essential use exemption, and requests that China provides specific additional information on progress in the development of its alternative method and its studies of the purification of tetrachloroethylene, availabl</w:t>
      </w:r>
      <w:r w:rsidR="008425C0">
        <w:t>e sources of higher purity tetr</w:t>
      </w:r>
      <w:r w:rsidRPr="00656E7D">
        <w:t>achloroethylene, further evaluations of alternative international and other national methods, and timelines for the phase-out of CTC in laboratory and analytical uses, with anticipated steps and the end date in that process.</w:t>
      </w:r>
    </w:p>
    <w:p w14:paraId="6E99045E" w14:textId="5D78CEBC" w:rsidR="00656E7D" w:rsidRPr="00656E7D" w:rsidRDefault="00656E7D" w:rsidP="00A140B1">
      <w:r w:rsidRPr="00656E7D">
        <w:t>MCTOC reviewed the information submitted by parties under Decision XVII/6 on the use of controlled substances under exemptions as process agents, and the make-up and emissions for those uses. Based on the information reported, parties may wish to consider changes to Tables A and B of Decision XXII/7. Furthermore, parties may wish to consider requesting information be provided by parties in order to understand better the remaining eleven pr</w:t>
      </w:r>
      <w:r w:rsidR="00BA2F3A">
        <w:t>ocess agent uses</w:t>
      </w:r>
      <w:r w:rsidRPr="00656E7D">
        <w:t>.</w:t>
      </w:r>
    </w:p>
    <w:p w14:paraId="7F4970F2" w14:textId="55CE8136" w:rsidR="00656E7D" w:rsidRPr="00656E7D" w:rsidRDefault="00656E7D" w:rsidP="00A140B1">
      <w:r w:rsidRPr="00656E7D">
        <w:t xml:space="preserve">MCTOC has analysed data on parties’ production, import and export of </w:t>
      </w:r>
      <w:r w:rsidR="008425C0">
        <w:t>ozone depleting substances (</w:t>
      </w:r>
      <w:r w:rsidRPr="00656E7D">
        <w:t>ODS</w:t>
      </w:r>
      <w:r w:rsidR="008425C0">
        <w:t>)</w:t>
      </w:r>
      <w:r w:rsidRPr="00656E7D">
        <w:t xml:space="preserve"> used as feedstock for the year 2015. These data include quantities used as process agents. In 2015, total production for these uses was 1,084,101 tonnes, representing a total of 375,488 ODP tonnes. Emissions from ODS feedstock use are not reported by </w:t>
      </w:r>
      <w:r w:rsidR="008425C0">
        <w:t>p</w:t>
      </w:r>
      <w:r w:rsidRPr="00656E7D">
        <w:t>arties. Using emissions factors from the SPARC Report on the Mystery of Carbon Tetrachloride, the range of ODS emissions from feedstock uses can be estimated as 5,421 to 21,682 tonnes, or 1,877 to 7,510 ODP tonnes for 2015. MCTOC also presents historic data on controlled substances used as feedstock from 2002 to 2015.</w:t>
      </w:r>
    </w:p>
    <w:p w14:paraId="3F7EFC36" w14:textId="77777777" w:rsidR="00656E7D" w:rsidRPr="00656E7D" w:rsidRDefault="00656E7D" w:rsidP="00A140B1">
      <w:r w:rsidRPr="00656E7D">
        <w:t xml:space="preserve">Parties may wish to consider providing MCTOC with production data for </w:t>
      </w:r>
      <w:r w:rsidRPr="0010207A">
        <w:rPr>
          <w:i/>
        </w:rPr>
        <w:t>n</w:t>
      </w:r>
      <w:r w:rsidRPr="00656E7D">
        <w:t>-propyl bromide in order that global production quantities could be collated and reported.</w:t>
      </w:r>
    </w:p>
    <w:p w14:paraId="059E66AF" w14:textId="77777777" w:rsidR="00656E7D" w:rsidRPr="00656E7D" w:rsidRDefault="00656E7D" w:rsidP="00A140B1">
      <w:r w:rsidRPr="00656E7D">
        <w:t>The current laboratory and analytical usage of methyl bromide as a reference or standard, in laboratory toxicological studies, and for comparison of methyl bromide and its alternatives inside a laboratory, is likely to be minor, possibly in the kilograms range globally. Furthermore, the use of methyl bromide in laboratories as a methylating agent, in chemical reactions to deliver a methyl group to a chemical substrate, is also considered to be very minor. There are many alternatives available that are nearly always used in preference to methyl bromide. TEAP plans to report further on this topic if and when parties make available new and different information.</w:t>
      </w:r>
    </w:p>
    <w:p w14:paraId="28D5EA7E" w14:textId="1B4B7D2B" w:rsidR="00656E7D" w:rsidRPr="00656E7D" w:rsidRDefault="00656E7D" w:rsidP="00A140B1">
      <w:r w:rsidRPr="00656E7D">
        <w:t>MCTOC wishes to bring to the attention of parties that it is seeking new members who are</w:t>
      </w:r>
      <w:r w:rsidR="009E555F">
        <w:t xml:space="preserve"> experts in</w:t>
      </w:r>
      <w:r w:rsidRPr="00656E7D">
        <w:t xml:space="preserve"> destruction technology and laboratory and analytical </w:t>
      </w:r>
      <w:r w:rsidR="009E555F">
        <w:t>use</w:t>
      </w:r>
      <w:r w:rsidRPr="00656E7D">
        <w:t>s. Parties may wish to consider nominating experts to MCTOC. In addition, in preparation for its future work, parties may wish to consider providing any relevant new information on destruction technologies to MCTOC.</w:t>
      </w:r>
    </w:p>
    <w:p w14:paraId="3191AFFA" w14:textId="77777777" w:rsidR="00656E7D" w:rsidRPr="00656E7D" w:rsidRDefault="00656E7D" w:rsidP="00413E4A">
      <w:pPr>
        <w:pStyle w:val="Heading2"/>
      </w:pPr>
      <w:bookmarkStart w:id="126" w:name="_Toc356240452"/>
      <w:bookmarkStart w:id="127" w:name="_Toc484164351"/>
      <w:r w:rsidRPr="00656E7D">
        <w:lastRenderedPageBreak/>
        <w:t>5.1.</w:t>
      </w:r>
      <w:r w:rsidRPr="00656E7D">
        <w:tab/>
        <w:t>Medical</w:t>
      </w:r>
      <w:bookmarkEnd w:id="126"/>
      <w:bookmarkEnd w:id="127"/>
    </w:p>
    <w:p w14:paraId="3D18D93F" w14:textId="352545D9" w:rsidR="00656E7D" w:rsidRPr="00656E7D" w:rsidRDefault="00656E7D" w:rsidP="00413E4A">
      <w:pPr>
        <w:pStyle w:val="Heading3"/>
      </w:pPr>
      <w:bookmarkStart w:id="128" w:name="_Toc356240453"/>
      <w:bookmarkStart w:id="129" w:name="_Toc484164352"/>
      <w:r w:rsidRPr="00656E7D">
        <w:t>5.1.1</w:t>
      </w:r>
      <w:r w:rsidRPr="00656E7D">
        <w:tab/>
        <w:t xml:space="preserve">Progress in the phase-out of ODS in </w:t>
      </w:r>
      <w:bookmarkEnd w:id="128"/>
      <w:r w:rsidR="009E555F">
        <w:t>MDIs</w:t>
      </w:r>
      <w:bookmarkEnd w:id="129"/>
    </w:p>
    <w:p w14:paraId="1C05B83B" w14:textId="03BF4C4B" w:rsidR="0010207A" w:rsidRPr="00C65261" w:rsidRDefault="0010207A" w:rsidP="00A140B1">
      <w:r w:rsidRPr="00C65261">
        <w:t xml:space="preserve">The global transition away from </w:t>
      </w:r>
      <w:r w:rsidR="008425C0">
        <w:t>chlorofluorocarbon (</w:t>
      </w:r>
      <w:r w:rsidRPr="00C65261">
        <w:t>CFC</w:t>
      </w:r>
      <w:r w:rsidR="008425C0">
        <w:t>) metered-dose inhalers</w:t>
      </w:r>
      <w:r w:rsidR="009E555F">
        <w:t xml:space="preserve"> </w:t>
      </w:r>
      <w:r w:rsidR="008425C0">
        <w:t>(</w:t>
      </w:r>
      <w:r w:rsidRPr="00C65261">
        <w:t>MDIs</w:t>
      </w:r>
      <w:r w:rsidR="008425C0">
        <w:t>)</w:t>
      </w:r>
      <w:r w:rsidRPr="00C65261">
        <w:t xml:space="preserve"> is almost complete. In 2015, the total quantity of CFCs used globally to manufacture MDIs was 210 tonnes. </w:t>
      </w:r>
      <w:r>
        <w:t>Quantities were not available for 2016 because accounting frameworks were not reported, although quantities would be expected to be less than 200 tonnes. This compares with</w:t>
      </w:r>
      <w:r w:rsidRPr="00C65261">
        <w:t xml:space="preserve"> 1997 when global annual CFC use for MDI manufacture peaked at about 10,000 tonnes</w:t>
      </w:r>
      <w:r>
        <w:t xml:space="preserve">, and </w:t>
      </w:r>
      <w:r w:rsidRPr="00C65261">
        <w:t xml:space="preserve">also with about </w:t>
      </w:r>
      <w:r>
        <w:t>11</w:t>
      </w:r>
      <w:r w:rsidRPr="00861496">
        <w:t>,</w:t>
      </w:r>
      <w:r>
        <w:t>250</w:t>
      </w:r>
      <w:r w:rsidRPr="00861496">
        <w:t xml:space="preserve"> </w:t>
      </w:r>
      <w:r w:rsidRPr="00C65261">
        <w:t xml:space="preserve">tonnes of hydrofluorocarbons (HFCs) </w:t>
      </w:r>
      <w:r>
        <w:t>used to manufacture MDIs in 2016</w:t>
      </w:r>
      <w:r>
        <w:rPr>
          <w:rStyle w:val="FootnoteReference"/>
        </w:rPr>
        <w:footnoteReference w:id="1"/>
      </w:r>
      <w:r w:rsidRPr="00C65261">
        <w:t>.</w:t>
      </w:r>
    </w:p>
    <w:p w14:paraId="22797352" w14:textId="77777777" w:rsidR="0010207A" w:rsidRPr="00C65261" w:rsidRDefault="0010207A" w:rsidP="00A140B1">
      <w:r w:rsidRPr="00C65261">
        <w:t xml:space="preserve">Manufacturing transition is moving towards completion in the last remaining countries, China and Russia. </w:t>
      </w:r>
      <w:r>
        <w:t>No CFCs have been produced for MDI manufacture since 2014.</w:t>
      </w:r>
      <w:r w:rsidRPr="00C65261">
        <w:t xml:space="preserve"> </w:t>
      </w:r>
      <w:r>
        <w:t>For</w:t>
      </w:r>
      <w:r w:rsidRPr="00C65261">
        <w:t xml:space="preserve"> both China and Russia, CFC MDIs were manufactured entirely from CFC stockpiles in </w:t>
      </w:r>
      <w:r>
        <w:t>2015 and 2016</w:t>
      </w:r>
      <w:r w:rsidRPr="00C65261">
        <w:t xml:space="preserve">. </w:t>
      </w:r>
    </w:p>
    <w:p w14:paraId="2849D9FF" w14:textId="77777777" w:rsidR="0010207A" w:rsidRPr="00C65261" w:rsidRDefault="0010207A" w:rsidP="00A140B1">
      <w:r w:rsidRPr="00C65261">
        <w:t xml:space="preserve">Proprietary non-MDI devices in development and on the market have continued to diversify and multiply, and companies are investing in their own unique delivery technologies. Nevertheless, the MDI has remained a mainstay of inhaled therapy. </w:t>
      </w:r>
    </w:p>
    <w:p w14:paraId="343CD0DF" w14:textId="58670129" w:rsidR="0010207A" w:rsidRPr="00C33FF9" w:rsidRDefault="0010207A" w:rsidP="00A140B1">
      <w:pPr>
        <w:rPr>
          <w:lang w:val="en-US"/>
        </w:rPr>
      </w:pPr>
      <w:r w:rsidRPr="00C33FF9">
        <w:rPr>
          <w:lang w:val="en-US"/>
        </w:rPr>
        <w:t xml:space="preserve">Alternate propellants with lower </w:t>
      </w:r>
      <w:r w:rsidR="009E555F">
        <w:rPr>
          <w:lang w:val="en-US"/>
        </w:rPr>
        <w:t>GWP</w:t>
      </w:r>
      <w:r w:rsidRPr="00C33FF9">
        <w:rPr>
          <w:lang w:val="en-US"/>
        </w:rPr>
        <w:t xml:space="preserve"> than HFC-134a and -</w:t>
      </w:r>
      <w:r w:rsidRPr="00BC7FEB">
        <w:rPr>
          <w:lang w:val="en-US"/>
        </w:rPr>
        <w:t>227ea</w:t>
      </w:r>
      <w:r w:rsidRPr="00C33FF9">
        <w:rPr>
          <w:lang w:val="en-US"/>
        </w:rPr>
        <w:t xml:space="preserve"> are being considered for MDIs. Research and development for any new therapeutic inhalational product is a lengthy and resource-intensive process, especially when this involves a propellant</w:t>
      </w:r>
      <w:r w:rsidRPr="00BC7FEB">
        <w:rPr>
          <w:lang w:val="en-US"/>
        </w:rPr>
        <w:t xml:space="preserve"> not previously used in an inhalational medicine. </w:t>
      </w:r>
    </w:p>
    <w:p w14:paraId="1C25CE8F" w14:textId="53D57035" w:rsidR="0010207A" w:rsidRPr="00C33FF9" w:rsidRDefault="0010207A" w:rsidP="00A140B1">
      <w:pPr>
        <w:rPr>
          <w:lang w:val="en-US"/>
        </w:rPr>
      </w:pPr>
      <w:r w:rsidRPr="00BC7FEB">
        <w:rPr>
          <w:lang w:val="en-US"/>
        </w:rPr>
        <w:t>One chemical company</w:t>
      </w:r>
      <w:r w:rsidRPr="00C33FF9">
        <w:rPr>
          <w:lang w:val="en-US"/>
        </w:rPr>
        <w:t xml:space="preserve"> has recently reported research and development to investigate HFC-152a as a possible MDI propellant with lower global warming potential than HFC-134a (~5-6% of HFC-134a). HFC-152a is a colourless and odourless gas that is already manufactured </w:t>
      </w:r>
      <w:r w:rsidRPr="00BC7FEB">
        <w:rPr>
          <w:lang w:val="en-US"/>
        </w:rPr>
        <w:t>in large volumes</w:t>
      </w:r>
      <w:r w:rsidRPr="00C33FF9">
        <w:rPr>
          <w:lang w:val="en-US"/>
        </w:rPr>
        <w:t xml:space="preserve"> and widely used in a number of non-medical </w:t>
      </w:r>
      <w:r w:rsidRPr="00BC7FEB">
        <w:rPr>
          <w:lang w:val="en-US"/>
        </w:rPr>
        <w:t>applications</w:t>
      </w:r>
      <w:r w:rsidRPr="00C33FF9">
        <w:rPr>
          <w:lang w:val="en-US"/>
        </w:rPr>
        <w:t xml:space="preserve">, and shows some promising MDI formulation benefits in initial research. HFC-152a is flammable and therefore its adoption would require MDI manufacturing to address safety. Inhalation safety and toxicology studies are underway and, until these are completed, its potential is uncertain. </w:t>
      </w:r>
    </w:p>
    <w:p w14:paraId="71720BBA" w14:textId="57D31BA9" w:rsidR="0010207A" w:rsidRDefault="0010207A" w:rsidP="00A140B1">
      <w:pPr>
        <w:rPr>
          <w:lang w:val="en-US"/>
        </w:rPr>
      </w:pPr>
      <w:r w:rsidRPr="00BC7FEB">
        <w:rPr>
          <w:lang w:val="en-US"/>
        </w:rPr>
        <w:t>Another chemical company</w:t>
      </w:r>
      <w:r w:rsidRPr="00C33FF9">
        <w:rPr>
          <w:lang w:val="en-US"/>
        </w:rPr>
        <w:t xml:space="preserve"> has also started research and development to investigate HFO-1234ze as a possible propellant </w:t>
      </w:r>
      <w:r w:rsidRPr="00BC7FEB">
        <w:rPr>
          <w:lang w:val="en-US"/>
        </w:rPr>
        <w:t xml:space="preserve">for use in MDIs </w:t>
      </w:r>
      <w:r w:rsidRPr="00C33FF9">
        <w:rPr>
          <w:lang w:val="en-US"/>
        </w:rPr>
        <w:t xml:space="preserve">with lower global warming potential than HFC-134a (&lt;1% of HFC-134a). HFO-1234ze is a colourless and odourless gas that is </w:t>
      </w:r>
      <w:r w:rsidRPr="00BC7FEB">
        <w:rPr>
          <w:lang w:val="en-US"/>
        </w:rPr>
        <w:t>commercially available</w:t>
      </w:r>
      <w:r w:rsidRPr="00C33FF9">
        <w:rPr>
          <w:lang w:val="en-US"/>
        </w:rPr>
        <w:t xml:space="preserve"> and used in a number of non-medical </w:t>
      </w:r>
      <w:r w:rsidRPr="00BC7FEB">
        <w:rPr>
          <w:lang w:val="en-US"/>
        </w:rPr>
        <w:t>applications.</w:t>
      </w:r>
      <w:r w:rsidRPr="00C33FF9">
        <w:rPr>
          <w:lang w:val="en-US"/>
        </w:rPr>
        <w:t xml:space="preserve"> HFO-1234ze is </w:t>
      </w:r>
      <w:r w:rsidRPr="00C33FF9">
        <w:rPr>
          <w:lang w:val="en-AU"/>
        </w:rPr>
        <w:t>designated as a Class 2.2 non-flammable liquefied gas</w:t>
      </w:r>
      <w:r w:rsidRPr="00BC7FEB">
        <w:rPr>
          <w:lang w:val="en-AU"/>
        </w:rPr>
        <w:t xml:space="preserve">. Although classified as non-flammable under standard tests, HFO-1234ze has </w:t>
      </w:r>
      <w:r w:rsidRPr="00C33FF9">
        <w:rPr>
          <w:lang w:val="en-AU"/>
        </w:rPr>
        <w:t xml:space="preserve">a flammable range of 8.0-8.5 volume </w:t>
      </w:r>
      <w:r w:rsidRPr="00BC7FEB">
        <w:rPr>
          <w:lang w:val="en-AU"/>
        </w:rPr>
        <w:t>per cent</w:t>
      </w:r>
      <w:r w:rsidRPr="00C33FF9">
        <w:rPr>
          <w:lang w:val="en-AU"/>
        </w:rPr>
        <w:t xml:space="preserve"> in air at one atmosphere under certain conditions</w:t>
      </w:r>
      <w:r w:rsidRPr="00BC7FEB">
        <w:rPr>
          <w:rStyle w:val="FootnoteReference"/>
          <w:lang w:val="en-AU"/>
        </w:rPr>
        <w:footnoteReference w:id="2"/>
      </w:r>
      <w:r w:rsidRPr="00BC7FEB">
        <w:rPr>
          <w:lang w:val="en-AU"/>
        </w:rPr>
        <w:t>, and, like HFC-152a, its adoption would require MDI manufacturing to address safety.</w:t>
      </w:r>
      <w:r w:rsidRPr="00C33FF9">
        <w:rPr>
          <w:lang w:val="en-AU"/>
        </w:rPr>
        <w:t xml:space="preserve"> </w:t>
      </w:r>
      <w:r w:rsidRPr="00C33FF9">
        <w:rPr>
          <w:lang w:val="en-US"/>
        </w:rPr>
        <w:t xml:space="preserve">This propellant is being investigated as to its suitability </w:t>
      </w:r>
      <w:r w:rsidRPr="00BC7FEB">
        <w:rPr>
          <w:lang w:val="en-US"/>
        </w:rPr>
        <w:t xml:space="preserve">as an alternate propellant in MDIs, and, as with HFC-152a, will require toxicology and inhalational safety studies. </w:t>
      </w:r>
    </w:p>
    <w:p w14:paraId="6FA24893" w14:textId="58D90872" w:rsidR="00656E7D" w:rsidRPr="00656E7D" w:rsidRDefault="0010207A" w:rsidP="00A140B1">
      <w:r w:rsidRPr="00C33FF9">
        <w:rPr>
          <w:lang w:val="en-US"/>
        </w:rPr>
        <w:t xml:space="preserve">More information </w:t>
      </w:r>
      <w:r w:rsidRPr="00BC7FEB">
        <w:rPr>
          <w:lang w:val="en-US"/>
        </w:rPr>
        <w:t xml:space="preserve">on both of these alternate propellants can </w:t>
      </w:r>
      <w:r w:rsidRPr="00C33FF9">
        <w:rPr>
          <w:lang w:val="en-US"/>
        </w:rPr>
        <w:t xml:space="preserve">be reported </w:t>
      </w:r>
      <w:r w:rsidRPr="00BC7FEB">
        <w:rPr>
          <w:lang w:val="en-US"/>
        </w:rPr>
        <w:t xml:space="preserve">if or </w:t>
      </w:r>
      <w:r w:rsidRPr="00C33FF9">
        <w:rPr>
          <w:lang w:val="en-US"/>
        </w:rPr>
        <w:t>when it becomes available.</w:t>
      </w:r>
    </w:p>
    <w:p w14:paraId="3FC71BE6" w14:textId="77777777" w:rsidR="00656E7D" w:rsidRPr="00656E7D" w:rsidRDefault="00656E7D" w:rsidP="00413E4A">
      <w:pPr>
        <w:pStyle w:val="Heading3"/>
      </w:pPr>
      <w:bookmarkStart w:id="130" w:name="_Toc356240454"/>
      <w:bookmarkStart w:id="131" w:name="_Toc484164353"/>
      <w:r w:rsidRPr="00656E7D">
        <w:lastRenderedPageBreak/>
        <w:t>5.1.2</w:t>
      </w:r>
      <w:r w:rsidRPr="00656E7D">
        <w:tab/>
        <w:t>Status of CFCs produced under essential use exemptions for the manufacture of MDIs</w:t>
      </w:r>
      <w:bookmarkEnd w:id="130"/>
      <w:bookmarkEnd w:id="131"/>
    </w:p>
    <w:p w14:paraId="548620FE" w14:textId="77777777" w:rsidR="00656E7D" w:rsidRPr="00656E7D" w:rsidRDefault="00656E7D" w:rsidP="00A140B1">
      <w:r w:rsidRPr="00656E7D">
        <w:t>This section provides available information on CFCs produced for the manufacture of MDIs under previously authorised essential use exemptions. This information was gathered through informal MCTOC consultations, not through reporting accounting frameworks.</w:t>
      </w:r>
    </w:p>
    <w:p w14:paraId="38AC9354" w14:textId="77777777" w:rsidR="00656E7D" w:rsidRPr="00656E7D" w:rsidRDefault="00656E7D" w:rsidP="00413E4A">
      <w:pPr>
        <w:pStyle w:val="Heading4"/>
      </w:pPr>
      <w:bookmarkStart w:id="132" w:name="_Toc483916027"/>
      <w:r w:rsidRPr="00656E7D">
        <w:t>5.1.2.1</w:t>
      </w:r>
      <w:r w:rsidRPr="00656E7D">
        <w:tab/>
        <w:t>Argentina</w:t>
      </w:r>
      <w:bookmarkEnd w:id="132"/>
      <w:r w:rsidRPr="00656E7D">
        <w:t xml:space="preserve"> </w:t>
      </w:r>
    </w:p>
    <w:p w14:paraId="4F9CDC4D" w14:textId="635E8922" w:rsidR="00656E7D" w:rsidRPr="00656E7D" w:rsidRDefault="00656E7D" w:rsidP="00A140B1">
      <w:r w:rsidRPr="00656E7D">
        <w:t xml:space="preserve">Argentina’s essential use exemption was authorised by </w:t>
      </w:r>
      <w:r w:rsidR="008425C0">
        <w:t>p</w:t>
      </w:r>
      <w:r w:rsidRPr="00656E7D">
        <w:t>arties for 2012. Argentina’s accounting framework for 2012 showed CFC stocks on hand at the end of 2012 of about 5 tonnes.</w:t>
      </w:r>
    </w:p>
    <w:p w14:paraId="4FBC4732" w14:textId="77777777" w:rsidR="00656E7D" w:rsidRPr="00656E7D" w:rsidRDefault="00656E7D" w:rsidP="00A140B1">
      <w:r w:rsidRPr="00656E7D">
        <w:t xml:space="preserve">All the companies except one in Argentina opted for technologies using HFC-134a as the excipient in their MDIs. Laboratorio Pablo Cassará initially converted its salbutamol MDI production to HFCs, but has been implementing an MLF project to use iso-butane as the propellant. MCTOC reported previously that Laboratorio Pablo Cassará planned to launch its first salbutamol isobutane MDI in 2016. According to information obtained from the Secretary of Industry, Laboratorio Pablo Cassará completed research in 2015 and submitted the results to the national regulatory agency (ANMAT) in order to get approval of that new formulation; at the present time, there is no news about any final decisions, or the date when, if approved, this product would be launched into the market. </w:t>
      </w:r>
    </w:p>
    <w:p w14:paraId="05041F1C" w14:textId="77777777" w:rsidR="00656E7D" w:rsidRPr="00656E7D" w:rsidRDefault="00656E7D" w:rsidP="00413E4A">
      <w:pPr>
        <w:pStyle w:val="Heading4"/>
      </w:pPr>
      <w:bookmarkStart w:id="133" w:name="_Toc483916028"/>
      <w:r w:rsidRPr="00656E7D">
        <w:t>5.1.2.2</w:t>
      </w:r>
      <w:r w:rsidRPr="00656E7D">
        <w:tab/>
        <w:t>China</w:t>
      </w:r>
      <w:bookmarkEnd w:id="133"/>
    </w:p>
    <w:p w14:paraId="0A2A35C4" w14:textId="715A34C1" w:rsidR="00656E7D" w:rsidRPr="00656E7D" w:rsidRDefault="00656E7D" w:rsidP="00A140B1">
      <w:r w:rsidRPr="00656E7D">
        <w:t xml:space="preserve">Parties authorised an essential use exemption of 182.61 tonnes of CFCs for the manufacture of MDIs in China for 2015. According to China’s accounting framework for 2015, China did not produce any CFCs under its exemption that year, and used 124.04 tonnes CFCs for MDI manufacture supplied from its stockpile, with </w:t>
      </w:r>
      <w:r w:rsidRPr="00656E7D">
        <w:rPr>
          <w:rFonts w:hint="eastAsia"/>
        </w:rPr>
        <w:t>391.86</w:t>
      </w:r>
      <w:r w:rsidRPr="00656E7D">
        <w:t xml:space="preserve"> tonnes remaining in stockpile at the end of 2015. Consumption in 2014 and 2015 continued a consistent downward trend, and less in both years than </w:t>
      </w:r>
      <w:r w:rsidR="00BF2381">
        <w:t>the CFC quantity authorized by p</w:t>
      </w:r>
      <w:r w:rsidRPr="00656E7D">
        <w:t>arties for China for 2015 (182.62 tonnes).</w:t>
      </w:r>
    </w:p>
    <w:p w14:paraId="105D4359" w14:textId="78851444" w:rsidR="00656E7D" w:rsidRPr="00656E7D" w:rsidRDefault="00656E7D" w:rsidP="00A140B1">
      <w:r w:rsidRPr="00656E7D">
        <w:t xml:space="preserve">China stated in its phase-out strategy that 2015 would be the last year in which salbutamol CFC MDIs would be manufactured, with the intent of providing sufficient product to allow salbutamol HFC and CFC MDIs to co-exist over a subsequent transition period of one year, and a complete phase-out of salbutamol CFC MDIs by December 31, 2016. Nevertheless, China continued to use CFCs to manufacture salbutamol MDIs in 2016. Among 12 manufacturers, 2 or 3 have been approved licenses to manufacture non-CFC MDIs, while others are waiting for approval. Salbutamol CFC MDIs make up the large majority of CFC demand in China (about 85 per cent of the 2015 nomination). Beclomethasone and other active ingredients make up the remainder of CFC demand for MDI manufacture. For beclomethasone and other active ingredients, China has stated in its phase-out strategy that 2016 would be the last year to manufacture CFC MDIs, with complete phase-out by </w:t>
      </w:r>
      <w:r w:rsidR="009E555F">
        <w:t xml:space="preserve">31 </w:t>
      </w:r>
      <w:r w:rsidRPr="00656E7D">
        <w:t xml:space="preserve">December 2017. </w:t>
      </w:r>
    </w:p>
    <w:p w14:paraId="64ED6813" w14:textId="77777777" w:rsidR="00656E7D" w:rsidRPr="00656E7D" w:rsidRDefault="00656E7D" w:rsidP="00A140B1">
      <w:r w:rsidRPr="00656E7D">
        <w:t>China used 120.65 tonnes CFCs for the manufacture of CFC MDIs in 2016, which implies through arithmetic that remaining CFC stockpile is 271.21 tonnes (assuming no destruction), although remaining stockpile is thought to be about 136 tonnes. Given recent consumption trends, China’s estimated CFC stockpile at the end of 2016 could be equivalent to another 1-2 years supply (2017-2018). The quantity of CFCs in the stockpile may lead to:</w:t>
      </w:r>
    </w:p>
    <w:p w14:paraId="02BE8A55" w14:textId="77777777" w:rsidR="00656E7D" w:rsidRDefault="00656E7D" w:rsidP="00A140B1">
      <w:pPr>
        <w:pStyle w:val="ListParagraph"/>
        <w:numPr>
          <w:ilvl w:val="0"/>
          <w:numId w:val="66"/>
        </w:numPr>
        <w:ind w:firstLineChars="0"/>
        <w:jc w:val="left"/>
        <w:rPr>
          <w:rFonts w:ascii="Times New Roman" w:hAnsi="Times New Roman"/>
          <w:sz w:val="22"/>
        </w:rPr>
      </w:pPr>
      <w:r w:rsidRPr="00351235">
        <w:rPr>
          <w:rFonts w:ascii="Times New Roman" w:hAnsi="Times New Roman"/>
          <w:sz w:val="22"/>
        </w:rPr>
        <w:t>CFC MDIs being manufactured and supplied for longer than is projected by China’s phase-out strategy or in quantities that might disrupt smooth transition; and/or</w:t>
      </w:r>
    </w:p>
    <w:p w14:paraId="17EFC1B5" w14:textId="77777777" w:rsidR="00351235" w:rsidRPr="00351235" w:rsidRDefault="00351235" w:rsidP="00A140B1">
      <w:pPr>
        <w:pStyle w:val="ListParagraph"/>
        <w:ind w:left="720" w:firstLineChars="0" w:firstLine="0"/>
        <w:jc w:val="left"/>
        <w:rPr>
          <w:rFonts w:ascii="Times New Roman" w:hAnsi="Times New Roman"/>
          <w:sz w:val="22"/>
        </w:rPr>
      </w:pPr>
    </w:p>
    <w:p w14:paraId="62CD81CB" w14:textId="2CA6B9D7" w:rsidR="00656E7D" w:rsidRDefault="00656E7D" w:rsidP="00A140B1">
      <w:pPr>
        <w:pStyle w:val="ListParagraph"/>
        <w:numPr>
          <w:ilvl w:val="0"/>
          <w:numId w:val="66"/>
        </w:numPr>
        <w:ind w:firstLineChars="0"/>
        <w:jc w:val="left"/>
        <w:rPr>
          <w:rFonts w:ascii="Times New Roman" w:hAnsi="Times New Roman"/>
          <w:sz w:val="22"/>
        </w:rPr>
      </w:pPr>
      <w:r w:rsidRPr="00351235">
        <w:rPr>
          <w:rFonts w:ascii="Times New Roman" w:hAnsi="Times New Roman"/>
          <w:sz w:val="22"/>
        </w:rPr>
        <w:t>The need for destruction of CFCs</w:t>
      </w:r>
      <w:r w:rsidR="00BF2381">
        <w:rPr>
          <w:rFonts w:ascii="Times New Roman" w:hAnsi="Times New Roman"/>
          <w:sz w:val="22"/>
        </w:rPr>
        <w:t>.</w:t>
      </w:r>
    </w:p>
    <w:p w14:paraId="4D3F7EC9" w14:textId="77777777" w:rsidR="00351235" w:rsidRPr="00351235" w:rsidRDefault="00351235" w:rsidP="00A140B1">
      <w:pPr>
        <w:pStyle w:val="ListParagraph"/>
        <w:ind w:left="720" w:firstLineChars="0" w:firstLine="0"/>
        <w:jc w:val="left"/>
        <w:rPr>
          <w:rFonts w:ascii="Times New Roman" w:hAnsi="Times New Roman"/>
          <w:sz w:val="22"/>
        </w:rPr>
      </w:pPr>
    </w:p>
    <w:p w14:paraId="00F93B51" w14:textId="77777777" w:rsidR="00656E7D" w:rsidRPr="00656E7D" w:rsidRDefault="00656E7D" w:rsidP="00A140B1">
      <w:r w:rsidRPr="00656E7D">
        <w:lastRenderedPageBreak/>
        <w:t>China has stated that its CFC manufacturer has made a commitment that all CFCs produced under the quota issued by the authorities will be used for MDI purposes only, and any remaining substances, if not used in MDI applications will be treated in an environmentally harmless way.</w:t>
      </w:r>
    </w:p>
    <w:p w14:paraId="7465527D" w14:textId="77777777" w:rsidR="00656E7D" w:rsidRPr="00656E7D" w:rsidRDefault="00656E7D" w:rsidP="00413E4A">
      <w:pPr>
        <w:pStyle w:val="Heading4"/>
      </w:pPr>
      <w:bookmarkStart w:id="134" w:name="_Toc483916029"/>
      <w:r w:rsidRPr="00656E7D">
        <w:t>5.1.2.3</w:t>
      </w:r>
      <w:r w:rsidRPr="00656E7D">
        <w:tab/>
        <w:t>Russian Federation</w:t>
      </w:r>
      <w:bookmarkEnd w:id="134"/>
    </w:p>
    <w:p w14:paraId="6E1A6ADD" w14:textId="77777777" w:rsidR="00656E7D" w:rsidRPr="00656E7D" w:rsidRDefault="00656E7D" w:rsidP="00A140B1">
      <w:r w:rsidRPr="00656E7D">
        <w:t xml:space="preserve">Parties authorised an essential use exemption of 212 tonnes of CFCs to the Russian Federation for the manufacture of MDIs for 2014. The Russian Federation has not submitted any further nominations, in line with the announcement that its nomination for 2014 would be its last. An accounting framework was provided for 2015. At the end of 2015, 88.76 tonnes of CFCs were remaining in stockpile. </w:t>
      </w:r>
    </w:p>
    <w:p w14:paraId="0682836B" w14:textId="77777777" w:rsidR="00656E7D" w:rsidRPr="00656E7D" w:rsidRDefault="00656E7D" w:rsidP="00A140B1">
      <w:r w:rsidRPr="00656E7D">
        <w:t xml:space="preserve">Russia is in the final stages of manufacturing conversion to HFC MDIs. Both Russian MDI manufacturers have developed and started sales of salbutamol HFC MDIs, but continue also to produce in parallel salbutamol CFC MDIs. CFC-based production was rather small in 2016, with some CFC inventory remaining at the end of 2016 to be used in salbutamol production in 2017. Both companies will use all of the remaining available CFCs for their MDI production. </w:t>
      </w:r>
    </w:p>
    <w:p w14:paraId="57F85F56" w14:textId="77777777" w:rsidR="00656E7D" w:rsidRPr="00656E7D" w:rsidRDefault="00656E7D" w:rsidP="00413E4A">
      <w:pPr>
        <w:pStyle w:val="Heading3"/>
      </w:pPr>
      <w:bookmarkStart w:id="135" w:name="_Toc356240455"/>
      <w:bookmarkStart w:id="136" w:name="_Toc484164354"/>
      <w:r w:rsidRPr="00656E7D">
        <w:t>5.1.3</w:t>
      </w:r>
      <w:r w:rsidRPr="00656E7D">
        <w:tab/>
        <w:t>Developments in the phase-out of ODS in medical aerosols, and sterilants</w:t>
      </w:r>
      <w:bookmarkEnd w:id="135"/>
      <w:bookmarkEnd w:id="136"/>
    </w:p>
    <w:p w14:paraId="6E6E3A4F" w14:textId="77777777" w:rsidR="00656E7D" w:rsidRPr="00656E7D" w:rsidRDefault="00656E7D" w:rsidP="00A140B1">
      <w:r w:rsidRPr="00656E7D">
        <w:t>Available information indicates that hydrochlorofluorocarbon (HCFC) use in medical aerosols in China could be about 2,500 tonnes, using HCFC-22 and HCFC-141b. The complete phase-out of HCFCs in sterilization uses to meet the Montreal Protocol schedule is readily achievable.</w:t>
      </w:r>
    </w:p>
    <w:p w14:paraId="15BFE143" w14:textId="77777777" w:rsidR="00656E7D" w:rsidRPr="00656E7D" w:rsidRDefault="00656E7D" w:rsidP="00413E4A">
      <w:pPr>
        <w:pStyle w:val="Heading2"/>
      </w:pPr>
      <w:bookmarkStart w:id="137" w:name="_Toc356240456"/>
      <w:bookmarkStart w:id="138" w:name="_Toc484164355"/>
      <w:r w:rsidRPr="00656E7D">
        <w:t>5.2.</w:t>
      </w:r>
      <w:r w:rsidRPr="00656E7D">
        <w:tab/>
        <w:t>Chemicals</w:t>
      </w:r>
      <w:bookmarkEnd w:id="137"/>
      <w:bookmarkEnd w:id="138"/>
    </w:p>
    <w:p w14:paraId="7D3184DA" w14:textId="77777777" w:rsidR="00656E7D" w:rsidRPr="00656E7D" w:rsidRDefault="00656E7D" w:rsidP="00413E4A">
      <w:pPr>
        <w:pStyle w:val="Heading3"/>
      </w:pPr>
      <w:bookmarkStart w:id="139" w:name="_Toc356240457"/>
      <w:bookmarkStart w:id="140" w:name="_Toc484164356"/>
      <w:r w:rsidRPr="00656E7D">
        <w:t>5.2.1</w:t>
      </w:r>
      <w:r w:rsidRPr="00656E7D">
        <w:tab/>
        <w:t>Essential use nomination of CTC for laboratory and analytical uses (“testing of oil, grease and total petroleum hydrocarbons in water”) by China for 2017</w:t>
      </w:r>
      <w:bookmarkEnd w:id="139"/>
      <w:bookmarkEnd w:id="140"/>
    </w:p>
    <w:p w14:paraId="5523CEE6" w14:textId="0F17BB12" w:rsidR="00497F61" w:rsidRDefault="00656E7D" w:rsidP="00A140B1">
      <w:r w:rsidRPr="00656E7D">
        <w:t>Quantities are expressed in metric tonnes.</w:t>
      </w:r>
    </w:p>
    <w:tbl>
      <w:tblPr>
        <w:tblStyle w:val="TableGrid"/>
        <w:tblW w:w="0" w:type="auto"/>
        <w:tblInd w:w="108" w:type="dxa"/>
        <w:tblLook w:val="04A0" w:firstRow="1" w:lastRow="0" w:firstColumn="1" w:lastColumn="0" w:noHBand="0" w:noVBand="1"/>
      </w:tblPr>
      <w:tblGrid>
        <w:gridCol w:w="1101"/>
        <w:gridCol w:w="2693"/>
        <w:gridCol w:w="2551"/>
      </w:tblGrid>
      <w:tr w:rsidR="00497F61" w:rsidRPr="00816DDC" w14:paraId="467F6C46" w14:textId="77777777" w:rsidTr="0015746F">
        <w:tc>
          <w:tcPr>
            <w:tcW w:w="1101" w:type="dxa"/>
          </w:tcPr>
          <w:p w14:paraId="5A7D8BBC" w14:textId="77777777" w:rsidR="00497F61" w:rsidRPr="00210126" w:rsidRDefault="00497F61" w:rsidP="00497F61">
            <w:pPr>
              <w:spacing w:after="0"/>
              <w:rPr>
                <w:rFonts w:cs="Times New Roman"/>
              </w:rPr>
            </w:pPr>
            <w:r w:rsidRPr="00816DDC">
              <w:t>Year</w:t>
            </w:r>
          </w:p>
        </w:tc>
        <w:tc>
          <w:tcPr>
            <w:tcW w:w="2693" w:type="dxa"/>
            <w:vAlign w:val="center"/>
          </w:tcPr>
          <w:p w14:paraId="1D669DDD" w14:textId="77777777" w:rsidR="00497F61" w:rsidRPr="00210126" w:rsidRDefault="00497F61" w:rsidP="0015746F">
            <w:pPr>
              <w:spacing w:after="0"/>
              <w:jc w:val="center"/>
              <w:rPr>
                <w:rFonts w:cs="Times New Roman"/>
              </w:rPr>
            </w:pPr>
            <w:r w:rsidRPr="00816DDC">
              <w:t>Controlled Substance</w:t>
            </w:r>
          </w:p>
        </w:tc>
        <w:tc>
          <w:tcPr>
            <w:tcW w:w="2551" w:type="dxa"/>
            <w:vAlign w:val="center"/>
          </w:tcPr>
          <w:p w14:paraId="04C2F6B7" w14:textId="77777777" w:rsidR="00497F61" w:rsidRPr="00210126" w:rsidRDefault="00497F61" w:rsidP="0015746F">
            <w:pPr>
              <w:spacing w:after="0"/>
              <w:jc w:val="center"/>
              <w:rPr>
                <w:rFonts w:cs="Times New Roman"/>
              </w:rPr>
            </w:pPr>
            <w:r w:rsidRPr="00816DDC">
              <w:t>Quantity nominated</w:t>
            </w:r>
          </w:p>
        </w:tc>
      </w:tr>
      <w:tr w:rsidR="00497F61" w:rsidRPr="00816DDC" w14:paraId="0EF12BA3" w14:textId="77777777" w:rsidTr="0015746F">
        <w:tc>
          <w:tcPr>
            <w:tcW w:w="1101" w:type="dxa"/>
          </w:tcPr>
          <w:p w14:paraId="21699033" w14:textId="77777777" w:rsidR="00497F61" w:rsidRPr="00210126" w:rsidRDefault="00497F61" w:rsidP="0036416F">
            <w:pPr>
              <w:spacing w:after="0"/>
              <w:rPr>
                <w:rFonts w:cs="Times New Roman"/>
              </w:rPr>
            </w:pPr>
            <w:r>
              <w:t>2018</w:t>
            </w:r>
          </w:p>
        </w:tc>
        <w:tc>
          <w:tcPr>
            <w:tcW w:w="2693" w:type="dxa"/>
            <w:vAlign w:val="center"/>
          </w:tcPr>
          <w:p w14:paraId="69CDB50A" w14:textId="77777777" w:rsidR="00497F61" w:rsidRPr="00210126" w:rsidRDefault="00497F61" w:rsidP="0015746F">
            <w:pPr>
              <w:spacing w:after="0"/>
              <w:jc w:val="center"/>
              <w:rPr>
                <w:rFonts w:cs="Times New Roman"/>
              </w:rPr>
            </w:pPr>
            <w:r w:rsidRPr="00816DDC">
              <w:t>CTC</w:t>
            </w:r>
          </w:p>
        </w:tc>
        <w:tc>
          <w:tcPr>
            <w:tcW w:w="2551" w:type="dxa"/>
            <w:vAlign w:val="center"/>
          </w:tcPr>
          <w:p w14:paraId="13A72989" w14:textId="77777777" w:rsidR="00497F61" w:rsidRPr="00210126" w:rsidRDefault="00497F61" w:rsidP="0015746F">
            <w:pPr>
              <w:spacing w:after="0"/>
              <w:jc w:val="center"/>
              <w:rPr>
                <w:rFonts w:cs="Times New Roman"/>
              </w:rPr>
            </w:pPr>
            <w:r w:rsidRPr="00816DDC">
              <w:t>65 tonnes</w:t>
            </w:r>
          </w:p>
        </w:tc>
      </w:tr>
    </w:tbl>
    <w:p w14:paraId="1C706D85" w14:textId="77777777" w:rsidR="00497F61" w:rsidRDefault="00497F61" w:rsidP="00E7263D">
      <w:pPr>
        <w:jc w:val="both"/>
        <w:rPr>
          <w:i/>
        </w:rPr>
      </w:pPr>
    </w:p>
    <w:p w14:paraId="508B5161" w14:textId="77777777" w:rsidR="00656E7D" w:rsidRPr="00656E7D" w:rsidRDefault="00656E7D" w:rsidP="00A140B1">
      <w:r w:rsidRPr="00351235">
        <w:rPr>
          <w:i/>
        </w:rPr>
        <w:t>Specific Use:</w:t>
      </w:r>
      <w:r w:rsidRPr="00656E7D">
        <w:t xml:space="preserve"> Laboratory and analytical uses for the testing of oil, grease and total petroleum hydrocarbons in water (hereinafter referred to as “oil in water”).</w:t>
      </w:r>
    </w:p>
    <w:p w14:paraId="0BBDDCBE" w14:textId="77777777" w:rsidR="00656E7D" w:rsidRPr="00E7263D" w:rsidRDefault="00656E7D" w:rsidP="00A140B1">
      <w:pPr>
        <w:rPr>
          <w:b/>
        </w:rPr>
      </w:pPr>
      <w:r w:rsidRPr="00351235">
        <w:rPr>
          <w:i/>
        </w:rPr>
        <w:t>Recommendation</w:t>
      </w:r>
      <w:r w:rsidRPr="00351235">
        <w:t>: Recommend</w:t>
      </w:r>
      <w:r w:rsidRPr="00E7263D">
        <w:rPr>
          <w:b/>
        </w:rPr>
        <w:t xml:space="preserve"> </w:t>
      </w:r>
    </w:p>
    <w:p w14:paraId="0DCA2B16" w14:textId="77777777" w:rsidR="00656E7D" w:rsidRPr="00656E7D" w:rsidRDefault="00656E7D" w:rsidP="00413E4A">
      <w:pPr>
        <w:pStyle w:val="Heading4"/>
      </w:pPr>
      <w:bookmarkStart w:id="141" w:name="_Toc483916033"/>
      <w:r w:rsidRPr="00656E7D">
        <w:t>5.2.1.1</w:t>
      </w:r>
      <w:r w:rsidRPr="00656E7D">
        <w:tab/>
        <w:t>Introduction and background</w:t>
      </w:r>
      <w:bookmarkEnd w:id="141"/>
    </w:p>
    <w:p w14:paraId="1FE3981A" w14:textId="3BC4E555" w:rsidR="00656E7D" w:rsidRPr="00656E7D" w:rsidRDefault="00656E7D" w:rsidP="00A140B1">
      <w:r w:rsidRPr="00656E7D">
        <w:t xml:space="preserve">China is requesting continued use of </w:t>
      </w:r>
      <w:r w:rsidR="00BF2381">
        <w:t>carbon tetrachloride (</w:t>
      </w:r>
      <w:r w:rsidRPr="00656E7D">
        <w:t>CTC</w:t>
      </w:r>
      <w:r w:rsidR="00BF2381">
        <w:t>)</w:t>
      </w:r>
      <w:r w:rsidRPr="00656E7D">
        <w:t xml:space="preserve"> for laboratory and analytical uses for the testing of oil in water. Decision XXIII/6 specifies that after 31 December 2014, the use of CTC for the testing of oil in water would only be allowed under an essential use exemption. In </w:t>
      </w:r>
      <w:r w:rsidR="00BF2381">
        <w:t>accordance with this Decision, p</w:t>
      </w:r>
      <w:r w:rsidRPr="00656E7D">
        <w:t>arties authorised essential use exemptions for China for 80 tonnes, 70 tonnes, and 65 tonnes of CTC for 2015, 2016, and 2017 respectively. China has nominated 65 tonnes of CTC for the testing of oil in water for 2018, a reduction of almost 20% from 2015.</w:t>
      </w:r>
    </w:p>
    <w:p w14:paraId="794EDE41" w14:textId="77777777" w:rsidR="00656E7D" w:rsidRPr="00351235" w:rsidRDefault="00656E7D" w:rsidP="0015746F">
      <w:pPr>
        <w:keepNext/>
        <w:keepLines/>
        <w:rPr>
          <w:i/>
        </w:rPr>
      </w:pPr>
      <w:r w:rsidRPr="00351235">
        <w:rPr>
          <w:i/>
        </w:rPr>
        <w:lastRenderedPageBreak/>
        <w:t>Role in Society</w:t>
      </w:r>
    </w:p>
    <w:p w14:paraId="61B16862" w14:textId="77777777" w:rsidR="00656E7D" w:rsidRPr="00656E7D" w:rsidRDefault="00656E7D" w:rsidP="00A140B1">
      <w:r w:rsidRPr="00656E7D">
        <w:t xml:space="preserve">The oil in water test that is a fundamental requirement in monitoring water quality in China observes the national standard </w:t>
      </w:r>
      <w:r w:rsidRPr="00351235">
        <w:rPr>
          <w:i/>
        </w:rPr>
        <w:t>“HJ 637-2012 Water quality- Determination of petroleum oil, animal and vegetable oils- Infrared photometric method”</w:t>
      </w:r>
      <w:r w:rsidRPr="00656E7D">
        <w:t xml:space="preserve">, in which CTC is used as the extracting agent to extract oil substances which are then determined with the infrared oil monitoring instrument. This method is capable of testing petroleum oil, animal and vegetable oils and total petroleum hydrocarbons, including long chain petroleum hydrocarbons, fatty acids, and aromatic hydrocarbons. The required detection limit for this method is 0.04mg/L. </w:t>
      </w:r>
    </w:p>
    <w:p w14:paraId="6DFE72B5" w14:textId="77777777" w:rsidR="00656E7D" w:rsidRPr="00351235" w:rsidRDefault="00656E7D" w:rsidP="00A140B1">
      <w:pPr>
        <w:rPr>
          <w:i/>
        </w:rPr>
      </w:pPr>
      <w:r w:rsidRPr="00351235">
        <w:rPr>
          <w:i/>
        </w:rPr>
        <w:t>Alternatives and alternative technologies options</w:t>
      </w:r>
    </w:p>
    <w:p w14:paraId="5583744D" w14:textId="77777777" w:rsidR="00656E7D" w:rsidRPr="00656E7D" w:rsidRDefault="00656E7D" w:rsidP="00A140B1">
      <w:pPr>
        <w:rPr>
          <w:rFonts w:eastAsia="FangSong_GB2312"/>
        </w:rPr>
      </w:pPr>
      <w:r w:rsidRPr="00656E7D">
        <w:rPr>
          <w:rFonts w:eastAsia="FangSong_GB2312"/>
        </w:rPr>
        <w:t xml:space="preserve">The Ministry of Environmental Protection of China (MEP) has invited experts to conduct thorough research and assessment on the international oil in water test methods. In consideration of oil testing scope and detection limit, there is yet no alternative method to replace HJ 637-2012 standard in China. </w:t>
      </w:r>
    </w:p>
    <w:p w14:paraId="2F119334" w14:textId="77777777" w:rsidR="00656E7D" w:rsidRPr="00656E7D" w:rsidRDefault="00656E7D" w:rsidP="00A140B1">
      <w:pPr>
        <w:rPr>
          <w:rFonts w:eastAsia="FangSong_GB2312"/>
        </w:rPr>
      </w:pPr>
      <w:r w:rsidRPr="00656E7D">
        <w:rPr>
          <w:rFonts w:eastAsia="FangSong_GB2312"/>
        </w:rPr>
        <w:t xml:space="preserve">Given the fact that this standard is so widely applied, it might be the best technical route to replace CTC with non-ODS substance as the extracting agent, and maintain the same infrared photometric method, keeping its testing scope and detection limit. Over two years of tests, research and analyses, the technical route to replace CTC with tetrachloroethylene (PCE) has been eventually determined, which requires the revision of the standard HJ 637-2012. </w:t>
      </w:r>
    </w:p>
    <w:p w14:paraId="5048F493" w14:textId="77777777" w:rsidR="00656E7D" w:rsidRPr="00656E7D" w:rsidRDefault="00656E7D" w:rsidP="00A140B1">
      <w:pPr>
        <w:rPr>
          <w:rFonts w:eastAsia="FangSong_GB2312"/>
        </w:rPr>
      </w:pPr>
      <w:r w:rsidRPr="00656E7D">
        <w:rPr>
          <w:rFonts w:eastAsia="FangSong_GB2312"/>
        </w:rPr>
        <w:t>However, great challenges lie ahead in terms of reaching the detection limit of 0.04mg/L required by the standard HJ 637-2012. The method using PCE as the extracting agent has a detection limit of 0.1 mg/L.</w:t>
      </w:r>
    </w:p>
    <w:p w14:paraId="19DB9E92" w14:textId="77777777" w:rsidR="00656E7D" w:rsidRPr="00656E7D" w:rsidRDefault="00656E7D" w:rsidP="00A140B1">
      <w:pPr>
        <w:rPr>
          <w:rFonts w:eastAsia="FangSong_GB2312"/>
        </w:rPr>
      </w:pPr>
      <w:r w:rsidRPr="00656E7D">
        <w:rPr>
          <w:rFonts w:eastAsia="FangSong_GB2312"/>
        </w:rPr>
        <w:t xml:space="preserve">China has also been promoting other non-ODS standards. </w:t>
      </w:r>
      <w:r w:rsidRPr="00351235">
        <w:rPr>
          <w:i/>
        </w:rPr>
        <w:t>“Water quality- Determination of petroleum oil- Molecular fluorescence spectrometry (SL 366-2006)”</w:t>
      </w:r>
      <w:r w:rsidRPr="00656E7D">
        <w:t xml:space="preserve"> was released by the Ministry of Water Resources, which uses n-hexane as the extracting agent. </w:t>
      </w:r>
      <w:r w:rsidRPr="00351235">
        <w:rPr>
          <w:i/>
        </w:rPr>
        <w:t>“The specification for marine monitoring Part 4: Seawater analysis (GB/T 17378.4-2007)”</w:t>
      </w:r>
      <w:r w:rsidRPr="00656E7D">
        <w:t xml:space="preserve"> was implemented in 2008, which is used to measure oil pollution in marine, offshore and estuary waters. The standard uses spectrofluorimetry, UV spectrophotometry and gravimetric method, and the extracting agents are petroleum ether and cyclohexane. The revision of two related standards on monitoring methods, </w:t>
      </w:r>
      <w:r w:rsidRPr="00351235">
        <w:rPr>
          <w:i/>
        </w:rPr>
        <w:t>“Water quality- Determination of volatile petroleum hydrocarbons- Purge and Trap/Gas chromatography (C6-C9)</w:t>
      </w:r>
      <w:r w:rsidRPr="00656E7D">
        <w:t xml:space="preserve">” and </w:t>
      </w:r>
      <w:r w:rsidRPr="00351235">
        <w:rPr>
          <w:i/>
        </w:rPr>
        <w:t>“Water quality- Determination of extractable petroleum hydrocarbons- liquid-liquid extraction/Gas chromatography (C11-C40)</w:t>
      </w:r>
      <w:r w:rsidRPr="00656E7D">
        <w:t>” started in April 2014. The above-mentioned standards were released for public consultation in March 2017 and are expected to be issued in 2017. China has encouraged different industries or departments to apply specific standards for water quality monitoring based on actual needs and to test the use of alternative substances, to reduce the use of the standard HJ 637-2012 and C</w:t>
      </w:r>
      <w:r w:rsidRPr="00656E7D">
        <w:rPr>
          <w:rFonts w:eastAsia="FangSong_GB2312"/>
        </w:rPr>
        <w:t>TC emissions.</w:t>
      </w:r>
    </w:p>
    <w:p w14:paraId="6CC8BF98" w14:textId="79EBC304" w:rsidR="00656E7D" w:rsidRPr="00351235" w:rsidRDefault="00656E7D" w:rsidP="00A140B1">
      <w:pPr>
        <w:rPr>
          <w:i/>
        </w:rPr>
      </w:pPr>
      <w:r w:rsidRPr="00351235">
        <w:rPr>
          <w:i/>
        </w:rPr>
        <w:t>Steps to Minimize Use and Emissions</w:t>
      </w:r>
    </w:p>
    <w:p w14:paraId="6C6B2A58" w14:textId="77777777" w:rsidR="00656E7D" w:rsidRPr="00656E7D" w:rsidRDefault="00656E7D" w:rsidP="00A140B1">
      <w:r w:rsidRPr="00656E7D">
        <w:t xml:space="preserve">The described steps to minimize CTC usage and emissions look adequate, and the amount of recycled CTC increased recently from 20% to 30%. </w:t>
      </w:r>
    </w:p>
    <w:p w14:paraId="689DED98" w14:textId="77777777" w:rsidR="00656E7D" w:rsidRPr="00656E7D" w:rsidRDefault="00656E7D" w:rsidP="00413E4A">
      <w:pPr>
        <w:pStyle w:val="Heading4"/>
      </w:pPr>
      <w:bookmarkStart w:id="142" w:name="_Toc483916034"/>
      <w:r w:rsidRPr="00656E7D">
        <w:t>5.2.1.2</w:t>
      </w:r>
      <w:r w:rsidRPr="00656E7D">
        <w:tab/>
        <w:t>Comments</w:t>
      </w:r>
      <w:bookmarkEnd w:id="142"/>
    </w:p>
    <w:p w14:paraId="0DB0D32A" w14:textId="77777777" w:rsidR="00656E7D" w:rsidRPr="00656E7D" w:rsidRDefault="00656E7D" w:rsidP="00A140B1">
      <w:r w:rsidRPr="00656E7D">
        <w:t>MCTOC has reviewed the nomination for 65 tonnes of CTC for an essential use exemption for China for laboratory and analytical uses. MCTOC thanks China for its responses to the additional questions requested for clarification.</w:t>
      </w:r>
    </w:p>
    <w:p w14:paraId="53A197CC" w14:textId="77777777" w:rsidR="00656E7D" w:rsidRPr="00656E7D" w:rsidRDefault="00656E7D" w:rsidP="00A140B1">
      <w:r w:rsidRPr="00656E7D">
        <w:lastRenderedPageBreak/>
        <w:t>MCTOC also acknowledges that China has surveyed the international standards that are used globally for the measurement of varying levels of oil in water and do not use CTC.</w:t>
      </w:r>
    </w:p>
    <w:p w14:paraId="79494705" w14:textId="77777777" w:rsidR="00656E7D" w:rsidRPr="00656E7D" w:rsidRDefault="00656E7D" w:rsidP="00A140B1">
      <w:r w:rsidRPr="00656E7D">
        <w:t xml:space="preserve">MCTOC has reviewed the proposed alternative method of using purified tetrachloroethylene as a solvent for the analysis of oil in water. China is still in the process of establishing a method for the purification of tetrachloroethylene. Currently, China predicts that a revised new standard could be published in 2018, which is now one year later than the completion year proposed in 2016. </w:t>
      </w:r>
    </w:p>
    <w:p w14:paraId="0B3689D3" w14:textId="77777777" w:rsidR="00656E7D" w:rsidRPr="00656E7D" w:rsidRDefault="00656E7D" w:rsidP="00A140B1">
      <w:r w:rsidRPr="00656E7D">
        <w:t>The need to remove stabilizers and other chlorinated impurities, that otherwise would interfere with the analysis, could result in the need to generate purified tetrachloroethylene to a specific standard prior to every analysis. MCTOC is concerned that this could lead to a double process with the potential to cause errors. One option, if efforts to purify tetrachloroethylene prove to be unsuccessful, could be for China to consider using tetrachloroethylene from other sources that are free from impurities. If requested, MCTOC can assist with advice on possible supply options. Another option could be for the chemical companies supplying tetrachloroethlyene to purify the bulk chemical prior to supplying it to laboratories, rather than the purification step being required by many laboratory end users. There could be cost considerations in installing the necessary distillation columns for the relatively small quantities required for analytical purposes.</w:t>
      </w:r>
    </w:p>
    <w:p w14:paraId="465212A2" w14:textId="77777777" w:rsidR="00656E7D" w:rsidRPr="00656E7D" w:rsidRDefault="00656E7D" w:rsidP="00A140B1">
      <w:r w:rsidRPr="00656E7D">
        <w:t>The MCTOC further acknowledges that another ministry, that is the Ministry of Water Resources, has been promoting other non-ODS standards for water quality monitoring, some of which are under revision and due to be issued in 2017.  MCTOC would like to ask MEP in China if these standards could be applied to the monitoring of oil in water, which is the subject of this nomination.</w:t>
      </w:r>
    </w:p>
    <w:p w14:paraId="55A1A66B" w14:textId="77777777" w:rsidR="00656E7D" w:rsidRPr="00656E7D" w:rsidRDefault="00656E7D" w:rsidP="00A140B1">
      <w:r w:rsidRPr="00656E7D">
        <w:t xml:space="preserve">The MCTOC suggests that China continues to evaluate the possible use of currently available international or other national methods for the analysis of oil in water. </w:t>
      </w:r>
    </w:p>
    <w:p w14:paraId="357A4158" w14:textId="77777777" w:rsidR="00656E7D" w:rsidRPr="00656E7D" w:rsidRDefault="00656E7D" w:rsidP="00413E4A">
      <w:pPr>
        <w:pStyle w:val="Heading4"/>
      </w:pPr>
      <w:bookmarkStart w:id="143" w:name="_Toc483916035"/>
      <w:r w:rsidRPr="00656E7D">
        <w:t>5.2.1.3</w:t>
      </w:r>
      <w:r w:rsidRPr="00656E7D">
        <w:tab/>
        <w:t>Conclusions</w:t>
      </w:r>
      <w:bookmarkEnd w:id="143"/>
    </w:p>
    <w:p w14:paraId="2E29AB15" w14:textId="53466B67" w:rsidR="00656E7D" w:rsidRPr="00656E7D" w:rsidRDefault="00656E7D" w:rsidP="00A140B1">
      <w:r w:rsidRPr="00656E7D">
        <w:t xml:space="preserve">China is to be commended for its on-going efforts to find </w:t>
      </w:r>
      <w:proofErr w:type="gramStart"/>
      <w:r w:rsidRPr="00656E7D">
        <w:t>a</w:t>
      </w:r>
      <w:r w:rsidR="00BF2381">
        <w:t xml:space="preserve"> </w:t>
      </w:r>
      <w:r w:rsidRPr="00656E7D">
        <w:t>n</w:t>
      </w:r>
      <w:r w:rsidR="00BF2381">
        <w:t>on</w:t>
      </w:r>
      <w:proofErr w:type="gramEnd"/>
      <w:r w:rsidR="00BF2381">
        <w:t>-ODS</w:t>
      </w:r>
      <w:r w:rsidRPr="00656E7D">
        <w:t xml:space="preserve"> method for the analysis of oil in water. </w:t>
      </w:r>
    </w:p>
    <w:p w14:paraId="0F94FD81" w14:textId="59E6EFE2" w:rsidR="00656E7D" w:rsidRPr="00351235" w:rsidRDefault="00BF2381" w:rsidP="00A140B1">
      <w:pPr>
        <w:rPr>
          <w:b/>
        </w:rPr>
      </w:pPr>
      <w:r>
        <w:rPr>
          <w:b/>
        </w:rPr>
        <w:t>MCTOC recommends that p</w:t>
      </w:r>
      <w:r w:rsidR="00656E7D" w:rsidRPr="00351235">
        <w:rPr>
          <w:b/>
        </w:rPr>
        <w:t>arties authorise an essential use exemption for China for 2018, and requests that China, provides information on:</w:t>
      </w:r>
    </w:p>
    <w:p w14:paraId="61CDEC2B" w14:textId="77777777" w:rsidR="00656E7D" w:rsidRPr="00351235" w:rsidRDefault="00656E7D" w:rsidP="00A140B1">
      <w:pPr>
        <w:pStyle w:val="ListParagraph"/>
        <w:numPr>
          <w:ilvl w:val="0"/>
          <w:numId w:val="67"/>
        </w:numPr>
        <w:ind w:firstLineChars="0"/>
        <w:jc w:val="left"/>
        <w:rPr>
          <w:rFonts w:ascii="Times New Roman" w:hAnsi="Times New Roman"/>
          <w:b/>
          <w:sz w:val="22"/>
        </w:rPr>
      </w:pPr>
      <w:r w:rsidRPr="00351235">
        <w:rPr>
          <w:rFonts w:ascii="Times New Roman" w:hAnsi="Times New Roman"/>
          <w:b/>
          <w:sz w:val="22"/>
        </w:rPr>
        <w:t>Progress in the development of its method, including the purification of tetrachloroethylene;</w:t>
      </w:r>
    </w:p>
    <w:p w14:paraId="33EA1134" w14:textId="77777777" w:rsidR="00656E7D" w:rsidRPr="00351235" w:rsidRDefault="00656E7D" w:rsidP="00A140B1">
      <w:pPr>
        <w:pStyle w:val="ListParagraph"/>
        <w:numPr>
          <w:ilvl w:val="0"/>
          <w:numId w:val="67"/>
        </w:numPr>
        <w:ind w:firstLineChars="0"/>
        <w:jc w:val="left"/>
        <w:rPr>
          <w:rFonts w:ascii="Times New Roman" w:hAnsi="Times New Roman"/>
          <w:b/>
          <w:sz w:val="22"/>
        </w:rPr>
      </w:pPr>
      <w:r w:rsidRPr="00351235">
        <w:rPr>
          <w:rFonts w:ascii="Times New Roman" w:hAnsi="Times New Roman"/>
          <w:b/>
          <w:sz w:val="22"/>
        </w:rPr>
        <w:t xml:space="preserve">Progress with its studies of the purification of tetrachloroethylene and the associated required reagent stability (in September 2017); </w:t>
      </w:r>
    </w:p>
    <w:p w14:paraId="35A2BABA" w14:textId="77777777" w:rsidR="00656E7D" w:rsidRPr="00351235" w:rsidRDefault="00656E7D" w:rsidP="00A140B1">
      <w:pPr>
        <w:pStyle w:val="ListParagraph"/>
        <w:numPr>
          <w:ilvl w:val="0"/>
          <w:numId w:val="67"/>
        </w:numPr>
        <w:ind w:firstLineChars="0"/>
        <w:jc w:val="left"/>
        <w:rPr>
          <w:rFonts w:ascii="Times New Roman" w:hAnsi="Times New Roman"/>
          <w:b/>
          <w:sz w:val="22"/>
        </w:rPr>
      </w:pPr>
      <w:r w:rsidRPr="00351235">
        <w:rPr>
          <w:rFonts w:ascii="Times New Roman" w:hAnsi="Times New Roman"/>
          <w:b/>
          <w:sz w:val="22"/>
        </w:rPr>
        <w:t xml:space="preserve">Evaluation of available alternative sources of higher purity tetrachloroethylene; </w:t>
      </w:r>
    </w:p>
    <w:p w14:paraId="3EE24C4F" w14:textId="77777777" w:rsidR="00656E7D" w:rsidRPr="00351235" w:rsidRDefault="00656E7D" w:rsidP="00A140B1">
      <w:pPr>
        <w:pStyle w:val="ListParagraph"/>
        <w:numPr>
          <w:ilvl w:val="0"/>
          <w:numId w:val="67"/>
        </w:numPr>
        <w:ind w:firstLineChars="0"/>
        <w:jc w:val="left"/>
        <w:rPr>
          <w:rFonts w:ascii="Times New Roman" w:hAnsi="Times New Roman"/>
          <w:b/>
          <w:sz w:val="22"/>
        </w:rPr>
      </w:pPr>
      <w:r w:rsidRPr="00351235">
        <w:rPr>
          <w:rFonts w:ascii="Times New Roman" w:hAnsi="Times New Roman"/>
          <w:b/>
          <w:sz w:val="22"/>
        </w:rPr>
        <w:t>Any further evaluations regarding the use of international or other national analytical methods;</w:t>
      </w:r>
    </w:p>
    <w:p w14:paraId="0A964B45" w14:textId="77777777" w:rsidR="00656E7D" w:rsidRPr="00351235" w:rsidRDefault="00656E7D" w:rsidP="00A140B1">
      <w:pPr>
        <w:pStyle w:val="ListParagraph"/>
        <w:numPr>
          <w:ilvl w:val="0"/>
          <w:numId w:val="67"/>
        </w:numPr>
        <w:ind w:firstLineChars="0"/>
        <w:jc w:val="left"/>
        <w:rPr>
          <w:rFonts w:ascii="Times New Roman" w:hAnsi="Times New Roman"/>
          <w:b/>
          <w:sz w:val="22"/>
        </w:rPr>
      </w:pPr>
      <w:r w:rsidRPr="00351235">
        <w:rPr>
          <w:rFonts w:ascii="Times New Roman" w:hAnsi="Times New Roman"/>
          <w:b/>
          <w:sz w:val="22"/>
        </w:rPr>
        <w:t xml:space="preserve">Timelines for the phase-out of CTC in laboratory and analytical uses, indicating the anticipated steps and end date in that process. </w:t>
      </w:r>
    </w:p>
    <w:p w14:paraId="42D23E01" w14:textId="62AAA4BA" w:rsidR="00656E7D" w:rsidRPr="00656E7D" w:rsidRDefault="00656E7D" w:rsidP="00413E4A">
      <w:pPr>
        <w:pStyle w:val="Heading3"/>
      </w:pPr>
      <w:bookmarkStart w:id="144" w:name="_Toc356240458"/>
      <w:bookmarkStart w:id="145" w:name="_Toc484164357"/>
      <w:r w:rsidRPr="00656E7D">
        <w:t>5.2.2</w:t>
      </w:r>
      <w:r w:rsidRPr="00656E7D">
        <w:tab/>
        <w:t xml:space="preserve">Status of CFC-113 produced under </w:t>
      </w:r>
      <w:r w:rsidR="00A04150">
        <w:t>EUE</w:t>
      </w:r>
      <w:r w:rsidRPr="00656E7D">
        <w:t xml:space="preserve"> for use as a solvent in aerospace applications</w:t>
      </w:r>
      <w:bookmarkEnd w:id="144"/>
      <w:bookmarkEnd w:id="145"/>
    </w:p>
    <w:p w14:paraId="16A17F16" w14:textId="77777777" w:rsidR="00656E7D" w:rsidRPr="00656E7D" w:rsidRDefault="00656E7D" w:rsidP="00A140B1">
      <w:r w:rsidRPr="00656E7D">
        <w:t xml:space="preserve">The Russian Federation was authorised an essential use exemption of 75 tonnes of CFC-113 for 2015 for solvents used in aerospace applications. In its reporting accounting framework, Russia reported that aerospace applications used 85 tonnes of CFC-113 in 2015, and 75 tonnes of CFC-113 remained at the end of that year. The Russian Federation reported previously it would phase out the use of CFC-113 used as a cleaning solvent in aerospace </w:t>
      </w:r>
      <w:r w:rsidRPr="00656E7D">
        <w:lastRenderedPageBreak/>
        <w:t xml:space="preserve">applications at the end of 2016. The Russian Federation will continue to use CFC-113 from its stockpile until depleted.  In these applications, CFC-113 is recovered and recycled. The Russian Federation enterprises do not anticipate requesting future essential use production for this application, and will move to alternatives as its stockpile is depleted. </w:t>
      </w:r>
    </w:p>
    <w:p w14:paraId="4C9536D9" w14:textId="58B1D84C" w:rsidR="00656E7D" w:rsidRPr="00656E7D" w:rsidRDefault="00656E7D" w:rsidP="0015746F">
      <w:pPr>
        <w:spacing w:after="120"/>
      </w:pPr>
      <w:r w:rsidRPr="00656E7D">
        <w:t>The Russian Federation has eliminated most of the uses of CFC-113 by using a variety of alternative solvents and cleaning agents in its aerospace applications, including aqueous detergents, organic solvents, chlorinated solvents, and HCFCs. MCTOC understands that alternatives to HCFCs, including HFCs, are also currently being considered and tested for aerospace applications. MCTOC does not know whether HCFCs will be required in the Russian Federation after the 2020 HCFC p</w:t>
      </w:r>
      <w:r w:rsidR="00BF2381">
        <w:t>hase out date in non-Article 5 p</w:t>
      </w:r>
      <w:r w:rsidRPr="00656E7D">
        <w:t>arties. Any HCFC production for these uses after 2020 would need to satisfy the essential use criteria established in Decision IV</w:t>
      </w:r>
      <w:r w:rsidR="00BF2381">
        <w:t>/25, and be duly authorised by p</w:t>
      </w:r>
      <w:r w:rsidRPr="00656E7D">
        <w:t xml:space="preserve">arties. </w:t>
      </w:r>
    </w:p>
    <w:p w14:paraId="13660418" w14:textId="25CF7A89" w:rsidR="00656E7D" w:rsidRPr="00656E7D" w:rsidRDefault="00656E7D" w:rsidP="00413E4A">
      <w:pPr>
        <w:pStyle w:val="Heading3"/>
      </w:pPr>
      <w:bookmarkStart w:id="146" w:name="_Toc356240459"/>
      <w:bookmarkStart w:id="147" w:name="_Toc484164358"/>
      <w:r w:rsidRPr="00656E7D">
        <w:t>5.2.3</w:t>
      </w:r>
      <w:r w:rsidRPr="00656E7D">
        <w:tab/>
        <w:t>Decisions XVII/6(6) and XXII/8(5): Revi</w:t>
      </w:r>
      <w:r w:rsidR="00BF2381">
        <w:t>ew of information submitted by p</w:t>
      </w:r>
      <w:r w:rsidRPr="00656E7D">
        <w:t>arties on the use of controlled substances as process agents</w:t>
      </w:r>
      <w:bookmarkEnd w:id="146"/>
      <w:bookmarkEnd w:id="147"/>
    </w:p>
    <w:p w14:paraId="4BB7B75A" w14:textId="77777777" w:rsidR="00656E7D" w:rsidRPr="00656E7D" w:rsidRDefault="00656E7D" w:rsidP="0015746F">
      <w:pPr>
        <w:spacing w:after="120"/>
      </w:pPr>
      <w:r w:rsidRPr="00656E7D">
        <w:t xml:space="preserve">Parties are requested under decisions X/14(4) and XVII/6 to submit information on their process agent uses as follows: </w:t>
      </w:r>
    </w:p>
    <w:p w14:paraId="6201DF18" w14:textId="77777777" w:rsidR="00656E7D" w:rsidRPr="00DB1117" w:rsidRDefault="00656E7D" w:rsidP="0015746F">
      <w:pPr>
        <w:spacing w:after="120"/>
        <w:rPr>
          <w:i/>
        </w:rPr>
      </w:pPr>
      <w:r w:rsidRPr="00656E7D">
        <w:t xml:space="preserve">  </w:t>
      </w:r>
      <w:r w:rsidRPr="00DB1117">
        <w:rPr>
          <w:i/>
        </w:rPr>
        <w:t>“That all Parties should:</w:t>
      </w:r>
    </w:p>
    <w:p w14:paraId="7CD88F08" w14:textId="52DD4DE4" w:rsidR="00656E7D" w:rsidRPr="00DB1117" w:rsidRDefault="00656E7D" w:rsidP="00A140B1">
      <w:pPr>
        <w:pStyle w:val="ListParagraph"/>
        <w:numPr>
          <w:ilvl w:val="0"/>
          <w:numId w:val="60"/>
        </w:numPr>
        <w:ind w:firstLineChars="0"/>
        <w:jc w:val="left"/>
        <w:rPr>
          <w:rFonts w:ascii="Times New Roman" w:hAnsi="Times New Roman"/>
          <w:i/>
        </w:rPr>
      </w:pPr>
      <w:r w:rsidRPr="00DB1117">
        <w:rPr>
          <w:rFonts w:ascii="Times New Roman" w:hAnsi="Times New Roman"/>
          <w:i/>
        </w:rPr>
        <w:t>Report to the Secretariat by 30 September 2000 and each year thereafter on their use of controlled substances as process agents, the levels of emissions from those uses and the containment technologies used by them to minimize emissions of controlled substances. Those non-Article 5 Parties which have still not reported data for inclusion in tables A and B are urged to do so as soon as possible and in any case before the nineteenth meeting of the Open Ended Working Group;</w:t>
      </w:r>
    </w:p>
    <w:p w14:paraId="1AF414A7" w14:textId="3DB3C4A5" w:rsidR="00656E7D" w:rsidRPr="00DB1117" w:rsidRDefault="00656E7D" w:rsidP="00A140B1">
      <w:pPr>
        <w:pStyle w:val="ListParagraph"/>
        <w:numPr>
          <w:ilvl w:val="0"/>
          <w:numId w:val="60"/>
        </w:numPr>
        <w:ind w:firstLineChars="0"/>
        <w:jc w:val="left"/>
        <w:rPr>
          <w:rFonts w:ascii="Times New Roman" w:hAnsi="Times New Roman"/>
          <w:i/>
        </w:rPr>
      </w:pPr>
      <w:r w:rsidRPr="00DB1117">
        <w:rPr>
          <w:rFonts w:ascii="Times New Roman" w:hAnsi="Times New Roman"/>
          <w:i/>
        </w:rPr>
        <w:t>In reporting annual data to the Secretariat for 2000 and each year thereafter, provide information on the quantities of controlled substances produced or imported by them for process agent applications;”</w:t>
      </w:r>
    </w:p>
    <w:p w14:paraId="20C91021" w14:textId="32DFCED8" w:rsidR="00656E7D" w:rsidRPr="00DB1117" w:rsidRDefault="00351235" w:rsidP="00A140B1">
      <w:pPr>
        <w:rPr>
          <w:i/>
        </w:rPr>
      </w:pPr>
      <w:r>
        <w:rPr>
          <w:i/>
        </w:rPr>
        <w:br/>
      </w:r>
      <w:r w:rsidR="00656E7D" w:rsidRPr="00DB1117">
        <w:rPr>
          <w:i/>
        </w:rPr>
        <w:t>“To request Parties with process-agent uses to submit data to the TEAP by 31 December 2007 and 31 December of each subsequent year on opportunities to reduce emissions listed in table B and for the TEAP to review in 2008, and every other year thereafter, emissions in table B of decision X/14, taking into account information and data reported by the Parties in accordance with that decision, and to recommend any reductions to the make-up and maximum emission on the basis of that review.  On the basis of these recommendations, the Parties shall decide on reductions to the make-up and maximum emissions with respect to table B.”</w:t>
      </w:r>
    </w:p>
    <w:p w14:paraId="5C7C8413" w14:textId="4A72DE12" w:rsidR="00656E7D" w:rsidRPr="00656E7D" w:rsidRDefault="00656E7D" w:rsidP="00A140B1">
      <w:r w:rsidRPr="00656E7D">
        <w:t xml:space="preserve">China, the European Union, Israel, and the United States submitted information about their process agent uses in accordance with the above decisions. MCTOC has reviewed this </w:t>
      </w:r>
      <w:r w:rsidR="00BF2381">
        <w:t>information submitted by these p</w:t>
      </w:r>
      <w:r w:rsidRPr="00656E7D">
        <w:t>arties on their use of controlled substances as process agents, quantities produced or imported for process agent applications, on make-up, levels of emissions, and containment technologies to minimise emissions for those uses.</w:t>
      </w:r>
    </w:p>
    <w:p w14:paraId="2FE3AEAF" w14:textId="47EA92FF" w:rsidR="00656E7D" w:rsidRPr="00656E7D" w:rsidRDefault="00656E7D" w:rsidP="00A140B1">
      <w:r w:rsidRPr="00656E7D">
        <w:t>Tables A and B summarise the data submi</w:t>
      </w:r>
      <w:r w:rsidR="00BF2381">
        <w:t>tted. It is noted that several p</w:t>
      </w:r>
      <w:r w:rsidRPr="00656E7D">
        <w:t>arties are no longer reporting data for certain process agent uses, indicative that these processes</w:t>
      </w:r>
      <w:r w:rsidR="00BF2381">
        <w:t xml:space="preserve"> are no longer in use in these p</w:t>
      </w:r>
      <w:r w:rsidRPr="00656E7D">
        <w:t>arties (see Table A below).</w:t>
      </w:r>
    </w:p>
    <w:p w14:paraId="4CB14AFC" w14:textId="77777777" w:rsidR="00656E7D" w:rsidRPr="00656E7D" w:rsidRDefault="00656E7D" w:rsidP="00A140B1">
      <w:r w:rsidRPr="00656E7D">
        <w:t>Furthermore, it is noted that the reported emissions from the reported processes are considerably lower than the maximum emission limits that are given in Table B of Decision XXIII/7 (see Table B below). This can be seen as either resulting from the ceasing of use of controlled substances as process agents in certain processes or a reduction in emissions through improvements in the processes or a combination of both.</w:t>
      </w:r>
    </w:p>
    <w:p w14:paraId="36E5A676" w14:textId="1925E664" w:rsidR="00351235" w:rsidRPr="00DA0F78" w:rsidRDefault="00351235" w:rsidP="00C33FF9">
      <w:pPr>
        <w:widowControl w:val="0"/>
        <w:rPr>
          <w:i/>
          <w:sz w:val="24"/>
          <w:szCs w:val="24"/>
        </w:rPr>
      </w:pPr>
      <w:r w:rsidRPr="00DA0F78">
        <w:rPr>
          <w:b/>
          <w:i/>
          <w:sz w:val="24"/>
          <w:szCs w:val="24"/>
        </w:rPr>
        <w:lastRenderedPageBreak/>
        <w:t>Table A: List of uses of controlled substances as process agents</w:t>
      </w:r>
      <w:r w:rsidRPr="00DA0F78">
        <w:rPr>
          <w:rStyle w:val="FootnoteReference"/>
          <w:b/>
          <w:bCs/>
          <w:i/>
          <w:sz w:val="24"/>
          <w:szCs w:val="24"/>
        </w:rPr>
        <w:footnoteReference w:id="3"/>
      </w:r>
    </w:p>
    <w:tbl>
      <w:tblPr>
        <w:tblStyle w:val="TableGrid"/>
        <w:tblW w:w="0" w:type="auto"/>
        <w:tblLook w:val="04A0" w:firstRow="1" w:lastRow="0" w:firstColumn="1" w:lastColumn="0" w:noHBand="0" w:noVBand="1"/>
      </w:tblPr>
      <w:tblGrid>
        <w:gridCol w:w="566"/>
        <w:gridCol w:w="2949"/>
        <w:gridCol w:w="1170"/>
        <w:gridCol w:w="1329"/>
        <w:gridCol w:w="1222"/>
        <w:gridCol w:w="1287"/>
      </w:tblGrid>
      <w:tr w:rsidR="00351235" w:rsidRPr="00816DDC" w14:paraId="17B439C4" w14:textId="77777777" w:rsidTr="0015746F">
        <w:trPr>
          <w:trHeight w:val="1255"/>
        </w:trPr>
        <w:tc>
          <w:tcPr>
            <w:tcW w:w="763" w:type="dxa"/>
          </w:tcPr>
          <w:p w14:paraId="232FC6D3" w14:textId="77777777" w:rsidR="00351235" w:rsidRPr="00210126" w:rsidRDefault="00351235" w:rsidP="0015746F">
            <w:pPr>
              <w:widowControl w:val="0"/>
              <w:spacing w:after="0"/>
              <w:rPr>
                <w:b/>
                <w:bCs/>
              </w:rPr>
            </w:pPr>
            <w:r w:rsidRPr="00210126">
              <w:rPr>
                <w:b/>
                <w:bCs/>
              </w:rPr>
              <w:t>No.</w:t>
            </w:r>
          </w:p>
        </w:tc>
        <w:tc>
          <w:tcPr>
            <w:tcW w:w="4271" w:type="dxa"/>
          </w:tcPr>
          <w:p w14:paraId="7AEB4AD7" w14:textId="5E045029" w:rsidR="00351235" w:rsidRPr="00210126" w:rsidRDefault="00351235">
            <w:pPr>
              <w:widowControl w:val="0"/>
              <w:spacing w:after="0"/>
              <w:rPr>
                <w:b/>
                <w:bCs/>
              </w:rPr>
            </w:pPr>
            <w:r w:rsidRPr="00210126">
              <w:rPr>
                <w:b/>
                <w:bCs/>
              </w:rPr>
              <w:t>Process agent application</w:t>
            </w:r>
          </w:p>
          <w:p w14:paraId="2FA3112B" w14:textId="77777777" w:rsidR="00351235" w:rsidRPr="00210126" w:rsidRDefault="00351235" w:rsidP="0015746F">
            <w:pPr>
              <w:keepNext/>
              <w:widowControl w:val="0"/>
              <w:tabs>
                <w:tab w:val="left" w:pos="230"/>
                <w:tab w:val="left" w:pos="1877"/>
              </w:tabs>
              <w:spacing w:after="0"/>
              <w:outlineLvl w:val="5"/>
              <w:rPr>
                <w:b/>
                <w:bCs/>
              </w:rPr>
            </w:pPr>
            <w:r w:rsidRPr="00210126">
              <w:rPr>
                <w:b/>
                <w:bCs/>
              </w:rPr>
              <w:t>Decision XXVII/7</w:t>
            </w:r>
          </w:p>
        </w:tc>
        <w:tc>
          <w:tcPr>
            <w:tcW w:w="1170" w:type="dxa"/>
          </w:tcPr>
          <w:p w14:paraId="1DD66A3A" w14:textId="77777777" w:rsidR="00351235" w:rsidRPr="00210126" w:rsidRDefault="00351235" w:rsidP="0015746F">
            <w:pPr>
              <w:widowControl w:val="0"/>
              <w:spacing w:after="0"/>
              <w:rPr>
                <w:b/>
                <w:bCs/>
              </w:rPr>
            </w:pPr>
            <w:r w:rsidRPr="00210126">
              <w:rPr>
                <w:b/>
                <w:bCs/>
              </w:rPr>
              <w:t>Substance</w:t>
            </w:r>
          </w:p>
        </w:tc>
        <w:tc>
          <w:tcPr>
            <w:tcW w:w="2610" w:type="dxa"/>
          </w:tcPr>
          <w:p w14:paraId="45B5F11C" w14:textId="668419D2" w:rsidR="00351235" w:rsidRPr="00210126" w:rsidRDefault="00351235">
            <w:pPr>
              <w:widowControl w:val="0"/>
              <w:spacing w:after="0"/>
              <w:rPr>
                <w:b/>
                <w:bCs/>
              </w:rPr>
            </w:pPr>
            <w:r w:rsidRPr="00210126">
              <w:rPr>
                <w:b/>
                <w:bCs/>
              </w:rPr>
              <w:t>Permitted Parties</w:t>
            </w:r>
          </w:p>
          <w:p w14:paraId="6FEFA84B" w14:textId="77777777" w:rsidR="00351235" w:rsidRPr="00210126" w:rsidRDefault="00351235" w:rsidP="0015746F">
            <w:pPr>
              <w:keepNext/>
              <w:widowControl w:val="0"/>
              <w:tabs>
                <w:tab w:val="left" w:pos="230"/>
                <w:tab w:val="left" w:pos="1877"/>
              </w:tabs>
              <w:spacing w:after="0"/>
              <w:outlineLvl w:val="5"/>
              <w:rPr>
                <w:b/>
                <w:bCs/>
              </w:rPr>
            </w:pPr>
            <w:r w:rsidRPr="00210126">
              <w:rPr>
                <w:b/>
                <w:bCs/>
              </w:rPr>
              <w:t>Decision XXIII/7</w:t>
            </w:r>
          </w:p>
        </w:tc>
        <w:tc>
          <w:tcPr>
            <w:tcW w:w="2610" w:type="dxa"/>
          </w:tcPr>
          <w:p w14:paraId="58183F61" w14:textId="77777777" w:rsidR="00351235" w:rsidRPr="00210126" w:rsidRDefault="00351235" w:rsidP="0015746F">
            <w:pPr>
              <w:keepNext/>
              <w:widowControl w:val="0"/>
              <w:tabs>
                <w:tab w:val="left" w:pos="230"/>
                <w:tab w:val="left" w:pos="1877"/>
              </w:tabs>
              <w:spacing w:after="0"/>
              <w:outlineLvl w:val="5"/>
              <w:rPr>
                <w:b/>
                <w:bCs/>
              </w:rPr>
            </w:pPr>
            <w:r w:rsidRPr="00210126">
              <w:rPr>
                <w:b/>
                <w:bCs/>
              </w:rPr>
              <w:t>Parties that reported</w:t>
            </w:r>
            <w:r>
              <w:rPr>
                <w:b/>
                <w:bCs/>
              </w:rPr>
              <w:t xml:space="preserve"> data for 2015</w:t>
            </w:r>
          </w:p>
        </w:tc>
        <w:tc>
          <w:tcPr>
            <w:tcW w:w="2611" w:type="dxa"/>
          </w:tcPr>
          <w:p w14:paraId="35444913" w14:textId="77777777" w:rsidR="00351235" w:rsidRPr="00210126" w:rsidRDefault="00351235" w:rsidP="0015746F">
            <w:pPr>
              <w:keepNext/>
              <w:widowControl w:val="0"/>
              <w:tabs>
                <w:tab w:val="left" w:pos="230"/>
                <w:tab w:val="left" w:pos="1877"/>
              </w:tabs>
              <w:spacing w:after="0"/>
              <w:outlineLvl w:val="5"/>
              <w:rPr>
                <w:b/>
                <w:bCs/>
              </w:rPr>
            </w:pPr>
            <w:r w:rsidRPr="00210126">
              <w:rPr>
                <w:b/>
                <w:bCs/>
              </w:rPr>
              <w:t>Parties no longer reporting for that use</w:t>
            </w:r>
          </w:p>
        </w:tc>
      </w:tr>
      <w:tr w:rsidR="00351235" w:rsidRPr="00816DDC" w14:paraId="23DFEF32" w14:textId="77777777" w:rsidTr="00351235">
        <w:tc>
          <w:tcPr>
            <w:tcW w:w="763" w:type="dxa"/>
          </w:tcPr>
          <w:p w14:paraId="7818E233" w14:textId="77777777" w:rsidR="00351235" w:rsidRPr="00210126" w:rsidRDefault="00351235" w:rsidP="00C33FF9">
            <w:pPr>
              <w:widowControl w:val="0"/>
              <w:spacing w:before="100" w:beforeAutospacing="1" w:after="100" w:afterAutospacing="1"/>
              <w:rPr>
                <w:bCs/>
                <w:sz w:val="20"/>
                <w:szCs w:val="20"/>
              </w:rPr>
            </w:pPr>
            <w:r w:rsidRPr="00210126">
              <w:rPr>
                <w:bCs/>
                <w:sz w:val="20"/>
              </w:rPr>
              <w:t>1</w:t>
            </w:r>
          </w:p>
        </w:tc>
        <w:tc>
          <w:tcPr>
            <w:tcW w:w="4271" w:type="dxa"/>
          </w:tcPr>
          <w:p w14:paraId="6DAAC219" w14:textId="77777777" w:rsidR="00351235" w:rsidRPr="00210126" w:rsidRDefault="00351235" w:rsidP="00C33FF9">
            <w:pPr>
              <w:widowControl w:val="0"/>
              <w:spacing w:before="100" w:beforeAutospacing="1" w:after="100" w:afterAutospacing="1"/>
              <w:rPr>
                <w:bCs/>
                <w:sz w:val="20"/>
                <w:szCs w:val="20"/>
              </w:rPr>
            </w:pPr>
            <w:r w:rsidRPr="00210126">
              <w:rPr>
                <w:bCs/>
                <w:sz w:val="20"/>
              </w:rPr>
              <w:t>Elimination of NCl</w:t>
            </w:r>
            <w:r w:rsidRPr="00C33FF9">
              <w:rPr>
                <w:sz w:val="20"/>
                <w:vertAlign w:val="subscript"/>
              </w:rPr>
              <w:t>3</w:t>
            </w:r>
            <w:r w:rsidRPr="00210126">
              <w:rPr>
                <w:bCs/>
                <w:sz w:val="20"/>
              </w:rPr>
              <w:t xml:space="preserve"> in chlor-alkali production</w:t>
            </w:r>
          </w:p>
        </w:tc>
        <w:tc>
          <w:tcPr>
            <w:tcW w:w="1170" w:type="dxa"/>
          </w:tcPr>
          <w:p w14:paraId="4AE537C9" w14:textId="77777777" w:rsidR="00351235" w:rsidRPr="00210126" w:rsidRDefault="00351235" w:rsidP="00C33FF9">
            <w:pPr>
              <w:widowControl w:val="0"/>
              <w:spacing w:before="100" w:beforeAutospacing="1" w:after="100" w:afterAutospacing="1"/>
              <w:rPr>
                <w:bCs/>
                <w:sz w:val="20"/>
                <w:szCs w:val="20"/>
              </w:rPr>
            </w:pPr>
            <w:r w:rsidRPr="00210126">
              <w:rPr>
                <w:bCs/>
                <w:sz w:val="20"/>
              </w:rPr>
              <w:t>CTC</w:t>
            </w:r>
          </w:p>
        </w:tc>
        <w:tc>
          <w:tcPr>
            <w:tcW w:w="2610" w:type="dxa"/>
            <w:tcBorders>
              <w:right w:val="double" w:sz="4" w:space="0" w:color="auto"/>
            </w:tcBorders>
          </w:tcPr>
          <w:p w14:paraId="5699F9DA" w14:textId="77777777" w:rsidR="00351235" w:rsidRPr="00210126" w:rsidRDefault="00351235" w:rsidP="00C33FF9">
            <w:pPr>
              <w:widowControl w:val="0"/>
              <w:spacing w:before="100" w:beforeAutospacing="1" w:after="100" w:afterAutospacing="1"/>
              <w:rPr>
                <w:bCs/>
                <w:sz w:val="20"/>
                <w:szCs w:val="20"/>
              </w:rPr>
            </w:pPr>
            <w:r w:rsidRPr="00210126">
              <w:rPr>
                <w:bCs/>
                <w:sz w:val="20"/>
              </w:rPr>
              <w:t>European Union, Israel, United States of America</w:t>
            </w:r>
          </w:p>
        </w:tc>
        <w:tc>
          <w:tcPr>
            <w:tcW w:w="2610" w:type="dxa"/>
            <w:tcBorders>
              <w:left w:val="double" w:sz="4" w:space="0" w:color="auto"/>
            </w:tcBorders>
          </w:tcPr>
          <w:p w14:paraId="6C13063F" w14:textId="77777777" w:rsidR="00351235" w:rsidRPr="00210126" w:rsidRDefault="00351235" w:rsidP="00C33FF9">
            <w:pPr>
              <w:widowControl w:val="0"/>
              <w:spacing w:before="100" w:beforeAutospacing="1" w:after="100" w:afterAutospacing="1"/>
              <w:rPr>
                <w:bCs/>
                <w:sz w:val="20"/>
                <w:szCs w:val="20"/>
              </w:rPr>
            </w:pPr>
            <w:r w:rsidRPr="00210126">
              <w:rPr>
                <w:bCs/>
                <w:sz w:val="20"/>
              </w:rPr>
              <w:t xml:space="preserve">European Union, </w:t>
            </w:r>
            <w:r w:rsidRPr="00C33FF9">
              <w:rPr>
                <w:color w:val="auto"/>
                <w:sz w:val="20"/>
              </w:rPr>
              <w:t>Israel,</w:t>
            </w:r>
            <w:r w:rsidRPr="00210126">
              <w:rPr>
                <w:bCs/>
                <w:sz w:val="20"/>
              </w:rPr>
              <w:t xml:space="preserve"> United States of America</w:t>
            </w:r>
          </w:p>
        </w:tc>
        <w:tc>
          <w:tcPr>
            <w:tcW w:w="2611" w:type="dxa"/>
          </w:tcPr>
          <w:p w14:paraId="30E387DD" w14:textId="77777777" w:rsidR="00351235" w:rsidRPr="00C33FF9" w:rsidRDefault="00351235" w:rsidP="00C33FF9">
            <w:pPr>
              <w:widowControl w:val="0"/>
              <w:spacing w:before="100" w:beforeAutospacing="1" w:after="100" w:afterAutospacing="1"/>
              <w:rPr>
                <w:color w:val="auto"/>
                <w:sz w:val="20"/>
              </w:rPr>
            </w:pPr>
          </w:p>
        </w:tc>
      </w:tr>
      <w:tr w:rsidR="00351235" w:rsidRPr="00816DDC" w14:paraId="1DFDA17D" w14:textId="77777777" w:rsidTr="00351235">
        <w:tc>
          <w:tcPr>
            <w:tcW w:w="763" w:type="dxa"/>
          </w:tcPr>
          <w:p w14:paraId="60E816B2" w14:textId="77777777" w:rsidR="00351235" w:rsidRPr="00210126" w:rsidRDefault="00351235" w:rsidP="00C33FF9">
            <w:pPr>
              <w:widowControl w:val="0"/>
              <w:spacing w:before="100" w:beforeAutospacing="1" w:after="100" w:afterAutospacing="1"/>
              <w:rPr>
                <w:bCs/>
                <w:sz w:val="20"/>
                <w:szCs w:val="20"/>
              </w:rPr>
            </w:pPr>
            <w:r w:rsidRPr="00210126">
              <w:rPr>
                <w:bCs/>
                <w:sz w:val="20"/>
              </w:rPr>
              <w:t>2</w:t>
            </w:r>
          </w:p>
        </w:tc>
        <w:tc>
          <w:tcPr>
            <w:tcW w:w="4271" w:type="dxa"/>
          </w:tcPr>
          <w:p w14:paraId="42BB9A15" w14:textId="77777777" w:rsidR="00351235" w:rsidRPr="00210126" w:rsidRDefault="00351235" w:rsidP="00C33FF9">
            <w:pPr>
              <w:widowControl w:val="0"/>
              <w:spacing w:before="100" w:beforeAutospacing="1" w:after="100" w:afterAutospacing="1"/>
              <w:rPr>
                <w:bCs/>
                <w:sz w:val="20"/>
                <w:szCs w:val="20"/>
              </w:rPr>
            </w:pPr>
            <w:r w:rsidRPr="00210126">
              <w:rPr>
                <w:bCs/>
                <w:sz w:val="20"/>
              </w:rPr>
              <w:t>Chlorine recovery by tail gas absorption in chlor- alkali production</w:t>
            </w:r>
          </w:p>
        </w:tc>
        <w:tc>
          <w:tcPr>
            <w:tcW w:w="1170" w:type="dxa"/>
          </w:tcPr>
          <w:p w14:paraId="3212F54A" w14:textId="77777777" w:rsidR="00351235" w:rsidRPr="00210126" w:rsidRDefault="00351235" w:rsidP="00C33FF9">
            <w:pPr>
              <w:widowControl w:val="0"/>
              <w:spacing w:before="100" w:beforeAutospacing="1" w:after="100" w:afterAutospacing="1"/>
              <w:rPr>
                <w:bCs/>
                <w:sz w:val="20"/>
                <w:szCs w:val="20"/>
              </w:rPr>
            </w:pPr>
            <w:r w:rsidRPr="00210126">
              <w:rPr>
                <w:bCs/>
                <w:sz w:val="20"/>
              </w:rPr>
              <w:t>CTC</w:t>
            </w:r>
          </w:p>
        </w:tc>
        <w:tc>
          <w:tcPr>
            <w:tcW w:w="2610" w:type="dxa"/>
            <w:tcBorders>
              <w:right w:val="double" w:sz="4" w:space="0" w:color="auto"/>
            </w:tcBorders>
          </w:tcPr>
          <w:p w14:paraId="1C58F3AC" w14:textId="77777777" w:rsidR="00351235" w:rsidRPr="00210126" w:rsidRDefault="00351235" w:rsidP="00C33FF9">
            <w:pPr>
              <w:widowControl w:val="0"/>
              <w:spacing w:before="100" w:beforeAutospacing="1" w:after="100" w:afterAutospacing="1"/>
              <w:rPr>
                <w:bCs/>
                <w:sz w:val="20"/>
                <w:szCs w:val="20"/>
              </w:rPr>
            </w:pPr>
            <w:r w:rsidRPr="00210126">
              <w:rPr>
                <w:bCs/>
                <w:sz w:val="20"/>
              </w:rPr>
              <w:t>European Union, United States of America</w:t>
            </w:r>
          </w:p>
        </w:tc>
        <w:tc>
          <w:tcPr>
            <w:tcW w:w="2610" w:type="dxa"/>
            <w:tcBorders>
              <w:left w:val="double" w:sz="4" w:space="0" w:color="auto"/>
            </w:tcBorders>
          </w:tcPr>
          <w:p w14:paraId="1B88D485" w14:textId="77777777" w:rsidR="00351235" w:rsidRPr="00210126" w:rsidRDefault="00351235" w:rsidP="00C33FF9">
            <w:pPr>
              <w:widowControl w:val="0"/>
              <w:spacing w:before="100" w:beforeAutospacing="1" w:after="100" w:afterAutospacing="1"/>
              <w:rPr>
                <w:bCs/>
                <w:sz w:val="20"/>
                <w:szCs w:val="20"/>
              </w:rPr>
            </w:pPr>
            <w:r w:rsidRPr="00210126">
              <w:rPr>
                <w:bCs/>
                <w:sz w:val="20"/>
              </w:rPr>
              <w:t>European Union, United States of America</w:t>
            </w:r>
          </w:p>
        </w:tc>
        <w:tc>
          <w:tcPr>
            <w:tcW w:w="2611" w:type="dxa"/>
          </w:tcPr>
          <w:p w14:paraId="6B4DAD48" w14:textId="77777777" w:rsidR="00351235" w:rsidRPr="00C33FF9" w:rsidRDefault="00351235" w:rsidP="00C33FF9">
            <w:pPr>
              <w:widowControl w:val="0"/>
              <w:spacing w:before="100" w:beforeAutospacing="1" w:after="100" w:afterAutospacing="1"/>
              <w:rPr>
                <w:color w:val="auto"/>
                <w:sz w:val="20"/>
              </w:rPr>
            </w:pPr>
          </w:p>
        </w:tc>
      </w:tr>
      <w:tr w:rsidR="00351235" w:rsidRPr="00816DDC" w14:paraId="20C99530" w14:textId="77777777" w:rsidTr="00351235">
        <w:tc>
          <w:tcPr>
            <w:tcW w:w="763" w:type="dxa"/>
          </w:tcPr>
          <w:p w14:paraId="2628F57B" w14:textId="77777777" w:rsidR="00351235" w:rsidRPr="00210126" w:rsidRDefault="00351235" w:rsidP="00C33FF9">
            <w:pPr>
              <w:widowControl w:val="0"/>
              <w:spacing w:before="100" w:beforeAutospacing="1" w:after="100" w:afterAutospacing="1"/>
              <w:rPr>
                <w:bCs/>
                <w:sz w:val="20"/>
                <w:szCs w:val="20"/>
              </w:rPr>
            </w:pPr>
            <w:r w:rsidRPr="00210126">
              <w:rPr>
                <w:bCs/>
                <w:sz w:val="20"/>
              </w:rPr>
              <w:t>3</w:t>
            </w:r>
          </w:p>
        </w:tc>
        <w:tc>
          <w:tcPr>
            <w:tcW w:w="4271" w:type="dxa"/>
          </w:tcPr>
          <w:p w14:paraId="0C5E2496" w14:textId="77777777" w:rsidR="00351235" w:rsidRPr="00210126" w:rsidRDefault="00351235" w:rsidP="00C33FF9">
            <w:pPr>
              <w:widowControl w:val="0"/>
              <w:spacing w:before="100" w:beforeAutospacing="1" w:after="100" w:afterAutospacing="1"/>
              <w:rPr>
                <w:bCs/>
                <w:sz w:val="20"/>
                <w:szCs w:val="20"/>
              </w:rPr>
            </w:pPr>
            <w:r w:rsidRPr="00210126">
              <w:rPr>
                <w:bCs/>
                <w:sz w:val="20"/>
              </w:rPr>
              <w:t>Production of chlorinated rubber</w:t>
            </w:r>
          </w:p>
        </w:tc>
        <w:tc>
          <w:tcPr>
            <w:tcW w:w="1170" w:type="dxa"/>
          </w:tcPr>
          <w:p w14:paraId="12AE4B1D" w14:textId="77777777" w:rsidR="00351235" w:rsidRPr="00210126" w:rsidRDefault="00351235" w:rsidP="00C33FF9">
            <w:pPr>
              <w:widowControl w:val="0"/>
              <w:spacing w:before="100" w:beforeAutospacing="1" w:after="100" w:afterAutospacing="1"/>
              <w:rPr>
                <w:bCs/>
                <w:sz w:val="20"/>
                <w:szCs w:val="20"/>
              </w:rPr>
            </w:pPr>
            <w:r w:rsidRPr="00210126">
              <w:rPr>
                <w:bCs/>
                <w:sz w:val="20"/>
              </w:rPr>
              <w:t>CTC</w:t>
            </w:r>
          </w:p>
        </w:tc>
        <w:tc>
          <w:tcPr>
            <w:tcW w:w="2610" w:type="dxa"/>
            <w:tcBorders>
              <w:right w:val="double" w:sz="4" w:space="0" w:color="auto"/>
            </w:tcBorders>
          </w:tcPr>
          <w:p w14:paraId="438448FD" w14:textId="77777777" w:rsidR="00351235" w:rsidRPr="00210126" w:rsidRDefault="00351235" w:rsidP="00C33FF9">
            <w:pPr>
              <w:widowControl w:val="0"/>
              <w:spacing w:before="100" w:beforeAutospacing="1" w:after="100" w:afterAutospacing="1"/>
              <w:rPr>
                <w:bCs/>
                <w:sz w:val="20"/>
                <w:szCs w:val="20"/>
              </w:rPr>
            </w:pPr>
            <w:r w:rsidRPr="00210126">
              <w:rPr>
                <w:bCs/>
                <w:sz w:val="20"/>
              </w:rPr>
              <w:t>European Union</w:t>
            </w:r>
          </w:p>
        </w:tc>
        <w:tc>
          <w:tcPr>
            <w:tcW w:w="2610" w:type="dxa"/>
            <w:tcBorders>
              <w:left w:val="double" w:sz="4" w:space="0" w:color="auto"/>
            </w:tcBorders>
          </w:tcPr>
          <w:p w14:paraId="44F0E741" w14:textId="77777777" w:rsidR="00351235" w:rsidRPr="00210126" w:rsidRDefault="00351235" w:rsidP="00C33FF9">
            <w:pPr>
              <w:widowControl w:val="0"/>
              <w:spacing w:before="100" w:beforeAutospacing="1" w:after="100" w:afterAutospacing="1"/>
              <w:rPr>
                <w:bCs/>
                <w:sz w:val="20"/>
                <w:szCs w:val="20"/>
              </w:rPr>
            </w:pPr>
            <w:r w:rsidRPr="00210126">
              <w:rPr>
                <w:bCs/>
                <w:sz w:val="20"/>
              </w:rPr>
              <w:t>European Union</w:t>
            </w:r>
          </w:p>
        </w:tc>
        <w:tc>
          <w:tcPr>
            <w:tcW w:w="2611" w:type="dxa"/>
          </w:tcPr>
          <w:p w14:paraId="68E47E2E" w14:textId="77777777" w:rsidR="00351235" w:rsidRPr="00C33FF9" w:rsidRDefault="00351235" w:rsidP="00C33FF9">
            <w:pPr>
              <w:widowControl w:val="0"/>
              <w:spacing w:before="100" w:beforeAutospacing="1" w:after="100" w:afterAutospacing="1"/>
              <w:rPr>
                <w:color w:val="auto"/>
                <w:sz w:val="20"/>
              </w:rPr>
            </w:pPr>
          </w:p>
        </w:tc>
      </w:tr>
      <w:tr w:rsidR="00351235" w:rsidRPr="00816DDC" w14:paraId="34185C45" w14:textId="77777777" w:rsidTr="00C33FF9">
        <w:tc>
          <w:tcPr>
            <w:tcW w:w="763" w:type="dxa"/>
          </w:tcPr>
          <w:p w14:paraId="706D0A2E" w14:textId="77777777" w:rsidR="00351235" w:rsidRPr="00210126" w:rsidRDefault="00351235" w:rsidP="00C33FF9">
            <w:pPr>
              <w:widowControl w:val="0"/>
              <w:spacing w:before="100" w:beforeAutospacing="1" w:after="100" w:afterAutospacing="1"/>
              <w:rPr>
                <w:bCs/>
                <w:sz w:val="20"/>
                <w:szCs w:val="20"/>
              </w:rPr>
            </w:pPr>
            <w:r w:rsidRPr="00210126">
              <w:rPr>
                <w:bCs/>
                <w:sz w:val="20"/>
              </w:rPr>
              <w:t>4</w:t>
            </w:r>
          </w:p>
        </w:tc>
        <w:tc>
          <w:tcPr>
            <w:tcW w:w="4271" w:type="dxa"/>
          </w:tcPr>
          <w:p w14:paraId="222C8C4F" w14:textId="77777777" w:rsidR="00351235" w:rsidRPr="00210126" w:rsidRDefault="00351235" w:rsidP="00C33FF9">
            <w:pPr>
              <w:widowControl w:val="0"/>
              <w:spacing w:before="100" w:beforeAutospacing="1" w:after="100" w:afterAutospacing="1"/>
              <w:rPr>
                <w:bCs/>
                <w:sz w:val="20"/>
                <w:szCs w:val="20"/>
              </w:rPr>
            </w:pPr>
            <w:r w:rsidRPr="00210126">
              <w:rPr>
                <w:bCs/>
                <w:sz w:val="20"/>
              </w:rPr>
              <w:t>Production of chlorosulfonated polyolefin (CSM)</w:t>
            </w:r>
          </w:p>
        </w:tc>
        <w:tc>
          <w:tcPr>
            <w:tcW w:w="1170" w:type="dxa"/>
          </w:tcPr>
          <w:p w14:paraId="220F8772" w14:textId="77777777" w:rsidR="00351235" w:rsidRPr="00210126" w:rsidRDefault="00351235" w:rsidP="00C33FF9">
            <w:pPr>
              <w:widowControl w:val="0"/>
              <w:spacing w:before="100" w:beforeAutospacing="1" w:after="100" w:afterAutospacing="1"/>
              <w:rPr>
                <w:bCs/>
                <w:sz w:val="20"/>
                <w:szCs w:val="20"/>
              </w:rPr>
            </w:pPr>
            <w:r w:rsidRPr="00210126">
              <w:rPr>
                <w:bCs/>
                <w:sz w:val="20"/>
              </w:rPr>
              <w:t>CTC</w:t>
            </w:r>
          </w:p>
        </w:tc>
        <w:tc>
          <w:tcPr>
            <w:tcW w:w="2610" w:type="dxa"/>
          </w:tcPr>
          <w:p w14:paraId="48CBE499" w14:textId="77777777" w:rsidR="00351235" w:rsidRPr="00210126" w:rsidRDefault="00351235" w:rsidP="00C33FF9">
            <w:pPr>
              <w:widowControl w:val="0"/>
              <w:spacing w:before="100" w:beforeAutospacing="1" w:after="100" w:afterAutospacing="1"/>
              <w:rPr>
                <w:bCs/>
                <w:sz w:val="20"/>
                <w:szCs w:val="20"/>
              </w:rPr>
            </w:pPr>
            <w:r w:rsidRPr="00210126">
              <w:rPr>
                <w:bCs/>
                <w:sz w:val="20"/>
              </w:rPr>
              <w:t>China, United States of America</w:t>
            </w:r>
          </w:p>
        </w:tc>
        <w:tc>
          <w:tcPr>
            <w:tcW w:w="2610" w:type="dxa"/>
          </w:tcPr>
          <w:p w14:paraId="510DA6A9" w14:textId="77777777" w:rsidR="00351235" w:rsidRPr="00210126" w:rsidRDefault="00351235" w:rsidP="00C33FF9">
            <w:pPr>
              <w:widowControl w:val="0"/>
              <w:spacing w:before="100" w:beforeAutospacing="1" w:after="100" w:afterAutospacing="1"/>
              <w:rPr>
                <w:bCs/>
                <w:sz w:val="20"/>
                <w:szCs w:val="20"/>
              </w:rPr>
            </w:pPr>
            <w:r w:rsidRPr="00210126">
              <w:rPr>
                <w:bCs/>
                <w:sz w:val="20"/>
              </w:rPr>
              <w:t>China</w:t>
            </w:r>
          </w:p>
        </w:tc>
        <w:tc>
          <w:tcPr>
            <w:tcW w:w="2611" w:type="dxa"/>
          </w:tcPr>
          <w:p w14:paraId="13BF7C83" w14:textId="77777777" w:rsidR="00351235" w:rsidRPr="00C33FF9" w:rsidRDefault="00351235" w:rsidP="00C33FF9">
            <w:pPr>
              <w:widowControl w:val="0"/>
              <w:spacing w:before="100" w:beforeAutospacing="1" w:after="100" w:afterAutospacing="1"/>
              <w:rPr>
                <w:color w:val="auto"/>
                <w:sz w:val="20"/>
              </w:rPr>
            </w:pPr>
            <w:r w:rsidRPr="00C33FF9">
              <w:rPr>
                <w:color w:val="auto"/>
                <w:sz w:val="20"/>
              </w:rPr>
              <w:t>United States of America</w:t>
            </w:r>
          </w:p>
        </w:tc>
      </w:tr>
      <w:tr w:rsidR="00351235" w:rsidRPr="00816DDC" w14:paraId="237927B9" w14:textId="77777777" w:rsidTr="00351235">
        <w:tc>
          <w:tcPr>
            <w:tcW w:w="763" w:type="dxa"/>
          </w:tcPr>
          <w:p w14:paraId="2598A320" w14:textId="77777777" w:rsidR="00351235" w:rsidRPr="00210126" w:rsidRDefault="00351235" w:rsidP="00C33FF9">
            <w:pPr>
              <w:widowControl w:val="0"/>
              <w:spacing w:before="100" w:beforeAutospacing="1" w:after="100" w:afterAutospacing="1"/>
              <w:rPr>
                <w:bCs/>
                <w:sz w:val="20"/>
                <w:szCs w:val="20"/>
              </w:rPr>
            </w:pPr>
            <w:r w:rsidRPr="00210126">
              <w:rPr>
                <w:bCs/>
                <w:sz w:val="20"/>
              </w:rPr>
              <w:t>5</w:t>
            </w:r>
          </w:p>
        </w:tc>
        <w:tc>
          <w:tcPr>
            <w:tcW w:w="4271" w:type="dxa"/>
          </w:tcPr>
          <w:p w14:paraId="6BB6D737" w14:textId="77777777" w:rsidR="00351235" w:rsidRPr="00210126" w:rsidRDefault="00351235" w:rsidP="00C33FF9">
            <w:pPr>
              <w:widowControl w:val="0"/>
              <w:spacing w:before="100" w:beforeAutospacing="1" w:after="100" w:afterAutospacing="1"/>
              <w:rPr>
                <w:bCs/>
                <w:sz w:val="20"/>
                <w:szCs w:val="20"/>
              </w:rPr>
            </w:pPr>
            <w:r w:rsidRPr="00210126">
              <w:rPr>
                <w:bCs/>
                <w:sz w:val="20"/>
              </w:rPr>
              <w:t>Production of aramid polymer (PPTA)</w:t>
            </w:r>
          </w:p>
        </w:tc>
        <w:tc>
          <w:tcPr>
            <w:tcW w:w="1170" w:type="dxa"/>
          </w:tcPr>
          <w:p w14:paraId="606B5BF4" w14:textId="77777777" w:rsidR="00351235" w:rsidRPr="00210126" w:rsidRDefault="00351235" w:rsidP="00C33FF9">
            <w:pPr>
              <w:widowControl w:val="0"/>
              <w:spacing w:before="100" w:beforeAutospacing="1" w:after="100" w:afterAutospacing="1"/>
              <w:rPr>
                <w:bCs/>
                <w:sz w:val="20"/>
                <w:szCs w:val="20"/>
              </w:rPr>
            </w:pPr>
            <w:r w:rsidRPr="00210126">
              <w:rPr>
                <w:bCs/>
                <w:sz w:val="20"/>
              </w:rPr>
              <w:t>CTC</w:t>
            </w:r>
          </w:p>
        </w:tc>
        <w:tc>
          <w:tcPr>
            <w:tcW w:w="2610" w:type="dxa"/>
            <w:tcBorders>
              <w:right w:val="double" w:sz="4" w:space="0" w:color="auto"/>
            </w:tcBorders>
          </w:tcPr>
          <w:p w14:paraId="11B38CF7" w14:textId="77777777" w:rsidR="00351235" w:rsidRPr="00210126" w:rsidRDefault="00351235" w:rsidP="00C33FF9">
            <w:pPr>
              <w:widowControl w:val="0"/>
              <w:spacing w:before="100" w:beforeAutospacing="1" w:after="100" w:afterAutospacing="1"/>
              <w:rPr>
                <w:bCs/>
                <w:sz w:val="20"/>
                <w:szCs w:val="20"/>
              </w:rPr>
            </w:pPr>
            <w:r w:rsidRPr="00210126">
              <w:rPr>
                <w:bCs/>
                <w:sz w:val="20"/>
              </w:rPr>
              <w:t>European Union</w:t>
            </w:r>
          </w:p>
        </w:tc>
        <w:tc>
          <w:tcPr>
            <w:tcW w:w="2610" w:type="dxa"/>
            <w:tcBorders>
              <w:left w:val="double" w:sz="4" w:space="0" w:color="auto"/>
            </w:tcBorders>
          </w:tcPr>
          <w:p w14:paraId="303393BB" w14:textId="77777777" w:rsidR="00351235" w:rsidRPr="00210126" w:rsidRDefault="00351235" w:rsidP="00C33FF9">
            <w:pPr>
              <w:widowControl w:val="0"/>
              <w:spacing w:before="100" w:beforeAutospacing="1" w:after="100" w:afterAutospacing="1"/>
              <w:rPr>
                <w:bCs/>
                <w:sz w:val="20"/>
                <w:szCs w:val="20"/>
              </w:rPr>
            </w:pPr>
            <w:r w:rsidRPr="00210126">
              <w:rPr>
                <w:bCs/>
                <w:sz w:val="20"/>
              </w:rPr>
              <w:t>European Union</w:t>
            </w:r>
          </w:p>
        </w:tc>
        <w:tc>
          <w:tcPr>
            <w:tcW w:w="2611" w:type="dxa"/>
          </w:tcPr>
          <w:p w14:paraId="45B74905" w14:textId="77777777" w:rsidR="00351235" w:rsidRPr="00C33FF9" w:rsidRDefault="00351235" w:rsidP="00C33FF9">
            <w:pPr>
              <w:widowControl w:val="0"/>
              <w:spacing w:before="100" w:beforeAutospacing="1" w:after="100" w:afterAutospacing="1"/>
              <w:rPr>
                <w:color w:val="auto"/>
                <w:sz w:val="20"/>
              </w:rPr>
            </w:pPr>
          </w:p>
        </w:tc>
      </w:tr>
      <w:tr w:rsidR="00351235" w:rsidRPr="00816DDC" w14:paraId="66FFF39E" w14:textId="77777777" w:rsidTr="00351235">
        <w:tc>
          <w:tcPr>
            <w:tcW w:w="763" w:type="dxa"/>
          </w:tcPr>
          <w:p w14:paraId="79F5B50D" w14:textId="77777777" w:rsidR="00351235" w:rsidRPr="00210126" w:rsidRDefault="00351235" w:rsidP="00C33FF9">
            <w:pPr>
              <w:widowControl w:val="0"/>
              <w:spacing w:before="100" w:beforeAutospacing="1" w:after="100" w:afterAutospacing="1"/>
              <w:rPr>
                <w:bCs/>
                <w:sz w:val="20"/>
                <w:szCs w:val="20"/>
              </w:rPr>
            </w:pPr>
            <w:r w:rsidRPr="00210126">
              <w:rPr>
                <w:bCs/>
                <w:sz w:val="20"/>
              </w:rPr>
              <w:t>6</w:t>
            </w:r>
          </w:p>
        </w:tc>
        <w:tc>
          <w:tcPr>
            <w:tcW w:w="4271" w:type="dxa"/>
          </w:tcPr>
          <w:p w14:paraId="622FB38C" w14:textId="77777777" w:rsidR="00351235" w:rsidRPr="00210126" w:rsidRDefault="00351235" w:rsidP="00C33FF9">
            <w:pPr>
              <w:widowControl w:val="0"/>
              <w:spacing w:before="100" w:beforeAutospacing="1" w:after="100" w:afterAutospacing="1"/>
              <w:rPr>
                <w:bCs/>
                <w:sz w:val="20"/>
                <w:szCs w:val="20"/>
              </w:rPr>
            </w:pPr>
            <w:r w:rsidRPr="00210126">
              <w:rPr>
                <w:bCs/>
                <w:sz w:val="20"/>
              </w:rPr>
              <w:t>Production of synthetic fibre sheet</w:t>
            </w:r>
          </w:p>
        </w:tc>
        <w:tc>
          <w:tcPr>
            <w:tcW w:w="1170" w:type="dxa"/>
          </w:tcPr>
          <w:p w14:paraId="5B07FD91" w14:textId="77777777" w:rsidR="00351235" w:rsidRPr="00210126" w:rsidRDefault="00351235" w:rsidP="00C33FF9">
            <w:pPr>
              <w:widowControl w:val="0"/>
              <w:spacing w:before="100" w:beforeAutospacing="1" w:after="100" w:afterAutospacing="1"/>
              <w:rPr>
                <w:bCs/>
                <w:sz w:val="20"/>
                <w:szCs w:val="20"/>
              </w:rPr>
            </w:pPr>
            <w:r w:rsidRPr="00210126">
              <w:rPr>
                <w:bCs/>
                <w:sz w:val="20"/>
              </w:rPr>
              <w:t>CFC-11</w:t>
            </w:r>
          </w:p>
        </w:tc>
        <w:tc>
          <w:tcPr>
            <w:tcW w:w="2610" w:type="dxa"/>
            <w:tcBorders>
              <w:right w:val="double" w:sz="4" w:space="0" w:color="auto"/>
            </w:tcBorders>
          </w:tcPr>
          <w:p w14:paraId="5C97793E" w14:textId="77777777" w:rsidR="00351235" w:rsidRPr="00210126" w:rsidRDefault="00351235" w:rsidP="00C33FF9">
            <w:pPr>
              <w:widowControl w:val="0"/>
              <w:spacing w:before="100" w:beforeAutospacing="1" w:after="100" w:afterAutospacing="1"/>
              <w:rPr>
                <w:bCs/>
                <w:sz w:val="20"/>
                <w:szCs w:val="20"/>
              </w:rPr>
            </w:pPr>
            <w:r w:rsidRPr="00210126">
              <w:rPr>
                <w:bCs/>
                <w:sz w:val="20"/>
              </w:rPr>
              <w:t>United States of America</w:t>
            </w:r>
          </w:p>
        </w:tc>
        <w:tc>
          <w:tcPr>
            <w:tcW w:w="2610" w:type="dxa"/>
            <w:tcBorders>
              <w:left w:val="double" w:sz="4" w:space="0" w:color="auto"/>
            </w:tcBorders>
          </w:tcPr>
          <w:p w14:paraId="3A1329FF" w14:textId="77777777" w:rsidR="00351235" w:rsidRPr="00210126" w:rsidRDefault="00351235" w:rsidP="00C33FF9">
            <w:pPr>
              <w:widowControl w:val="0"/>
              <w:spacing w:before="100" w:beforeAutospacing="1" w:after="100" w:afterAutospacing="1"/>
              <w:rPr>
                <w:bCs/>
                <w:sz w:val="20"/>
                <w:szCs w:val="20"/>
              </w:rPr>
            </w:pPr>
            <w:r w:rsidRPr="00210126">
              <w:rPr>
                <w:bCs/>
                <w:sz w:val="20"/>
              </w:rPr>
              <w:t>United States of America</w:t>
            </w:r>
          </w:p>
        </w:tc>
        <w:tc>
          <w:tcPr>
            <w:tcW w:w="2611" w:type="dxa"/>
          </w:tcPr>
          <w:p w14:paraId="0C3EF9C0" w14:textId="77777777" w:rsidR="00351235" w:rsidRPr="00C33FF9" w:rsidRDefault="00351235" w:rsidP="00C33FF9">
            <w:pPr>
              <w:widowControl w:val="0"/>
              <w:spacing w:before="100" w:beforeAutospacing="1" w:after="100" w:afterAutospacing="1"/>
              <w:rPr>
                <w:color w:val="auto"/>
                <w:sz w:val="20"/>
              </w:rPr>
            </w:pPr>
          </w:p>
        </w:tc>
      </w:tr>
      <w:tr w:rsidR="00351235" w:rsidRPr="00816DDC" w14:paraId="4ADB40A0" w14:textId="77777777" w:rsidTr="00C33FF9">
        <w:tc>
          <w:tcPr>
            <w:tcW w:w="763" w:type="dxa"/>
          </w:tcPr>
          <w:p w14:paraId="0431EF6F" w14:textId="77777777" w:rsidR="00351235" w:rsidRPr="00210126" w:rsidRDefault="00351235" w:rsidP="00C33FF9">
            <w:pPr>
              <w:widowControl w:val="0"/>
              <w:spacing w:before="100" w:beforeAutospacing="1" w:after="100" w:afterAutospacing="1"/>
              <w:rPr>
                <w:bCs/>
                <w:sz w:val="20"/>
                <w:szCs w:val="20"/>
              </w:rPr>
            </w:pPr>
            <w:r w:rsidRPr="00210126">
              <w:rPr>
                <w:bCs/>
                <w:sz w:val="20"/>
              </w:rPr>
              <w:t>7</w:t>
            </w:r>
          </w:p>
        </w:tc>
        <w:tc>
          <w:tcPr>
            <w:tcW w:w="4271" w:type="dxa"/>
          </w:tcPr>
          <w:p w14:paraId="0ABB328B" w14:textId="77777777" w:rsidR="00351235" w:rsidRPr="00210126" w:rsidRDefault="00351235" w:rsidP="00C33FF9">
            <w:pPr>
              <w:widowControl w:val="0"/>
              <w:spacing w:before="100" w:beforeAutospacing="1" w:after="100" w:afterAutospacing="1"/>
              <w:rPr>
                <w:bCs/>
                <w:sz w:val="20"/>
                <w:szCs w:val="20"/>
              </w:rPr>
            </w:pPr>
            <w:r w:rsidRPr="00210126">
              <w:rPr>
                <w:bCs/>
                <w:sz w:val="20"/>
              </w:rPr>
              <w:t>Photochemical synthesis of perfluoropolyetherpolyperoxide precursors of Z</w:t>
            </w:r>
            <w:r w:rsidRPr="00C33FF9">
              <w:rPr>
                <w:rFonts w:ascii="Noteworthy Bold" w:hAnsi="Noteworthy Bold"/>
                <w:sz w:val="20"/>
              </w:rPr>
              <w:t>-</w:t>
            </w:r>
            <w:r w:rsidRPr="00210126">
              <w:rPr>
                <w:bCs/>
                <w:sz w:val="20"/>
              </w:rPr>
              <w:t>perfluoropolyethers and difunctional derivatives</w:t>
            </w:r>
          </w:p>
        </w:tc>
        <w:tc>
          <w:tcPr>
            <w:tcW w:w="1170" w:type="dxa"/>
          </w:tcPr>
          <w:p w14:paraId="4A8EC155" w14:textId="77777777" w:rsidR="00351235" w:rsidRPr="00210126" w:rsidRDefault="00351235" w:rsidP="00C33FF9">
            <w:pPr>
              <w:widowControl w:val="0"/>
              <w:spacing w:before="100" w:beforeAutospacing="1" w:after="100" w:afterAutospacing="1"/>
              <w:rPr>
                <w:bCs/>
                <w:sz w:val="20"/>
                <w:szCs w:val="20"/>
              </w:rPr>
            </w:pPr>
            <w:r w:rsidRPr="00210126">
              <w:rPr>
                <w:bCs/>
                <w:sz w:val="20"/>
              </w:rPr>
              <w:t>CFC-12</w:t>
            </w:r>
          </w:p>
        </w:tc>
        <w:tc>
          <w:tcPr>
            <w:tcW w:w="2610" w:type="dxa"/>
          </w:tcPr>
          <w:p w14:paraId="619BB49E" w14:textId="77777777" w:rsidR="00351235" w:rsidRPr="00210126" w:rsidRDefault="00351235" w:rsidP="00C33FF9">
            <w:pPr>
              <w:widowControl w:val="0"/>
              <w:spacing w:before="100" w:beforeAutospacing="1" w:after="100" w:afterAutospacing="1"/>
              <w:rPr>
                <w:bCs/>
                <w:sz w:val="20"/>
                <w:szCs w:val="20"/>
              </w:rPr>
            </w:pPr>
            <w:r w:rsidRPr="00210126">
              <w:rPr>
                <w:bCs/>
                <w:sz w:val="20"/>
              </w:rPr>
              <w:t>European Union</w:t>
            </w:r>
          </w:p>
        </w:tc>
        <w:tc>
          <w:tcPr>
            <w:tcW w:w="2610" w:type="dxa"/>
          </w:tcPr>
          <w:p w14:paraId="2D6CE9F7" w14:textId="77777777" w:rsidR="00351235" w:rsidRPr="00210126" w:rsidRDefault="00351235" w:rsidP="00C33FF9">
            <w:pPr>
              <w:widowControl w:val="0"/>
              <w:spacing w:before="100" w:beforeAutospacing="1" w:after="100" w:afterAutospacing="1"/>
              <w:rPr>
                <w:bCs/>
                <w:sz w:val="20"/>
                <w:szCs w:val="20"/>
              </w:rPr>
            </w:pPr>
            <w:r w:rsidRPr="00210126">
              <w:rPr>
                <w:bCs/>
                <w:sz w:val="20"/>
              </w:rPr>
              <w:t>European Union</w:t>
            </w:r>
          </w:p>
        </w:tc>
        <w:tc>
          <w:tcPr>
            <w:tcW w:w="2611" w:type="dxa"/>
          </w:tcPr>
          <w:p w14:paraId="46587708" w14:textId="77777777" w:rsidR="00351235" w:rsidRPr="00C33FF9" w:rsidRDefault="00351235" w:rsidP="00C33FF9">
            <w:pPr>
              <w:widowControl w:val="0"/>
              <w:spacing w:before="100" w:beforeAutospacing="1" w:after="100" w:afterAutospacing="1"/>
              <w:rPr>
                <w:color w:val="auto"/>
                <w:sz w:val="20"/>
              </w:rPr>
            </w:pPr>
          </w:p>
        </w:tc>
      </w:tr>
      <w:tr w:rsidR="00351235" w:rsidRPr="00816DDC" w14:paraId="44BFD561" w14:textId="77777777" w:rsidTr="00351235">
        <w:tc>
          <w:tcPr>
            <w:tcW w:w="763" w:type="dxa"/>
          </w:tcPr>
          <w:p w14:paraId="584B2858" w14:textId="77777777" w:rsidR="00351235" w:rsidRPr="00210126" w:rsidRDefault="00351235" w:rsidP="00C33FF9">
            <w:pPr>
              <w:widowControl w:val="0"/>
              <w:spacing w:before="100" w:beforeAutospacing="1" w:after="100" w:afterAutospacing="1"/>
              <w:rPr>
                <w:bCs/>
                <w:sz w:val="20"/>
                <w:szCs w:val="20"/>
              </w:rPr>
            </w:pPr>
            <w:r w:rsidRPr="00210126">
              <w:rPr>
                <w:bCs/>
                <w:sz w:val="20"/>
              </w:rPr>
              <w:t>8</w:t>
            </w:r>
          </w:p>
        </w:tc>
        <w:tc>
          <w:tcPr>
            <w:tcW w:w="4271" w:type="dxa"/>
          </w:tcPr>
          <w:p w14:paraId="5657993A" w14:textId="77777777" w:rsidR="00351235" w:rsidRPr="00210126" w:rsidRDefault="00351235" w:rsidP="00C33FF9">
            <w:pPr>
              <w:widowControl w:val="0"/>
              <w:spacing w:before="100" w:beforeAutospacing="1" w:after="100" w:afterAutospacing="1"/>
              <w:rPr>
                <w:bCs/>
                <w:sz w:val="20"/>
                <w:szCs w:val="20"/>
              </w:rPr>
            </w:pPr>
            <w:r w:rsidRPr="00210126">
              <w:rPr>
                <w:bCs/>
                <w:sz w:val="20"/>
              </w:rPr>
              <w:t>Preparation of perfluoropolyether diols with high functionality</w:t>
            </w:r>
          </w:p>
        </w:tc>
        <w:tc>
          <w:tcPr>
            <w:tcW w:w="1170" w:type="dxa"/>
          </w:tcPr>
          <w:p w14:paraId="799E1711" w14:textId="77777777" w:rsidR="00351235" w:rsidRPr="00210126" w:rsidRDefault="00351235" w:rsidP="00C33FF9">
            <w:pPr>
              <w:widowControl w:val="0"/>
              <w:spacing w:before="100" w:beforeAutospacing="1" w:after="100" w:afterAutospacing="1"/>
              <w:rPr>
                <w:bCs/>
                <w:sz w:val="20"/>
                <w:szCs w:val="20"/>
              </w:rPr>
            </w:pPr>
            <w:r w:rsidRPr="00210126">
              <w:rPr>
                <w:bCs/>
                <w:sz w:val="20"/>
              </w:rPr>
              <w:t>CFC-113</w:t>
            </w:r>
          </w:p>
        </w:tc>
        <w:tc>
          <w:tcPr>
            <w:tcW w:w="2610" w:type="dxa"/>
            <w:tcBorders>
              <w:right w:val="double" w:sz="4" w:space="0" w:color="auto"/>
            </w:tcBorders>
          </w:tcPr>
          <w:p w14:paraId="40E7CE94" w14:textId="77777777" w:rsidR="00351235" w:rsidRPr="00210126" w:rsidRDefault="00351235" w:rsidP="00C33FF9">
            <w:pPr>
              <w:widowControl w:val="0"/>
              <w:spacing w:before="100" w:beforeAutospacing="1" w:after="100" w:afterAutospacing="1"/>
              <w:rPr>
                <w:bCs/>
                <w:sz w:val="20"/>
                <w:szCs w:val="20"/>
              </w:rPr>
            </w:pPr>
            <w:r w:rsidRPr="00210126">
              <w:rPr>
                <w:bCs/>
                <w:sz w:val="20"/>
              </w:rPr>
              <w:t>European Union</w:t>
            </w:r>
          </w:p>
        </w:tc>
        <w:tc>
          <w:tcPr>
            <w:tcW w:w="2610" w:type="dxa"/>
            <w:tcBorders>
              <w:left w:val="double" w:sz="4" w:space="0" w:color="auto"/>
            </w:tcBorders>
          </w:tcPr>
          <w:p w14:paraId="17ECD0B8" w14:textId="77777777" w:rsidR="00351235" w:rsidRPr="00210126" w:rsidRDefault="00351235" w:rsidP="00C33FF9">
            <w:pPr>
              <w:widowControl w:val="0"/>
              <w:spacing w:before="100" w:beforeAutospacing="1" w:after="100" w:afterAutospacing="1"/>
              <w:rPr>
                <w:bCs/>
                <w:sz w:val="20"/>
                <w:szCs w:val="20"/>
              </w:rPr>
            </w:pPr>
            <w:r w:rsidRPr="00210126">
              <w:rPr>
                <w:bCs/>
                <w:sz w:val="20"/>
              </w:rPr>
              <w:t>European Union</w:t>
            </w:r>
          </w:p>
        </w:tc>
        <w:tc>
          <w:tcPr>
            <w:tcW w:w="2611" w:type="dxa"/>
          </w:tcPr>
          <w:p w14:paraId="730FEB39" w14:textId="77777777" w:rsidR="00351235" w:rsidRPr="00C33FF9" w:rsidRDefault="00351235" w:rsidP="00C33FF9">
            <w:pPr>
              <w:widowControl w:val="0"/>
              <w:spacing w:before="100" w:beforeAutospacing="1" w:after="100" w:afterAutospacing="1"/>
              <w:rPr>
                <w:color w:val="auto"/>
                <w:sz w:val="20"/>
              </w:rPr>
            </w:pPr>
          </w:p>
        </w:tc>
      </w:tr>
      <w:tr w:rsidR="00351235" w:rsidRPr="00816DDC" w14:paraId="20ADCF9E" w14:textId="77777777" w:rsidTr="00351235">
        <w:tc>
          <w:tcPr>
            <w:tcW w:w="763" w:type="dxa"/>
          </w:tcPr>
          <w:p w14:paraId="0E69C4D4" w14:textId="77777777" w:rsidR="00351235" w:rsidRPr="00210126" w:rsidRDefault="00351235" w:rsidP="00C33FF9">
            <w:pPr>
              <w:widowControl w:val="0"/>
              <w:spacing w:before="100" w:beforeAutospacing="1" w:after="100" w:afterAutospacing="1"/>
              <w:rPr>
                <w:bCs/>
                <w:sz w:val="20"/>
                <w:szCs w:val="20"/>
              </w:rPr>
            </w:pPr>
            <w:r w:rsidRPr="00210126">
              <w:rPr>
                <w:bCs/>
                <w:sz w:val="20"/>
              </w:rPr>
              <w:t>9</w:t>
            </w:r>
          </w:p>
        </w:tc>
        <w:tc>
          <w:tcPr>
            <w:tcW w:w="4271" w:type="dxa"/>
          </w:tcPr>
          <w:p w14:paraId="0AB0C3A6" w14:textId="77777777" w:rsidR="00351235" w:rsidRPr="00210126" w:rsidRDefault="00351235" w:rsidP="00C33FF9">
            <w:pPr>
              <w:widowControl w:val="0"/>
              <w:spacing w:before="100" w:beforeAutospacing="1" w:after="100" w:afterAutospacing="1"/>
              <w:rPr>
                <w:bCs/>
                <w:sz w:val="20"/>
                <w:szCs w:val="20"/>
              </w:rPr>
            </w:pPr>
            <w:r w:rsidRPr="00210126">
              <w:rPr>
                <w:bCs/>
                <w:sz w:val="20"/>
              </w:rPr>
              <w:t>Production of cyclodime</w:t>
            </w:r>
          </w:p>
        </w:tc>
        <w:tc>
          <w:tcPr>
            <w:tcW w:w="1170" w:type="dxa"/>
          </w:tcPr>
          <w:p w14:paraId="3A4E677C" w14:textId="77777777" w:rsidR="00351235" w:rsidRPr="00210126" w:rsidRDefault="00351235" w:rsidP="00C33FF9">
            <w:pPr>
              <w:widowControl w:val="0"/>
              <w:spacing w:before="100" w:beforeAutospacing="1" w:after="100" w:afterAutospacing="1"/>
              <w:rPr>
                <w:bCs/>
                <w:sz w:val="20"/>
                <w:szCs w:val="20"/>
              </w:rPr>
            </w:pPr>
            <w:r w:rsidRPr="00210126">
              <w:rPr>
                <w:bCs/>
                <w:sz w:val="20"/>
              </w:rPr>
              <w:t>CTC</w:t>
            </w:r>
          </w:p>
        </w:tc>
        <w:tc>
          <w:tcPr>
            <w:tcW w:w="2610" w:type="dxa"/>
            <w:tcBorders>
              <w:right w:val="double" w:sz="4" w:space="0" w:color="auto"/>
            </w:tcBorders>
          </w:tcPr>
          <w:p w14:paraId="6CE4D204" w14:textId="77777777" w:rsidR="00351235" w:rsidRPr="00210126" w:rsidRDefault="00351235" w:rsidP="00C33FF9">
            <w:pPr>
              <w:widowControl w:val="0"/>
              <w:spacing w:before="100" w:beforeAutospacing="1" w:after="100" w:afterAutospacing="1"/>
              <w:rPr>
                <w:bCs/>
                <w:sz w:val="20"/>
                <w:szCs w:val="20"/>
              </w:rPr>
            </w:pPr>
            <w:r w:rsidRPr="00210126">
              <w:rPr>
                <w:bCs/>
                <w:sz w:val="20"/>
              </w:rPr>
              <w:t>European Union</w:t>
            </w:r>
          </w:p>
        </w:tc>
        <w:tc>
          <w:tcPr>
            <w:tcW w:w="2610" w:type="dxa"/>
            <w:tcBorders>
              <w:left w:val="double" w:sz="4" w:space="0" w:color="auto"/>
            </w:tcBorders>
          </w:tcPr>
          <w:p w14:paraId="2159D8B8" w14:textId="77777777" w:rsidR="00351235" w:rsidRPr="00210126" w:rsidRDefault="00351235" w:rsidP="00C33FF9">
            <w:pPr>
              <w:widowControl w:val="0"/>
              <w:spacing w:before="100" w:beforeAutospacing="1" w:after="100" w:afterAutospacing="1"/>
              <w:rPr>
                <w:bCs/>
                <w:sz w:val="20"/>
                <w:szCs w:val="20"/>
              </w:rPr>
            </w:pPr>
            <w:r w:rsidRPr="00210126">
              <w:rPr>
                <w:bCs/>
                <w:sz w:val="20"/>
              </w:rPr>
              <w:t>European Union</w:t>
            </w:r>
          </w:p>
        </w:tc>
        <w:tc>
          <w:tcPr>
            <w:tcW w:w="2611" w:type="dxa"/>
          </w:tcPr>
          <w:p w14:paraId="0EDBC8AA" w14:textId="77777777" w:rsidR="00351235" w:rsidRPr="00C33FF9" w:rsidRDefault="00351235" w:rsidP="00C33FF9">
            <w:pPr>
              <w:widowControl w:val="0"/>
              <w:spacing w:before="100" w:beforeAutospacing="1" w:after="100" w:afterAutospacing="1"/>
              <w:rPr>
                <w:color w:val="auto"/>
                <w:sz w:val="20"/>
              </w:rPr>
            </w:pPr>
          </w:p>
        </w:tc>
      </w:tr>
      <w:tr w:rsidR="00351235" w:rsidRPr="00816DDC" w14:paraId="69688618" w14:textId="77777777" w:rsidTr="00351235">
        <w:tc>
          <w:tcPr>
            <w:tcW w:w="763" w:type="dxa"/>
          </w:tcPr>
          <w:p w14:paraId="47029A2B" w14:textId="77777777" w:rsidR="00351235" w:rsidRPr="00210126" w:rsidRDefault="00351235" w:rsidP="00C33FF9">
            <w:pPr>
              <w:widowControl w:val="0"/>
              <w:spacing w:before="100" w:beforeAutospacing="1" w:after="100" w:afterAutospacing="1"/>
              <w:rPr>
                <w:bCs/>
                <w:sz w:val="20"/>
                <w:szCs w:val="20"/>
              </w:rPr>
            </w:pPr>
            <w:r w:rsidRPr="00210126">
              <w:rPr>
                <w:bCs/>
                <w:sz w:val="20"/>
              </w:rPr>
              <w:t>10</w:t>
            </w:r>
          </w:p>
        </w:tc>
        <w:tc>
          <w:tcPr>
            <w:tcW w:w="4271" w:type="dxa"/>
          </w:tcPr>
          <w:p w14:paraId="49E13F2F" w14:textId="77777777" w:rsidR="00351235" w:rsidRPr="00210126" w:rsidRDefault="00351235" w:rsidP="00C33FF9">
            <w:pPr>
              <w:widowControl w:val="0"/>
              <w:spacing w:before="100" w:beforeAutospacing="1" w:after="100" w:afterAutospacing="1"/>
              <w:rPr>
                <w:bCs/>
                <w:sz w:val="20"/>
                <w:szCs w:val="20"/>
              </w:rPr>
            </w:pPr>
            <w:r w:rsidRPr="00210126">
              <w:rPr>
                <w:bCs/>
                <w:sz w:val="20"/>
              </w:rPr>
              <w:t>Production of chlorinated polypropene</w:t>
            </w:r>
          </w:p>
        </w:tc>
        <w:tc>
          <w:tcPr>
            <w:tcW w:w="1170" w:type="dxa"/>
          </w:tcPr>
          <w:p w14:paraId="6141C690" w14:textId="77777777" w:rsidR="00351235" w:rsidRPr="00210126" w:rsidRDefault="00351235" w:rsidP="00C33FF9">
            <w:pPr>
              <w:widowControl w:val="0"/>
              <w:spacing w:before="100" w:beforeAutospacing="1" w:after="100" w:afterAutospacing="1"/>
              <w:rPr>
                <w:bCs/>
                <w:sz w:val="20"/>
                <w:szCs w:val="20"/>
              </w:rPr>
            </w:pPr>
            <w:r w:rsidRPr="00210126">
              <w:rPr>
                <w:bCs/>
                <w:sz w:val="20"/>
              </w:rPr>
              <w:t>CTC</w:t>
            </w:r>
          </w:p>
        </w:tc>
        <w:tc>
          <w:tcPr>
            <w:tcW w:w="2610" w:type="dxa"/>
            <w:tcBorders>
              <w:bottom w:val="single" w:sz="4" w:space="0" w:color="auto"/>
              <w:right w:val="double" w:sz="4" w:space="0" w:color="auto"/>
            </w:tcBorders>
          </w:tcPr>
          <w:p w14:paraId="336B7002" w14:textId="77777777" w:rsidR="00351235" w:rsidRPr="00210126" w:rsidRDefault="00351235" w:rsidP="00C33FF9">
            <w:pPr>
              <w:widowControl w:val="0"/>
              <w:spacing w:before="100" w:beforeAutospacing="1" w:after="100" w:afterAutospacing="1"/>
              <w:rPr>
                <w:bCs/>
                <w:sz w:val="20"/>
                <w:szCs w:val="20"/>
              </w:rPr>
            </w:pPr>
            <w:r w:rsidRPr="00210126">
              <w:rPr>
                <w:bCs/>
                <w:sz w:val="20"/>
              </w:rPr>
              <w:t>China</w:t>
            </w:r>
          </w:p>
        </w:tc>
        <w:tc>
          <w:tcPr>
            <w:tcW w:w="2610" w:type="dxa"/>
            <w:tcBorders>
              <w:left w:val="double" w:sz="4" w:space="0" w:color="auto"/>
              <w:bottom w:val="single" w:sz="4" w:space="0" w:color="auto"/>
            </w:tcBorders>
          </w:tcPr>
          <w:p w14:paraId="3BB4D392" w14:textId="77777777" w:rsidR="00351235" w:rsidRPr="00210126" w:rsidRDefault="00351235" w:rsidP="00C33FF9">
            <w:pPr>
              <w:widowControl w:val="0"/>
              <w:spacing w:before="100" w:beforeAutospacing="1" w:after="100" w:afterAutospacing="1"/>
              <w:rPr>
                <w:bCs/>
                <w:sz w:val="20"/>
                <w:szCs w:val="20"/>
              </w:rPr>
            </w:pPr>
          </w:p>
        </w:tc>
        <w:tc>
          <w:tcPr>
            <w:tcW w:w="2611" w:type="dxa"/>
          </w:tcPr>
          <w:p w14:paraId="23254F86" w14:textId="77777777" w:rsidR="00351235" w:rsidRPr="00C33FF9" w:rsidRDefault="00351235" w:rsidP="00C33FF9">
            <w:pPr>
              <w:widowControl w:val="0"/>
              <w:spacing w:before="100" w:beforeAutospacing="1" w:after="100" w:afterAutospacing="1"/>
              <w:rPr>
                <w:color w:val="auto"/>
                <w:sz w:val="20"/>
              </w:rPr>
            </w:pPr>
            <w:r w:rsidRPr="00C33FF9">
              <w:rPr>
                <w:color w:val="auto"/>
                <w:sz w:val="20"/>
              </w:rPr>
              <w:t>China</w:t>
            </w:r>
          </w:p>
        </w:tc>
      </w:tr>
      <w:tr w:rsidR="00351235" w:rsidRPr="00816DDC" w14:paraId="08743E77" w14:textId="77777777" w:rsidTr="00351235">
        <w:tc>
          <w:tcPr>
            <w:tcW w:w="763" w:type="dxa"/>
          </w:tcPr>
          <w:p w14:paraId="69ED2C52" w14:textId="77777777" w:rsidR="00351235" w:rsidRPr="00210126" w:rsidRDefault="00351235" w:rsidP="00C33FF9">
            <w:pPr>
              <w:widowControl w:val="0"/>
              <w:spacing w:before="100" w:beforeAutospacing="1" w:after="100" w:afterAutospacing="1"/>
              <w:rPr>
                <w:bCs/>
                <w:sz w:val="20"/>
                <w:szCs w:val="20"/>
              </w:rPr>
            </w:pPr>
            <w:r w:rsidRPr="00210126">
              <w:rPr>
                <w:bCs/>
                <w:sz w:val="20"/>
              </w:rPr>
              <w:t>11</w:t>
            </w:r>
          </w:p>
        </w:tc>
        <w:tc>
          <w:tcPr>
            <w:tcW w:w="4271" w:type="dxa"/>
          </w:tcPr>
          <w:p w14:paraId="4ACA2B51" w14:textId="77777777" w:rsidR="00351235" w:rsidRPr="00210126" w:rsidRDefault="00351235" w:rsidP="00C33FF9">
            <w:pPr>
              <w:widowControl w:val="0"/>
              <w:spacing w:before="100" w:beforeAutospacing="1" w:after="100" w:afterAutospacing="1"/>
              <w:rPr>
                <w:bCs/>
                <w:sz w:val="20"/>
                <w:szCs w:val="20"/>
              </w:rPr>
            </w:pPr>
            <w:r w:rsidRPr="00210126">
              <w:rPr>
                <w:bCs/>
                <w:sz w:val="20"/>
              </w:rPr>
              <w:t>Production of chlorinated ethylene vinyl acetate (CEVA)</w:t>
            </w:r>
          </w:p>
        </w:tc>
        <w:tc>
          <w:tcPr>
            <w:tcW w:w="1170" w:type="dxa"/>
          </w:tcPr>
          <w:p w14:paraId="48ECA0FC" w14:textId="77777777" w:rsidR="00351235" w:rsidRPr="00210126" w:rsidRDefault="00351235" w:rsidP="00C33FF9">
            <w:pPr>
              <w:widowControl w:val="0"/>
              <w:spacing w:before="100" w:beforeAutospacing="1" w:after="100" w:afterAutospacing="1"/>
              <w:rPr>
                <w:bCs/>
                <w:sz w:val="20"/>
                <w:szCs w:val="20"/>
              </w:rPr>
            </w:pPr>
            <w:r w:rsidRPr="00210126">
              <w:rPr>
                <w:bCs/>
                <w:sz w:val="20"/>
              </w:rPr>
              <w:t>CTC</w:t>
            </w:r>
          </w:p>
        </w:tc>
        <w:tc>
          <w:tcPr>
            <w:tcW w:w="2610" w:type="dxa"/>
            <w:tcBorders>
              <w:right w:val="double" w:sz="4" w:space="0" w:color="auto"/>
            </w:tcBorders>
          </w:tcPr>
          <w:p w14:paraId="38E8C63A" w14:textId="77777777" w:rsidR="00351235" w:rsidRPr="00210126" w:rsidRDefault="00351235" w:rsidP="00C33FF9">
            <w:pPr>
              <w:widowControl w:val="0"/>
              <w:spacing w:before="100" w:beforeAutospacing="1" w:after="100" w:afterAutospacing="1"/>
              <w:rPr>
                <w:bCs/>
                <w:sz w:val="20"/>
                <w:szCs w:val="20"/>
              </w:rPr>
            </w:pPr>
            <w:r w:rsidRPr="00210126">
              <w:rPr>
                <w:bCs/>
                <w:sz w:val="20"/>
              </w:rPr>
              <w:t>China</w:t>
            </w:r>
          </w:p>
        </w:tc>
        <w:tc>
          <w:tcPr>
            <w:tcW w:w="2610" w:type="dxa"/>
            <w:tcBorders>
              <w:left w:val="double" w:sz="4" w:space="0" w:color="auto"/>
            </w:tcBorders>
          </w:tcPr>
          <w:p w14:paraId="55098160" w14:textId="77777777" w:rsidR="00351235" w:rsidRPr="00210126" w:rsidRDefault="00351235" w:rsidP="00C33FF9">
            <w:pPr>
              <w:widowControl w:val="0"/>
              <w:spacing w:before="100" w:beforeAutospacing="1" w:after="100" w:afterAutospacing="1"/>
              <w:rPr>
                <w:bCs/>
                <w:sz w:val="20"/>
                <w:szCs w:val="20"/>
              </w:rPr>
            </w:pPr>
          </w:p>
        </w:tc>
        <w:tc>
          <w:tcPr>
            <w:tcW w:w="2611" w:type="dxa"/>
          </w:tcPr>
          <w:p w14:paraId="68B525B3" w14:textId="77777777" w:rsidR="00351235" w:rsidRPr="00C33FF9" w:rsidRDefault="00351235" w:rsidP="00C33FF9">
            <w:pPr>
              <w:widowControl w:val="0"/>
              <w:spacing w:before="100" w:beforeAutospacing="1" w:after="100" w:afterAutospacing="1"/>
              <w:rPr>
                <w:color w:val="auto"/>
                <w:sz w:val="20"/>
              </w:rPr>
            </w:pPr>
            <w:r w:rsidRPr="00C33FF9">
              <w:rPr>
                <w:color w:val="auto"/>
                <w:sz w:val="20"/>
              </w:rPr>
              <w:t>China</w:t>
            </w:r>
          </w:p>
        </w:tc>
      </w:tr>
      <w:tr w:rsidR="00351235" w:rsidRPr="00816DDC" w14:paraId="6953D809" w14:textId="77777777" w:rsidTr="00351235">
        <w:tc>
          <w:tcPr>
            <w:tcW w:w="763" w:type="dxa"/>
          </w:tcPr>
          <w:p w14:paraId="6E8D0710" w14:textId="77777777" w:rsidR="00351235" w:rsidRPr="00210126" w:rsidRDefault="00351235" w:rsidP="00C33FF9">
            <w:pPr>
              <w:widowControl w:val="0"/>
              <w:spacing w:before="100" w:beforeAutospacing="1" w:after="100" w:afterAutospacing="1"/>
              <w:rPr>
                <w:bCs/>
                <w:sz w:val="20"/>
                <w:szCs w:val="20"/>
              </w:rPr>
            </w:pPr>
            <w:r w:rsidRPr="00210126">
              <w:rPr>
                <w:bCs/>
                <w:sz w:val="20"/>
              </w:rPr>
              <w:t>12</w:t>
            </w:r>
          </w:p>
        </w:tc>
        <w:tc>
          <w:tcPr>
            <w:tcW w:w="4271" w:type="dxa"/>
          </w:tcPr>
          <w:p w14:paraId="3354D49E" w14:textId="77777777" w:rsidR="00351235" w:rsidRPr="00210126" w:rsidRDefault="00351235" w:rsidP="00C33FF9">
            <w:pPr>
              <w:widowControl w:val="0"/>
              <w:spacing w:before="100" w:beforeAutospacing="1" w:after="100" w:afterAutospacing="1"/>
              <w:rPr>
                <w:bCs/>
                <w:sz w:val="20"/>
                <w:szCs w:val="20"/>
              </w:rPr>
            </w:pPr>
            <w:r w:rsidRPr="00210126">
              <w:rPr>
                <w:bCs/>
                <w:sz w:val="20"/>
              </w:rPr>
              <w:t>Production of methyl isocyanate derivatives</w:t>
            </w:r>
          </w:p>
        </w:tc>
        <w:tc>
          <w:tcPr>
            <w:tcW w:w="1170" w:type="dxa"/>
          </w:tcPr>
          <w:p w14:paraId="586D8923" w14:textId="77777777" w:rsidR="00351235" w:rsidRPr="00210126" w:rsidRDefault="00351235" w:rsidP="00C33FF9">
            <w:pPr>
              <w:widowControl w:val="0"/>
              <w:spacing w:before="100" w:beforeAutospacing="1" w:after="100" w:afterAutospacing="1"/>
              <w:rPr>
                <w:bCs/>
                <w:sz w:val="20"/>
                <w:szCs w:val="20"/>
              </w:rPr>
            </w:pPr>
            <w:r w:rsidRPr="00210126">
              <w:rPr>
                <w:bCs/>
                <w:sz w:val="20"/>
              </w:rPr>
              <w:t>CTC</w:t>
            </w:r>
          </w:p>
        </w:tc>
        <w:tc>
          <w:tcPr>
            <w:tcW w:w="2610" w:type="dxa"/>
            <w:tcBorders>
              <w:right w:val="double" w:sz="4" w:space="0" w:color="auto"/>
            </w:tcBorders>
          </w:tcPr>
          <w:p w14:paraId="7D32F873" w14:textId="77777777" w:rsidR="00351235" w:rsidRPr="00210126" w:rsidRDefault="00351235" w:rsidP="00C33FF9">
            <w:pPr>
              <w:widowControl w:val="0"/>
              <w:spacing w:before="100" w:beforeAutospacing="1" w:after="100" w:afterAutospacing="1"/>
              <w:rPr>
                <w:bCs/>
                <w:sz w:val="20"/>
                <w:szCs w:val="20"/>
              </w:rPr>
            </w:pPr>
            <w:r w:rsidRPr="00210126">
              <w:rPr>
                <w:bCs/>
                <w:sz w:val="20"/>
              </w:rPr>
              <w:t>China, Israel</w:t>
            </w:r>
          </w:p>
        </w:tc>
        <w:tc>
          <w:tcPr>
            <w:tcW w:w="2610" w:type="dxa"/>
            <w:tcBorders>
              <w:left w:val="double" w:sz="4" w:space="0" w:color="auto"/>
            </w:tcBorders>
          </w:tcPr>
          <w:p w14:paraId="277253D5" w14:textId="77777777" w:rsidR="00351235" w:rsidRPr="00210126" w:rsidRDefault="00351235" w:rsidP="00C33FF9">
            <w:pPr>
              <w:widowControl w:val="0"/>
              <w:spacing w:before="100" w:beforeAutospacing="1" w:after="100" w:afterAutospacing="1"/>
              <w:rPr>
                <w:bCs/>
                <w:sz w:val="20"/>
                <w:szCs w:val="20"/>
              </w:rPr>
            </w:pPr>
          </w:p>
        </w:tc>
        <w:tc>
          <w:tcPr>
            <w:tcW w:w="2611" w:type="dxa"/>
          </w:tcPr>
          <w:p w14:paraId="6806D630" w14:textId="77777777" w:rsidR="00351235" w:rsidRPr="00C33FF9" w:rsidRDefault="00351235" w:rsidP="00C33FF9">
            <w:pPr>
              <w:widowControl w:val="0"/>
              <w:spacing w:before="100" w:beforeAutospacing="1" w:after="100" w:afterAutospacing="1"/>
              <w:rPr>
                <w:color w:val="auto"/>
                <w:sz w:val="20"/>
              </w:rPr>
            </w:pPr>
            <w:r w:rsidRPr="00C33FF9">
              <w:rPr>
                <w:color w:val="auto"/>
                <w:sz w:val="20"/>
              </w:rPr>
              <w:t>China, Israel</w:t>
            </w:r>
          </w:p>
        </w:tc>
      </w:tr>
      <w:tr w:rsidR="00351235" w:rsidRPr="00816DDC" w14:paraId="1E7CAB3C" w14:textId="77777777" w:rsidTr="00351235">
        <w:tc>
          <w:tcPr>
            <w:tcW w:w="763" w:type="dxa"/>
          </w:tcPr>
          <w:p w14:paraId="5093C0FD" w14:textId="77777777" w:rsidR="00351235" w:rsidRPr="00210126" w:rsidRDefault="00351235" w:rsidP="00C33FF9">
            <w:pPr>
              <w:widowControl w:val="0"/>
              <w:spacing w:before="100" w:beforeAutospacing="1" w:after="100" w:afterAutospacing="1"/>
              <w:rPr>
                <w:bCs/>
                <w:sz w:val="20"/>
                <w:szCs w:val="20"/>
              </w:rPr>
            </w:pPr>
            <w:r w:rsidRPr="00210126">
              <w:rPr>
                <w:bCs/>
                <w:sz w:val="20"/>
              </w:rPr>
              <w:t>13</w:t>
            </w:r>
          </w:p>
        </w:tc>
        <w:tc>
          <w:tcPr>
            <w:tcW w:w="4271" w:type="dxa"/>
          </w:tcPr>
          <w:p w14:paraId="4F5F7D14" w14:textId="77777777" w:rsidR="00351235" w:rsidRPr="00210126" w:rsidRDefault="00351235" w:rsidP="00C33FF9">
            <w:pPr>
              <w:widowControl w:val="0"/>
              <w:spacing w:before="100" w:beforeAutospacing="1" w:after="100" w:afterAutospacing="1"/>
              <w:rPr>
                <w:bCs/>
                <w:sz w:val="20"/>
                <w:szCs w:val="20"/>
              </w:rPr>
            </w:pPr>
            <w:r w:rsidRPr="00210126">
              <w:rPr>
                <w:bCs/>
                <w:sz w:val="20"/>
              </w:rPr>
              <w:t>Bromination of a styrenic polymer</w:t>
            </w:r>
          </w:p>
        </w:tc>
        <w:tc>
          <w:tcPr>
            <w:tcW w:w="1170" w:type="dxa"/>
          </w:tcPr>
          <w:p w14:paraId="1D4E59EF" w14:textId="77777777" w:rsidR="00351235" w:rsidRPr="00210126" w:rsidRDefault="00351235" w:rsidP="00C33FF9">
            <w:pPr>
              <w:widowControl w:val="0"/>
              <w:spacing w:before="100" w:beforeAutospacing="1" w:after="100" w:afterAutospacing="1"/>
              <w:rPr>
                <w:bCs/>
                <w:sz w:val="20"/>
                <w:szCs w:val="20"/>
              </w:rPr>
            </w:pPr>
            <w:r w:rsidRPr="00210126">
              <w:rPr>
                <w:bCs/>
                <w:sz w:val="20"/>
              </w:rPr>
              <w:t>BCM</w:t>
            </w:r>
          </w:p>
        </w:tc>
        <w:tc>
          <w:tcPr>
            <w:tcW w:w="2610" w:type="dxa"/>
            <w:tcBorders>
              <w:right w:val="double" w:sz="4" w:space="0" w:color="auto"/>
            </w:tcBorders>
          </w:tcPr>
          <w:p w14:paraId="61DCEE5A" w14:textId="77777777" w:rsidR="00351235" w:rsidRPr="00210126" w:rsidRDefault="00351235" w:rsidP="00C33FF9">
            <w:pPr>
              <w:widowControl w:val="0"/>
              <w:spacing w:before="100" w:beforeAutospacing="1" w:after="100" w:afterAutospacing="1"/>
              <w:rPr>
                <w:bCs/>
                <w:sz w:val="20"/>
                <w:szCs w:val="20"/>
              </w:rPr>
            </w:pPr>
            <w:r w:rsidRPr="00210126">
              <w:rPr>
                <w:bCs/>
                <w:sz w:val="20"/>
              </w:rPr>
              <w:t>United States of America</w:t>
            </w:r>
          </w:p>
        </w:tc>
        <w:tc>
          <w:tcPr>
            <w:tcW w:w="2610" w:type="dxa"/>
            <w:tcBorders>
              <w:left w:val="double" w:sz="4" w:space="0" w:color="auto"/>
            </w:tcBorders>
          </w:tcPr>
          <w:p w14:paraId="73B0EC4D" w14:textId="77777777" w:rsidR="00351235" w:rsidRPr="00210126" w:rsidRDefault="00351235" w:rsidP="00C33FF9">
            <w:pPr>
              <w:widowControl w:val="0"/>
              <w:spacing w:before="100" w:beforeAutospacing="1" w:after="100" w:afterAutospacing="1"/>
              <w:rPr>
                <w:bCs/>
                <w:sz w:val="20"/>
                <w:szCs w:val="20"/>
              </w:rPr>
            </w:pPr>
            <w:r w:rsidRPr="00210126">
              <w:rPr>
                <w:bCs/>
                <w:sz w:val="20"/>
              </w:rPr>
              <w:t>United States of America</w:t>
            </w:r>
          </w:p>
        </w:tc>
        <w:tc>
          <w:tcPr>
            <w:tcW w:w="2611" w:type="dxa"/>
          </w:tcPr>
          <w:p w14:paraId="65663E9B" w14:textId="77777777" w:rsidR="00351235" w:rsidRPr="00C33FF9" w:rsidRDefault="00351235" w:rsidP="00C33FF9">
            <w:pPr>
              <w:widowControl w:val="0"/>
              <w:spacing w:before="100" w:beforeAutospacing="1" w:after="100" w:afterAutospacing="1"/>
              <w:rPr>
                <w:color w:val="auto"/>
                <w:sz w:val="20"/>
              </w:rPr>
            </w:pPr>
          </w:p>
        </w:tc>
      </w:tr>
      <w:tr w:rsidR="00351235" w:rsidRPr="00816DDC" w14:paraId="50B64ECE" w14:textId="77777777" w:rsidTr="00351235">
        <w:tc>
          <w:tcPr>
            <w:tcW w:w="763" w:type="dxa"/>
          </w:tcPr>
          <w:p w14:paraId="2FC1D7FE" w14:textId="77777777" w:rsidR="00351235" w:rsidRPr="00210126" w:rsidRDefault="00351235" w:rsidP="00C33FF9">
            <w:pPr>
              <w:widowControl w:val="0"/>
              <w:spacing w:before="100" w:beforeAutospacing="1" w:after="100" w:afterAutospacing="1"/>
              <w:rPr>
                <w:bCs/>
                <w:sz w:val="20"/>
                <w:szCs w:val="20"/>
              </w:rPr>
            </w:pPr>
            <w:r w:rsidRPr="00210126">
              <w:rPr>
                <w:bCs/>
                <w:sz w:val="20"/>
              </w:rPr>
              <w:t>14</w:t>
            </w:r>
          </w:p>
        </w:tc>
        <w:tc>
          <w:tcPr>
            <w:tcW w:w="4271" w:type="dxa"/>
          </w:tcPr>
          <w:p w14:paraId="3A87F1C8" w14:textId="77777777" w:rsidR="00351235" w:rsidRPr="00210126" w:rsidRDefault="00351235" w:rsidP="00C33FF9">
            <w:pPr>
              <w:widowControl w:val="0"/>
              <w:spacing w:before="100" w:beforeAutospacing="1" w:after="100" w:afterAutospacing="1"/>
              <w:rPr>
                <w:bCs/>
                <w:sz w:val="20"/>
                <w:szCs w:val="20"/>
              </w:rPr>
            </w:pPr>
            <w:r w:rsidRPr="00210126">
              <w:rPr>
                <w:bCs/>
                <w:sz w:val="20"/>
              </w:rPr>
              <w:t>Production of high modulus polyethylene fibre</w:t>
            </w:r>
          </w:p>
        </w:tc>
        <w:tc>
          <w:tcPr>
            <w:tcW w:w="1170" w:type="dxa"/>
          </w:tcPr>
          <w:p w14:paraId="0C535C94" w14:textId="77777777" w:rsidR="00351235" w:rsidRPr="00210126" w:rsidRDefault="00351235" w:rsidP="00C33FF9">
            <w:pPr>
              <w:widowControl w:val="0"/>
              <w:spacing w:before="100" w:beforeAutospacing="1" w:after="100" w:afterAutospacing="1"/>
              <w:rPr>
                <w:bCs/>
                <w:sz w:val="20"/>
                <w:szCs w:val="20"/>
              </w:rPr>
            </w:pPr>
            <w:r w:rsidRPr="00210126">
              <w:rPr>
                <w:bCs/>
                <w:sz w:val="20"/>
              </w:rPr>
              <w:t>CFC-113</w:t>
            </w:r>
          </w:p>
        </w:tc>
        <w:tc>
          <w:tcPr>
            <w:tcW w:w="2610" w:type="dxa"/>
            <w:tcBorders>
              <w:right w:val="double" w:sz="4" w:space="0" w:color="auto"/>
            </w:tcBorders>
          </w:tcPr>
          <w:p w14:paraId="751341D9" w14:textId="77777777" w:rsidR="00351235" w:rsidRPr="00210126" w:rsidRDefault="00351235" w:rsidP="00C33FF9">
            <w:pPr>
              <w:widowControl w:val="0"/>
              <w:spacing w:before="100" w:beforeAutospacing="1" w:after="100" w:afterAutospacing="1"/>
              <w:rPr>
                <w:bCs/>
                <w:sz w:val="20"/>
                <w:szCs w:val="20"/>
              </w:rPr>
            </w:pPr>
            <w:r w:rsidRPr="00210126">
              <w:rPr>
                <w:bCs/>
                <w:sz w:val="20"/>
              </w:rPr>
              <w:t>United States of America</w:t>
            </w:r>
          </w:p>
        </w:tc>
        <w:tc>
          <w:tcPr>
            <w:tcW w:w="2610" w:type="dxa"/>
            <w:tcBorders>
              <w:left w:val="double" w:sz="4" w:space="0" w:color="auto"/>
            </w:tcBorders>
          </w:tcPr>
          <w:p w14:paraId="7ED228D9" w14:textId="77777777" w:rsidR="00351235" w:rsidRPr="00210126" w:rsidRDefault="00351235" w:rsidP="00C33FF9">
            <w:pPr>
              <w:widowControl w:val="0"/>
              <w:spacing w:before="100" w:beforeAutospacing="1" w:after="100" w:afterAutospacing="1"/>
              <w:rPr>
                <w:bCs/>
                <w:sz w:val="20"/>
                <w:szCs w:val="20"/>
              </w:rPr>
            </w:pPr>
            <w:r w:rsidRPr="00210126">
              <w:rPr>
                <w:bCs/>
                <w:sz w:val="20"/>
              </w:rPr>
              <w:t>United States of America</w:t>
            </w:r>
          </w:p>
        </w:tc>
        <w:tc>
          <w:tcPr>
            <w:tcW w:w="2611" w:type="dxa"/>
          </w:tcPr>
          <w:p w14:paraId="5F761952" w14:textId="77777777" w:rsidR="00351235" w:rsidRPr="00C33FF9" w:rsidRDefault="00351235" w:rsidP="00C33FF9">
            <w:pPr>
              <w:widowControl w:val="0"/>
              <w:spacing w:before="100" w:beforeAutospacing="1" w:after="100" w:afterAutospacing="1"/>
              <w:rPr>
                <w:color w:val="auto"/>
                <w:sz w:val="20"/>
              </w:rPr>
            </w:pPr>
          </w:p>
        </w:tc>
      </w:tr>
    </w:tbl>
    <w:p w14:paraId="7CFA23E0" w14:textId="74DF80D3" w:rsidR="00351235" w:rsidRPr="00210126" w:rsidRDefault="00351235" w:rsidP="00351235">
      <w:pPr>
        <w:widowControl w:val="0"/>
        <w:rPr>
          <w:b/>
          <w:bCs/>
        </w:rPr>
      </w:pPr>
    </w:p>
    <w:p w14:paraId="233F4FEC" w14:textId="3D5E224D" w:rsidR="00351235" w:rsidRPr="00DA0F78" w:rsidRDefault="00351235" w:rsidP="00C33FF9">
      <w:pPr>
        <w:keepNext/>
        <w:rPr>
          <w:i/>
          <w:sz w:val="24"/>
          <w:szCs w:val="24"/>
        </w:rPr>
      </w:pPr>
      <w:r w:rsidRPr="00DA0F78">
        <w:rPr>
          <w:b/>
          <w:i/>
          <w:sz w:val="24"/>
          <w:szCs w:val="24"/>
        </w:rPr>
        <w:lastRenderedPageBreak/>
        <w:t>Table B: Limits for process agent uses (all figures are in metric tonnes per year)</w:t>
      </w:r>
      <w:r w:rsidRPr="00DA0F78">
        <w:rPr>
          <w:rStyle w:val="FootnoteReference"/>
          <w:b/>
          <w:bCs/>
          <w:i/>
          <w:sz w:val="24"/>
          <w:szCs w:val="24"/>
        </w:rPr>
        <w:footnoteReference w:id="4"/>
      </w:r>
      <w:r w:rsidRPr="00DA0F78">
        <w:rPr>
          <w:b/>
          <w:i/>
          <w:sz w:val="24"/>
          <w:szCs w:val="24"/>
        </w:rPr>
        <w:t xml:space="preserve"> </w:t>
      </w:r>
    </w:p>
    <w:tbl>
      <w:tblPr>
        <w:tblStyle w:val="TableGrid"/>
        <w:tblW w:w="0" w:type="auto"/>
        <w:tblLayout w:type="fixed"/>
        <w:tblLook w:val="04A0" w:firstRow="1" w:lastRow="0" w:firstColumn="1" w:lastColumn="0" w:noHBand="0" w:noVBand="1"/>
      </w:tblPr>
      <w:tblGrid>
        <w:gridCol w:w="1278"/>
        <w:gridCol w:w="1620"/>
        <w:gridCol w:w="1530"/>
        <w:gridCol w:w="2103"/>
        <w:gridCol w:w="1998"/>
      </w:tblGrid>
      <w:tr w:rsidR="00351235" w:rsidRPr="006F6BA3" w14:paraId="4AC8C5FC" w14:textId="77777777" w:rsidTr="0015746F">
        <w:tc>
          <w:tcPr>
            <w:tcW w:w="1278" w:type="dxa"/>
            <w:vAlign w:val="center"/>
          </w:tcPr>
          <w:p w14:paraId="4EE9DAD6" w14:textId="6ECBEB7A" w:rsidR="00351235" w:rsidRPr="0015746F" w:rsidRDefault="00351235">
            <w:pPr>
              <w:spacing w:after="120"/>
              <w:rPr>
                <w:sz w:val="20"/>
                <w:szCs w:val="20"/>
              </w:rPr>
            </w:pPr>
            <w:r w:rsidRPr="0015746F">
              <w:rPr>
                <w:b/>
                <w:bCs/>
                <w:sz w:val="20"/>
              </w:rPr>
              <w:t>Party</w:t>
            </w:r>
          </w:p>
        </w:tc>
        <w:tc>
          <w:tcPr>
            <w:tcW w:w="1620" w:type="dxa"/>
            <w:vAlign w:val="center"/>
          </w:tcPr>
          <w:p w14:paraId="7C7D363B" w14:textId="77777777" w:rsidR="00351235" w:rsidRPr="0015746F" w:rsidRDefault="00351235">
            <w:pPr>
              <w:spacing w:after="0"/>
              <w:jc w:val="center"/>
              <w:rPr>
                <w:b/>
                <w:bCs/>
                <w:sz w:val="20"/>
                <w:szCs w:val="20"/>
              </w:rPr>
            </w:pPr>
            <w:r w:rsidRPr="0015746F">
              <w:rPr>
                <w:b/>
                <w:bCs/>
                <w:sz w:val="20"/>
              </w:rPr>
              <w:t>Make-up or consumption</w:t>
            </w:r>
          </w:p>
          <w:p w14:paraId="6A966440" w14:textId="77777777" w:rsidR="00351235" w:rsidRPr="0015746F" w:rsidRDefault="00351235">
            <w:pPr>
              <w:spacing w:after="0"/>
              <w:jc w:val="center"/>
              <w:rPr>
                <w:b/>
                <w:bCs/>
                <w:sz w:val="20"/>
                <w:szCs w:val="20"/>
              </w:rPr>
            </w:pPr>
            <w:r w:rsidRPr="0015746F">
              <w:rPr>
                <w:b/>
                <w:bCs/>
                <w:sz w:val="20"/>
              </w:rPr>
              <w:t>Decision XXIII/7</w:t>
            </w:r>
          </w:p>
        </w:tc>
        <w:tc>
          <w:tcPr>
            <w:tcW w:w="1530" w:type="dxa"/>
            <w:vAlign w:val="center"/>
          </w:tcPr>
          <w:p w14:paraId="2690DDF8" w14:textId="77777777" w:rsidR="00351235" w:rsidRPr="0015746F" w:rsidRDefault="00351235">
            <w:pPr>
              <w:spacing w:after="0"/>
              <w:jc w:val="center"/>
              <w:rPr>
                <w:b/>
                <w:bCs/>
                <w:sz w:val="20"/>
                <w:szCs w:val="20"/>
              </w:rPr>
            </w:pPr>
            <w:r w:rsidRPr="0015746F">
              <w:rPr>
                <w:b/>
                <w:bCs/>
                <w:sz w:val="20"/>
              </w:rPr>
              <w:t>Maximum emissions</w:t>
            </w:r>
          </w:p>
          <w:p w14:paraId="1EA02A18" w14:textId="77777777" w:rsidR="00351235" w:rsidRPr="0015746F" w:rsidRDefault="00351235">
            <w:pPr>
              <w:spacing w:after="0"/>
              <w:jc w:val="center"/>
              <w:rPr>
                <w:sz w:val="20"/>
                <w:szCs w:val="20"/>
              </w:rPr>
            </w:pPr>
            <w:r w:rsidRPr="0015746F">
              <w:rPr>
                <w:b/>
                <w:bCs/>
                <w:sz w:val="20"/>
              </w:rPr>
              <w:t>Decision XXIII/7</w:t>
            </w:r>
          </w:p>
        </w:tc>
        <w:tc>
          <w:tcPr>
            <w:tcW w:w="2103" w:type="dxa"/>
            <w:vAlign w:val="center"/>
          </w:tcPr>
          <w:p w14:paraId="017B9AA3" w14:textId="77777777" w:rsidR="00351235" w:rsidRPr="0015746F" w:rsidRDefault="00351235">
            <w:pPr>
              <w:spacing w:after="120"/>
              <w:jc w:val="center"/>
              <w:rPr>
                <w:b/>
                <w:bCs/>
                <w:sz w:val="20"/>
                <w:szCs w:val="20"/>
              </w:rPr>
            </w:pPr>
            <w:r w:rsidRPr="0015746F">
              <w:rPr>
                <w:b/>
                <w:bCs/>
                <w:sz w:val="20"/>
              </w:rPr>
              <w:t>Reported make-up or consumption for 2015</w:t>
            </w:r>
          </w:p>
        </w:tc>
        <w:tc>
          <w:tcPr>
            <w:tcW w:w="1998" w:type="dxa"/>
            <w:vAlign w:val="center"/>
          </w:tcPr>
          <w:p w14:paraId="7DE8105D" w14:textId="77777777" w:rsidR="00351235" w:rsidRPr="0015746F" w:rsidRDefault="00351235">
            <w:pPr>
              <w:spacing w:after="120"/>
              <w:jc w:val="center"/>
              <w:rPr>
                <w:b/>
                <w:bCs/>
                <w:sz w:val="20"/>
                <w:szCs w:val="20"/>
              </w:rPr>
            </w:pPr>
            <w:r w:rsidRPr="0015746F">
              <w:rPr>
                <w:b/>
                <w:bCs/>
                <w:sz w:val="20"/>
              </w:rPr>
              <w:t>Reported emissions for 2015</w:t>
            </w:r>
          </w:p>
        </w:tc>
      </w:tr>
      <w:tr w:rsidR="00351235" w:rsidRPr="006F6BA3" w14:paraId="3C42E6CF" w14:textId="77777777" w:rsidTr="0015746F">
        <w:tc>
          <w:tcPr>
            <w:tcW w:w="1278" w:type="dxa"/>
            <w:vAlign w:val="center"/>
          </w:tcPr>
          <w:p w14:paraId="13601FDA" w14:textId="20158A61" w:rsidR="00351235" w:rsidRPr="0015746F" w:rsidRDefault="00351235">
            <w:pPr>
              <w:spacing w:before="100" w:beforeAutospacing="1" w:after="100" w:afterAutospacing="1"/>
              <w:rPr>
                <w:sz w:val="20"/>
                <w:szCs w:val="20"/>
              </w:rPr>
            </w:pPr>
            <w:r w:rsidRPr="0015746F">
              <w:rPr>
                <w:sz w:val="20"/>
              </w:rPr>
              <w:t>China</w:t>
            </w:r>
          </w:p>
        </w:tc>
        <w:tc>
          <w:tcPr>
            <w:tcW w:w="1620" w:type="dxa"/>
            <w:vAlign w:val="center"/>
          </w:tcPr>
          <w:p w14:paraId="69B2B6B9" w14:textId="77777777" w:rsidR="00351235" w:rsidRPr="0015746F" w:rsidRDefault="00351235" w:rsidP="0015746F">
            <w:pPr>
              <w:tabs>
                <w:tab w:val="decimal" w:pos="1611"/>
              </w:tabs>
              <w:spacing w:before="100" w:beforeAutospacing="1" w:after="100" w:afterAutospacing="1"/>
              <w:ind w:right="918"/>
              <w:jc w:val="center"/>
              <w:rPr>
                <w:sz w:val="20"/>
                <w:szCs w:val="20"/>
              </w:rPr>
            </w:pPr>
            <w:r w:rsidRPr="0015746F">
              <w:rPr>
                <w:sz w:val="20"/>
              </w:rPr>
              <w:t>1,103</w:t>
            </w:r>
          </w:p>
        </w:tc>
        <w:tc>
          <w:tcPr>
            <w:tcW w:w="1530" w:type="dxa"/>
            <w:vAlign w:val="center"/>
          </w:tcPr>
          <w:p w14:paraId="0818D0D2" w14:textId="756A63A8" w:rsidR="00351235" w:rsidRPr="0015746F" w:rsidRDefault="00351235" w:rsidP="0015746F">
            <w:pPr>
              <w:spacing w:before="100" w:beforeAutospacing="1" w:after="100" w:afterAutospacing="1"/>
              <w:ind w:right="929"/>
              <w:jc w:val="center"/>
              <w:rPr>
                <w:sz w:val="20"/>
                <w:szCs w:val="20"/>
              </w:rPr>
            </w:pPr>
            <w:r w:rsidRPr="0015746F">
              <w:rPr>
                <w:sz w:val="20"/>
              </w:rPr>
              <w:t>313</w:t>
            </w:r>
          </w:p>
        </w:tc>
        <w:tc>
          <w:tcPr>
            <w:tcW w:w="2103" w:type="dxa"/>
            <w:vAlign w:val="center"/>
          </w:tcPr>
          <w:p w14:paraId="3B0FB433" w14:textId="77777777" w:rsidR="00351235" w:rsidRPr="0015746F" w:rsidRDefault="00351235" w:rsidP="0015746F">
            <w:pPr>
              <w:tabs>
                <w:tab w:val="decimal" w:pos="1327"/>
              </w:tabs>
              <w:spacing w:before="100" w:beforeAutospacing="1" w:after="100" w:afterAutospacing="1"/>
              <w:ind w:left="51" w:right="853"/>
              <w:jc w:val="center"/>
              <w:rPr>
                <w:sz w:val="20"/>
                <w:szCs w:val="20"/>
              </w:rPr>
            </w:pPr>
            <w:r w:rsidRPr="0015746F">
              <w:rPr>
                <w:sz w:val="20"/>
              </w:rPr>
              <w:t>179.84</w:t>
            </w:r>
          </w:p>
        </w:tc>
        <w:tc>
          <w:tcPr>
            <w:tcW w:w="1998" w:type="dxa"/>
            <w:vAlign w:val="center"/>
          </w:tcPr>
          <w:p w14:paraId="6480CCEF" w14:textId="77777777" w:rsidR="00351235" w:rsidRPr="0015746F" w:rsidRDefault="00351235" w:rsidP="0015746F">
            <w:pPr>
              <w:tabs>
                <w:tab w:val="decimal" w:pos="1258"/>
              </w:tabs>
              <w:spacing w:before="100" w:beforeAutospacing="1" w:after="100" w:afterAutospacing="1"/>
              <w:ind w:left="80" w:right="550"/>
              <w:jc w:val="center"/>
              <w:rPr>
                <w:sz w:val="20"/>
                <w:szCs w:val="20"/>
              </w:rPr>
            </w:pPr>
            <w:r w:rsidRPr="0015746F">
              <w:rPr>
                <w:sz w:val="20"/>
              </w:rPr>
              <w:t>106.46</w:t>
            </w:r>
          </w:p>
        </w:tc>
      </w:tr>
      <w:tr w:rsidR="00351235" w:rsidRPr="006F6BA3" w14:paraId="4678F142" w14:textId="77777777" w:rsidTr="0015746F">
        <w:tc>
          <w:tcPr>
            <w:tcW w:w="1278" w:type="dxa"/>
            <w:vAlign w:val="center"/>
          </w:tcPr>
          <w:p w14:paraId="6D9D61F2" w14:textId="0D7E1B9F" w:rsidR="00351235" w:rsidRPr="0015746F" w:rsidRDefault="00351235">
            <w:pPr>
              <w:spacing w:before="100" w:beforeAutospacing="1" w:after="100" w:afterAutospacing="1"/>
              <w:rPr>
                <w:sz w:val="20"/>
                <w:szCs w:val="20"/>
              </w:rPr>
            </w:pPr>
            <w:r w:rsidRPr="0015746F">
              <w:rPr>
                <w:sz w:val="20"/>
              </w:rPr>
              <w:t>European Union</w:t>
            </w:r>
          </w:p>
        </w:tc>
        <w:tc>
          <w:tcPr>
            <w:tcW w:w="1620" w:type="dxa"/>
            <w:vAlign w:val="center"/>
          </w:tcPr>
          <w:p w14:paraId="49C37D72" w14:textId="39F65258" w:rsidR="00351235" w:rsidRPr="0015746F" w:rsidRDefault="00351235" w:rsidP="0015746F">
            <w:pPr>
              <w:tabs>
                <w:tab w:val="decimal" w:pos="1611"/>
              </w:tabs>
              <w:spacing w:before="100" w:beforeAutospacing="1" w:after="100" w:afterAutospacing="1"/>
              <w:ind w:right="918"/>
              <w:jc w:val="center"/>
              <w:rPr>
                <w:sz w:val="20"/>
                <w:szCs w:val="20"/>
              </w:rPr>
            </w:pPr>
            <w:r w:rsidRPr="0015746F">
              <w:rPr>
                <w:sz w:val="20"/>
              </w:rPr>
              <w:t>1,083</w:t>
            </w:r>
          </w:p>
        </w:tc>
        <w:tc>
          <w:tcPr>
            <w:tcW w:w="1530" w:type="dxa"/>
            <w:vAlign w:val="center"/>
          </w:tcPr>
          <w:p w14:paraId="6BB0540E" w14:textId="39C1BA8F" w:rsidR="00351235" w:rsidRPr="0015746F" w:rsidRDefault="00351235" w:rsidP="0015746F">
            <w:pPr>
              <w:spacing w:before="100" w:beforeAutospacing="1" w:after="100" w:afterAutospacing="1"/>
              <w:ind w:right="929"/>
              <w:jc w:val="center"/>
              <w:rPr>
                <w:sz w:val="20"/>
                <w:szCs w:val="20"/>
              </w:rPr>
            </w:pPr>
            <w:r w:rsidRPr="0015746F">
              <w:rPr>
                <w:sz w:val="20"/>
              </w:rPr>
              <w:t>17</w:t>
            </w:r>
          </w:p>
        </w:tc>
        <w:tc>
          <w:tcPr>
            <w:tcW w:w="2103" w:type="dxa"/>
            <w:vAlign w:val="center"/>
          </w:tcPr>
          <w:p w14:paraId="66958E86" w14:textId="77777777" w:rsidR="00351235" w:rsidRPr="0015746F" w:rsidRDefault="00351235" w:rsidP="0015746F">
            <w:pPr>
              <w:tabs>
                <w:tab w:val="decimal" w:pos="1327"/>
              </w:tabs>
              <w:spacing w:before="100" w:beforeAutospacing="1" w:after="100" w:afterAutospacing="1"/>
              <w:ind w:left="51" w:right="853"/>
              <w:jc w:val="center"/>
              <w:rPr>
                <w:sz w:val="20"/>
                <w:szCs w:val="20"/>
              </w:rPr>
            </w:pPr>
            <w:r w:rsidRPr="0015746F">
              <w:rPr>
                <w:sz w:val="20"/>
              </w:rPr>
              <w:t>283.313</w:t>
            </w:r>
          </w:p>
        </w:tc>
        <w:tc>
          <w:tcPr>
            <w:tcW w:w="1998" w:type="dxa"/>
            <w:vAlign w:val="center"/>
          </w:tcPr>
          <w:p w14:paraId="1289AB2F" w14:textId="77777777" w:rsidR="00351235" w:rsidRPr="0015746F" w:rsidRDefault="00351235" w:rsidP="0015746F">
            <w:pPr>
              <w:tabs>
                <w:tab w:val="decimal" w:pos="1258"/>
              </w:tabs>
              <w:spacing w:before="100" w:beforeAutospacing="1" w:after="100" w:afterAutospacing="1"/>
              <w:ind w:left="80" w:right="550"/>
              <w:jc w:val="center"/>
              <w:rPr>
                <w:sz w:val="20"/>
                <w:szCs w:val="20"/>
              </w:rPr>
            </w:pPr>
            <w:r w:rsidRPr="0015746F">
              <w:rPr>
                <w:sz w:val="20"/>
              </w:rPr>
              <w:t>6.414</w:t>
            </w:r>
          </w:p>
        </w:tc>
      </w:tr>
      <w:tr w:rsidR="00351235" w:rsidRPr="006F6BA3" w14:paraId="2A35A3A4" w14:textId="77777777" w:rsidTr="0015746F">
        <w:tc>
          <w:tcPr>
            <w:tcW w:w="1278" w:type="dxa"/>
            <w:vAlign w:val="center"/>
          </w:tcPr>
          <w:p w14:paraId="28CC39E2" w14:textId="581EC974" w:rsidR="00351235" w:rsidRPr="0015746F" w:rsidRDefault="00351235">
            <w:pPr>
              <w:spacing w:before="100" w:beforeAutospacing="1" w:after="100" w:afterAutospacing="1"/>
              <w:rPr>
                <w:color w:val="auto"/>
                <w:sz w:val="20"/>
                <w:szCs w:val="20"/>
              </w:rPr>
            </w:pPr>
            <w:r w:rsidRPr="0015746F">
              <w:rPr>
                <w:color w:val="auto"/>
                <w:sz w:val="20"/>
              </w:rPr>
              <w:t>Israel</w:t>
            </w:r>
          </w:p>
        </w:tc>
        <w:tc>
          <w:tcPr>
            <w:tcW w:w="1620" w:type="dxa"/>
            <w:vAlign w:val="center"/>
          </w:tcPr>
          <w:p w14:paraId="3DD562D3" w14:textId="30234840" w:rsidR="00351235" w:rsidRPr="0015746F" w:rsidRDefault="00351235" w:rsidP="0015746F">
            <w:pPr>
              <w:tabs>
                <w:tab w:val="decimal" w:pos="1611"/>
              </w:tabs>
              <w:spacing w:before="100" w:beforeAutospacing="1" w:after="100" w:afterAutospacing="1"/>
              <w:ind w:right="918"/>
              <w:jc w:val="center"/>
              <w:rPr>
                <w:color w:val="auto"/>
                <w:sz w:val="20"/>
                <w:szCs w:val="20"/>
              </w:rPr>
            </w:pPr>
            <w:r w:rsidRPr="0015746F">
              <w:rPr>
                <w:color w:val="auto"/>
                <w:sz w:val="20"/>
              </w:rPr>
              <w:t>3.5</w:t>
            </w:r>
          </w:p>
        </w:tc>
        <w:tc>
          <w:tcPr>
            <w:tcW w:w="1530" w:type="dxa"/>
            <w:vAlign w:val="center"/>
          </w:tcPr>
          <w:p w14:paraId="3E3D1CAF" w14:textId="5497824F" w:rsidR="00351235" w:rsidRPr="0015746F" w:rsidRDefault="00351235" w:rsidP="0015746F">
            <w:pPr>
              <w:spacing w:before="100" w:beforeAutospacing="1" w:after="100" w:afterAutospacing="1"/>
              <w:ind w:right="929"/>
              <w:jc w:val="center"/>
              <w:rPr>
                <w:color w:val="auto"/>
                <w:sz w:val="20"/>
                <w:szCs w:val="20"/>
              </w:rPr>
            </w:pPr>
            <w:r w:rsidRPr="0015746F">
              <w:rPr>
                <w:color w:val="auto"/>
                <w:sz w:val="20"/>
              </w:rPr>
              <w:t>0</w:t>
            </w:r>
          </w:p>
        </w:tc>
        <w:tc>
          <w:tcPr>
            <w:tcW w:w="2103" w:type="dxa"/>
            <w:vAlign w:val="center"/>
          </w:tcPr>
          <w:p w14:paraId="49822BDB" w14:textId="77777777" w:rsidR="00351235" w:rsidRPr="0015746F" w:rsidRDefault="00351235" w:rsidP="0015746F">
            <w:pPr>
              <w:tabs>
                <w:tab w:val="decimal" w:pos="1327"/>
              </w:tabs>
              <w:spacing w:before="100" w:beforeAutospacing="1" w:after="100" w:afterAutospacing="1"/>
              <w:ind w:left="51" w:right="853"/>
              <w:jc w:val="center"/>
              <w:rPr>
                <w:color w:val="auto"/>
                <w:sz w:val="20"/>
                <w:szCs w:val="20"/>
              </w:rPr>
            </w:pPr>
            <w:r w:rsidRPr="0015746F">
              <w:rPr>
                <w:color w:val="auto"/>
                <w:sz w:val="20"/>
              </w:rPr>
              <w:t>1.8</w:t>
            </w:r>
          </w:p>
        </w:tc>
        <w:tc>
          <w:tcPr>
            <w:tcW w:w="1998" w:type="dxa"/>
            <w:vAlign w:val="center"/>
          </w:tcPr>
          <w:p w14:paraId="21D958F0" w14:textId="77777777" w:rsidR="00351235" w:rsidRPr="0015746F" w:rsidRDefault="00351235" w:rsidP="0015746F">
            <w:pPr>
              <w:tabs>
                <w:tab w:val="decimal" w:pos="1258"/>
              </w:tabs>
              <w:spacing w:before="100" w:beforeAutospacing="1" w:after="100" w:afterAutospacing="1"/>
              <w:ind w:left="80" w:right="550"/>
              <w:jc w:val="center"/>
              <w:rPr>
                <w:color w:val="auto"/>
                <w:sz w:val="20"/>
                <w:szCs w:val="20"/>
              </w:rPr>
            </w:pPr>
            <w:r w:rsidRPr="0015746F">
              <w:rPr>
                <w:color w:val="auto"/>
                <w:sz w:val="20"/>
              </w:rPr>
              <w:t>0.0617</w:t>
            </w:r>
          </w:p>
        </w:tc>
      </w:tr>
      <w:tr w:rsidR="00351235" w:rsidRPr="006F6BA3" w14:paraId="1999CCDC" w14:textId="77777777" w:rsidTr="0015746F">
        <w:tc>
          <w:tcPr>
            <w:tcW w:w="1278" w:type="dxa"/>
            <w:vAlign w:val="center"/>
          </w:tcPr>
          <w:p w14:paraId="66D383BF" w14:textId="536F0057" w:rsidR="00351235" w:rsidRPr="0015746F" w:rsidRDefault="00351235">
            <w:pPr>
              <w:spacing w:before="100" w:beforeAutospacing="1" w:after="100" w:afterAutospacing="1"/>
              <w:rPr>
                <w:sz w:val="20"/>
                <w:szCs w:val="20"/>
              </w:rPr>
            </w:pPr>
            <w:r w:rsidRPr="0015746F">
              <w:rPr>
                <w:sz w:val="20"/>
              </w:rPr>
              <w:t>United States of America</w:t>
            </w:r>
          </w:p>
        </w:tc>
        <w:tc>
          <w:tcPr>
            <w:tcW w:w="1620" w:type="dxa"/>
            <w:vAlign w:val="center"/>
          </w:tcPr>
          <w:p w14:paraId="5B7226ED" w14:textId="646CFC2B" w:rsidR="00351235" w:rsidRPr="0015746F" w:rsidRDefault="00351235" w:rsidP="0015746F">
            <w:pPr>
              <w:tabs>
                <w:tab w:val="decimal" w:pos="1611"/>
              </w:tabs>
              <w:spacing w:before="100" w:beforeAutospacing="1" w:after="100" w:afterAutospacing="1"/>
              <w:ind w:right="919"/>
              <w:jc w:val="center"/>
              <w:rPr>
                <w:sz w:val="20"/>
                <w:szCs w:val="20"/>
              </w:rPr>
            </w:pPr>
            <w:r w:rsidRPr="0015746F">
              <w:rPr>
                <w:sz w:val="20"/>
              </w:rPr>
              <w:t>2,300</w:t>
            </w:r>
          </w:p>
        </w:tc>
        <w:tc>
          <w:tcPr>
            <w:tcW w:w="1530" w:type="dxa"/>
            <w:vAlign w:val="center"/>
          </w:tcPr>
          <w:p w14:paraId="454C4B8E" w14:textId="4412F369" w:rsidR="00351235" w:rsidRPr="0015746F" w:rsidRDefault="00351235" w:rsidP="0015746F">
            <w:pPr>
              <w:spacing w:before="100" w:beforeAutospacing="1" w:after="100" w:afterAutospacing="1"/>
              <w:ind w:right="929"/>
              <w:jc w:val="center"/>
              <w:rPr>
                <w:sz w:val="20"/>
                <w:szCs w:val="20"/>
              </w:rPr>
            </w:pPr>
            <w:r w:rsidRPr="0015746F">
              <w:rPr>
                <w:sz w:val="20"/>
              </w:rPr>
              <w:t>181</w:t>
            </w:r>
          </w:p>
        </w:tc>
        <w:tc>
          <w:tcPr>
            <w:tcW w:w="2103" w:type="dxa"/>
            <w:vAlign w:val="center"/>
          </w:tcPr>
          <w:p w14:paraId="1AFB7149" w14:textId="77777777" w:rsidR="00351235" w:rsidRPr="0015746F" w:rsidRDefault="00351235" w:rsidP="0015746F">
            <w:pPr>
              <w:tabs>
                <w:tab w:val="decimal" w:pos="1696"/>
              </w:tabs>
              <w:spacing w:before="100" w:beforeAutospacing="1" w:after="100" w:afterAutospacing="1"/>
              <w:ind w:left="51" w:right="980"/>
              <w:jc w:val="center"/>
              <w:rPr>
                <w:sz w:val="20"/>
                <w:szCs w:val="20"/>
              </w:rPr>
            </w:pPr>
            <w:r w:rsidRPr="0015746F">
              <w:rPr>
                <w:sz w:val="20"/>
              </w:rPr>
              <w:t>Not reported</w:t>
            </w:r>
          </w:p>
        </w:tc>
        <w:tc>
          <w:tcPr>
            <w:tcW w:w="1998" w:type="dxa"/>
            <w:vAlign w:val="center"/>
          </w:tcPr>
          <w:p w14:paraId="3B35CA2C" w14:textId="77777777" w:rsidR="00351235" w:rsidRPr="0015746F" w:rsidRDefault="00351235" w:rsidP="0015746F">
            <w:pPr>
              <w:tabs>
                <w:tab w:val="decimal" w:pos="1258"/>
              </w:tabs>
              <w:spacing w:before="100" w:beforeAutospacing="1" w:after="100" w:afterAutospacing="1"/>
              <w:ind w:left="80" w:right="550"/>
              <w:jc w:val="center"/>
              <w:rPr>
                <w:sz w:val="20"/>
                <w:szCs w:val="20"/>
              </w:rPr>
            </w:pPr>
            <w:r w:rsidRPr="0015746F">
              <w:rPr>
                <w:sz w:val="20"/>
              </w:rPr>
              <w:t>33.2</w:t>
            </w:r>
          </w:p>
        </w:tc>
      </w:tr>
      <w:tr w:rsidR="00351235" w:rsidRPr="006F6BA3" w14:paraId="2209597D" w14:textId="77777777" w:rsidTr="0015746F">
        <w:tc>
          <w:tcPr>
            <w:tcW w:w="1278" w:type="dxa"/>
            <w:vAlign w:val="center"/>
          </w:tcPr>
          <w:p w14:paraId="3C54C35A" w14:textId="2610CB4D" w:rsidR="00351235" w:rsidRPr="0015746F" w:rsidRDefault="00351235">
            <w:pPr>
              <w:spacing w:before="100" w:beforeAutospacing="1" w:after="100" w:afterAutospacing="1"/>
              <w:rPr>
                <w:sz w:val="20"/>
                <w:szCs w:val="20"/>
              </w:rPr>
            </w:pPr>
            <w:r w:rsidRPr="0015746F">
              <w:rPr>
                <w:b/>
                <w:sz w:val="20"/>
              </w:rPr>
              <w:t>Total</w:t>
            </w:r>
          </w:p>
        </w:tc>
        <w:tc>
          <w:tcPr>
            <w:tcW w:w="1620" w:type="dxa"/>
            <w:vAlign w:val="center"/>
          </w:tcPr>
          <w:p w14:paraId="1AD72CB6" w14:textId="6D541FBD" w:rsidR="00351235" w:rsidRPr="0015746F" w:rsidRDefault="00351235" w:rsidP="0015746F">
            <w:pPr>
              <w:tabs>
                <w:tab w:val="decimal" w:pos="1611"/>
              </w:tabs>
              <w:spacing w:before="100" w:beforeAutospacing="1" w:after="100" w:afterAutospacing="1"/>
              <w:ind w:right="918"/>
              <w:jc w:val="center"/>
              <w:rPr>
                <w:sz w:val="20"/>
                <w:szCs w:val="20"/>
              </w:rPr>
            </w:pPr>
            <w:r w:rsidRPr="0015746F">
              <w:rPr>
                <w:sz w:val="20"/>
              </w:rPr>
              <w:t>4,489.5</w:t>
            </w:r>
          </w:p>
        </w:tc>
        <w:tc>
          <w:tcPr>
            <w:tcW w:w="1530" w:type="dxa"/>
            <w:vAlign w:val="center"/>
          </w:tcPr>
          <w:p w14:paraId="4BDB13DD" w14:textId="4F527C89" w:rsidR="00351235" w:rsidRPr="0015746F" w:rsidRDefault="00351235" w:rsidP="0015746F">
            <w:pPr>
              <w:spacing w:before="100" w:beforeAutospacing="1" w:after="100" w:afterAutospacing="1"/>
              <w:ind w:right="929"/>
              <w:jc w:val="center"/>
              <w:rPr>
                <w:sz w:val="20"/>
                <w:szCs w:val="20"/>
              </w:rPr>
            </w:pPr>
            <w:r w:rsidRPr="0015746F">
              <w:rPr>
                <w:sz w:val="20"/>
              </w:rPr>
              <w:t>511</w:t>
            </w:r>
          </w:p>
        </w:tc>
        <w:tc>
          <w:tcPr>
            <w:tcW w:w="2103" w:type="dxa"/>
            <w:vAlign w:val="center"/>
          </w:tcPr>
          <w:p w14:paraId="2E95E5A5" w14:textId="77777777" w:rsidR="00351235" w:rsidRPr="0015746F" w:rsidRDefault="00351235" w:rsidP="0015746F">
            <w:pPr>
              <w:tabs>
                <w:tab w:val="decimal" w:pos="1327"/>
              </w:tabs>
              <w:spacing w:before="100" w:beforeAutospacing="1" w:after="100" w:afterAutospacing="1"/>
              <w:ind w:left="51" w:right="853"/>
              <w:jc w:val="center"/>
              <w:rPr>
                <w:i/>
                <w:sz w:val="20"/>
                <w:szCs w:val="20"/>
              </w:rPr>
            </w:pPr>
            <w:r w:rsidRPr="0015746F">
              <w:rPr>
                <w:i/>
                <w:sz w:val="20"/>
              </w:rPr>
              <w:t>[464.953]*</w:t>
            </w:r>
          </w:p>
        </w:tc>
        <w:tc>
          <w:tcPr>
            <w:tcW w:w="1998" w:type="dxa"/>
            <w:vAlign w:val="center"/>
          </w:tcPr>
          <w:p w14:paraId="4797B50C" w14:textId="77777777" w:rsidR="00351235" w:rsidRPr="0015746F" w:rsidRDefault="00351235" w:rsidP="0015746F">
            <w:pPr>
              <w:keepNext/>
              <w:tabs>
                <w:tab w:val="decimal" w:pos="1258"/>
              </w:tabs>
              <w:spacing w:before="100" w:beforeAutospacing="1" w:after="100" w:afterAutospacing="1"/>
              <w:ind w:left="80" w:right="550"/>
              <w:jc w:val="center"/>
              <w:outlineLvl w:val="5"/>
              <w:rPr>
                <w:sz w:val="20"/>
                <w:szCs w:val="20"/>
              </w:rPr>
            </w:pPr>
            <w:r w:rsidRPr="0015746F">
              <w:rPr>
                <w:sz w:val="20"/>
              </w:rPr>
              <w:t>146.1357</w:t>
            </w:r>
          </w:p>
        </w:tc>
      </w:tr>
    </w:tbl>
    <w:p w14:paraId="5BBAD8DD" w14:textId="77777777" w:rsidR="00351235" w:rsidRPr="0008277D" w:rsidRDefault="00351235" w:rsidP="00351235">
      <w:pPr>
        <w:rPr>
          <w:sz w:val="20"/>
        </w:rPr>
      </w:pPr>
      <w:r w:rsidRPr="00C33FF9">
        <w:rPr>
          <w:sz w:val="20"/>
        </w:rPr>
        <w:t>*</w:t>
      </w:r>
      <w:r w:rsidRPr="0008277D">
        <w:rPr>
          <w:sz w:val="20"/>
        </w:rPr>
        <w:t>Nominal totals for 2015, which exclude data not reported.</w:t>
      </w:r>
    </w:p>
    <w:p w14:paraId="2A1E88ED" w14:textId="77777777" w:rsidR="00351235" w:rsidRDefault="00351235" w:rsidP="00351235">
      <w:pPr>
        <w:widowControl w:val="0"/>
        <w:rPr>
          <w:b/>
          <w:bCs/>
        </w:rPr>
      </w:pPr>
    </w:p>
    <w:p w14:paraId="7077C27D" w14:textId="77777777" w:rsidR="00351235" w:rsidRPr="00210126" w:rsidRDefault="00351235" w:rsidP="00351235">
      <w:pPr>
        <w:widowControl w:val="0"/>
        <w:rPr>
          <w:b/>
          <w:bCs/>
        </w:rPr>
      </w:pPr>
    </w:p>
    <w:p w14:paraId="3D6D1FCF" w14:textId="77777777" w:rsidR="00351235" w:rsidRPr="00C33FF9" w:rsidRDefault="00351235" w:rsidP="00C33FF9">
      <w:pPr>
        <w:widowControl w:val="0"/>
        <w:rPr>
          <w:b/>
        </w:rPr>
        <w:sectPr w:rsidR="00351235" w:rsidRPr="00C33FF9" w:rsidSect="008D06EA">
          <w:footnotePr>
            <w:numRestart w:val="eachSect"/>
          </w:footnotePr>
          <w:type w:val="oddPage"/>
          <w:pgSz w:w="11907" w:h="16839" w:code="9"/>
          <w:pgMar w:top="1526" w:right="1800" w:bottom="1440" w:left="1800" w:header="720" w:footer="792" w:gutter="0"/>
          <w:cols w:space="720"/>
          <w:docGrid w:linePitch="299"/>
        </w:sectPr>
      </w:pPr>
    </w:p>
    <w:p w14:paraId="1E6A1F58" w14:textId="7FE666DD" w:rsidR="00351235" w:rsidRPr="00DA0F78" w:rsidRDefault="00351235" w:rsidP="00C33FF9">
      <w:pPr>
        <w:widowControl w:val="0"/>
        <w:rPr>
          <w:b/>
          <w:i/>
          <w:sz w:val="24"/>
          <w:szCs w:val="24"/>
        </w:rPr>
      </w:pPr>
      <w:r w:rsidRPr="00DA0F78">
        <w:rPr>
          <w:b/>
          <w:i/>
          <w:sz w:val="24"/>
          <w:szCs w:val="24"/>
        </w:rPr>
        <w:lastRenderedPageBreak/>
        <w:t>Table 5.1</w:t>
      </w:r>
      <w:r w:rsidR="00497F61" w:rsidRPr="00DA0F78">
        <w:rPr>
          <w:b/>
          <w:i/>
          <w:sz w:val="24"/>
          <w:szCs w:val="24"/>
        </w:rPr>
        <w:t xml:space="preserve"> </w:t>
      </w:r>
      <w:r w:rsidR="00BF2381" w:rsidRPr="00DA0F78">
        <w:rPr>
          <w:b/>
          <w:i/>
          <w:sz w:val="24"/>
          <w:szCs w:val="24"/>
        </w:rPr>
        <w:tab/>
        <w:t>Historic data reported by p</w:t>
      </w:r>
      <w:r w:rsidRPr="00DA0F78">
        <w:rPr>
          <w:b/>
          <w:i/>
          <w:sz w:val="24"/>
          <w:szCs w:val="24"/>
        </w:rPr>
        <w:t>arties on process agent applications on associated make-up or consumption and emissions</w:t>
      </w:r>
    </w:p>
    <w:tbl>
      <w:tblPr>
        <w:tblW w:w="13060" w:type="dxa"/>
        <w:tblInd w:w="93" w:type="dxa"/>
        <w:tblLayout w:type="fixed"/>
        <w:tblLook w:val="04A0" w:firstRow="1" w:lastRow="0" w:firstColumn="1" w:lastColumn="0" w:noHBand="0" w:noVBand="1"/>
      </w:tblPr>
      <w:tblGrid>
        <w:gridCol w:w="2567"/>
        <w:gridCol w:w="1499"/>
        <w:gridCol w:w="1499"/>
        <w:gridCol w:w="1499"/>
        <w:gridCol w:w="1499"/>
        <w:gridCol w:w="1499"/>
        <w:gridCol w:w="1499"/>
        <w:gridCol w:w="1499"/>
      </w:tblGrid>
      <w:tr w:rsidR="00351235" w:rsidRPr="00B63C43" w14:paraId="704DD593" w14:textId="77777777" w:rsidTr="00351235">
        <w:trPr>
          <w:trHeight w:val="320"/>
        </w:trPr>
        <w:tc>
          <w:tcPr>
            <w:tcW w:w="25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7D9C4AA" w14:textId="77777777" w:rsidR="00351235" w:rsidRPr="00C33FF9" w:rsidRDefault="00351235" w:rsidP="00351235">
            <w:pPr>
              <w:spacing w:after="0"/>
              <w:rPr>
                <w:b/>
                <w:lang w:val="en-AU"/>
              </w:rPr>
            </w:pPr>
            <w:r w:rsidRPr="00C33FF9">
              <w:rPr>
                <w:b/>
                <w:lang w:val="en-AU"/>
              </w:rPr>
              <w:t xml:space="preserve">Party </w:t>
            </w:r>
          </w:p>
        </w:tc>
        <w:tc>
          <w:tcPr>
            <w:tcW w:w="10493" w:type="dxa"/>
            <w:gridSpan w:val="7"/>
            <w:tcBorders>
              <w:top w:val="single" w:sz="8" w:space="0" w:color="auto"/>
              <w:left w:val="nil"/>
              <w:bottom w:val="single" w:sz="8" w:space="0" w:color="auto"/>
              <w:right w:val="single" w:sz="8" w:space="0" w:color="000000"/>
            </w:tcBorders>
            <w:shd w:val="clear" w:color="auto" w:fill="auto"/>
            <w:vAlign w:val="center"/>
            <w:hideMark/>
          </w:tcPr>
          <w:p w14:paraId="685A6E7E" w14:textId="77777777" w:rsidR="00351235" w:rsidRPr="00C33FF9" w:rsidRDefault="00351235" w:rsidP="00C33FF9">
            <w:pPr>
              <w:spacing w:after="0"/>
              <w:jc w:val="center"/>
              <w:rPr>
                <w:b/>
                <w:lang w:val="en-AU"/>
              </w:rPr>
            </w:pPr>
            <w:r w:rsidRPr="00C33FF9">
              <w:rPr>
                <w:b/>
                <w:lang w:val="en-AU"/>
              </w:rPr>
              <w:t>Reported make-up or consumption</w:t>
            </w:r>
          </w:p>
        </w:tc>
      </w:tr>
      <w:tr w:rsidR="00351235" w:rsidRPr="00B63C43" w14:paraId="3F58A468" w14:textId="77777777" w:rsidTr="00351235">
        <w:trPr>
          <w:trHeight w:val="320"/>
        </w:trPr>
        <w:tc>
          <w:tcPr>
            <w:tcW w:w="2567" w:type="dxa"/>
            <w:vMerge/>
            <w:tcBorders>
              <w:top w:val="single" w:sz="8" w:space="0" w:color="auto"/>
              <w:left w:val="single" w:sz="8" w:space="0" w:color="auto"/>
              <w:bottom w:val="single" w:sz="8" w:space="0" w:color="000000"/>
              <w:right w:val="single" w:sz="8" w:space="0" w:color="auto"/>
            </w:tcBorders>
            <w:vAlign w:val="center"/>
            <w:hideMark/>
          </w:tcPr>
          <w:p w14:paraId="750767A1" w14:textId="77777777" w:rsidR="00351235" w:rsidRPr="00C33FF9" w:rsidRDefault="00351235" w:rsidP="00C33FF9">
            <w:pPr>
              <w:spacing w:after="0"/>
              <w:rPr>
                <w:b/>
                <w:lang w:val="en-AU"/>
              </w:rPr>
            </w:pPr>
          </w:p>
        </w:tc>
        <w:tc>
          <w:tcPr>
            <w:tcW w:w="1499" w:type="dxa"/>
            <w:tcBorders>
              <w:top w:val="nil"/>
              <w:left w:val="nil"/>
              <w:bottom w:val="single" w:sz="8" w:space="0" w:color="auto"/>
              <w:right w:val="single" w:sz="8" w:space="0" w:color="auto"/>
            </w:tcBorders>
            <w:shd w:val="clear" w:color="auto" w:fill="auto"/>
            <w:vAlign w:val="center"/>
            <w:hideMark/>
          </w:tcPr>
          <w:p w14:paraId="381F75D0" w14:textId="77777777" w:rsidR="00351235" w:rsidRPr="00C33FF9" w:rsidRDefault="00351235" w:rsidP="00C33FF9">
            <w:pPr>
              <w:spacing w:after="0"/>
              <w:jc w:val="center"/>
              <w:rPr>
                <w:b/>
                <w:lang w:val="en-AU"/>
              </w:rPr>
            </w:pPr>
            <w:r w:rsidRPr="00C33FF9">
              <w:rPr>
                <w:b/>
                <w:lang w:val="en-AU"/>
              </w:rPr>
              <w:t>2009</w:t>
            </w:r>
          </w:p>
        </w:tc>
        <w:tc>
          <w:tcPr>
            <w:tcW w:w="1499" w:type="dxa"/>
            <w:tcBorders>
              <w:top w:val="nil"/>
              <w:left w:val="nil"/>
              <w:bottom w:val="single" w:sz="8" w:space="0" w:color="auto"/>
              <w:right w:val="single" w:sz="8" w:space="0" w:color="auto"/>
            </w:tcBorders>
            <w:shd w:val="clear" w:color="auto" w:fill="auto"/>
            <w:vAlign w:val="center"/>
            <w:hideMark/>
          </w:tcPr>
          <w:p w14:paraId="29F77CD0" w14:textId="77777777" w:rsidR="00351235" w:rsidRPr="00C33FF9" w:rsidRDefault="00351235" w:rsidP="00C33FF9">
            <w:pPr>
              <w:spacing w:after="0"/>
              <w:jc w:val="center"/>
              <w:rPr>
                <w:b/>
                <w:lang w:val="en-AU"/>
              </w:rPr>
            </w:pPr>
            <w:r w:rsidRPr="00C33FF9">
              <w:rPr>
                <w:b/>
                <w:lang w:val="en-AU"/>
              </w:rPr>
              <w:t>2010</w:t>
            </w:r>
          </w:p>
        </w:tc>
        <w:tc>
          <w:tcPr>
            <w:tcW w:w="1499" w:type="dxa"/>
            <w:tcBorders>
              <w:top w:val="nil"/>
              <w:left w:val="nil"/>
              <w:bottom w:val="single" w:sz="8" w:space="0" w:color="auto"/>
              <w:right w:val="single" w:sz="8" w:space="0" w:color="auto"/>
            </w:tcBorders>
            <w:shd w:val="clear" w:color="auto" w:fill="auto"/>
            <w:vAlign w:val="center"/>
            <w:hideMark/>
          </w:tcPr>
          <w:p w14:paraId="167BFFA5" w14:textId="77777777" w:rsidR="00351235" w:rsidRPr="00C33FF9" w:rsidRDefault="00351235" w:rsidP="00C33FF9">
            <w:pPr>
              <w:spacing w:after="0"/>
              <w:jc w:val="center"/>
              <w:rPr>
                <w:b/>
                <w:lang w:val="en-AU"/>
              </w:rPr>
            </w:pPr>
            <w:r w:rsidRPr="00C33FF9">
              <w:rPr>
                <w:b/>
                <w:lang w:val="en-AU"/>
              </w:rPr>
              <w:t>2011</w:t>
            </w:r>
          </w:p>
        </w:tc>
        <w:tc>
          <w:tcPr>
            <w:tcW w:w="1499" w:type="dxa"/>
            <w:tcBorders>
              <w:top w:val="nil"/>
              <w:left w:val="nil"/>
              <w:bottom w:val="single" w:sz="8" w:space="0" w:color="auto"/>
              <w:right w:val="single" w:sz="8" w:space="0" w:color="auto"/>
            </w:tcBorders>
            <w:shd w:val="clear" w:color="auto" w:fill="auto"/>
            <w:vAlign w:val="center"/>
            <w:hideMark/>
          </w:tcPr>
          <w:p w14:paraId="2E0B2CBE" w14:textId="77777777" w:rsidR="00351235" w:rsidRPr="00C33FF9" w:rsidRDefault="00351235" w:rsidP="00C33FF9">
            <w:pPr>
              <w:spacing w:after="0"/>
              <w:jc w:val="center"/>
              <w:rPr>
                <w:b/>
                <w:lang w:val="en-AU"/>
              </w:rPr>
            </w:pPr>
            <w:r w:rsidRPr="00C33FF9">
              <w:rPr>
                <w:b/>
                <w:lang w:val="en-AU"/>
              </w:rPr>
              <w:t>2012</w:t>
            </w:r>
          </w:p>
        </w:tc>
        <w:tc>
          <w:tcPr>
            <w:tcW w:w="1499" w:type="dxa"/>
            <w:tcBorders>
              <w:top w:val="nil"/>
              <w:left w:val="nil"/>
              <w:bottom w:val="single" w:sz="8" w:space="0" w:color="auto"/>
              <w:right w:val="single" w:sz="8" w:space="0" w:color="auto"/>
            </w:tcBorders>
            <w:shd w:val="clear" w:color="auto" w:fill="auto"/>
            <w:vAlign w:val="center"/>
            <w:hideMark/>
          </w:tcPr>
          <w:p w14:paraId="7DC039A8" w14:textId="77777777" w:rsidR="00351235" w:rsidRPr="00C33FF9" w:rsidRDefault="00351235" w:rsidP="00C33FF9">
            <w:pPr>
              <w:spacing w:after="0"/>
              <w:jc w:val="center"/>
              <w:rPr>
                <w:b/>
                <w:lang w:val="en-AU"/>
              </w:rPr>
            </w:pPr>
            <w:r w:rsidRPr="00C33FF9">
              <w:rPr>
                <w:b/>
                <w:lang w:val="en-AU"/>
              </w:rPr>
              <w:t>2013</w:t>
            </w:r>
          </w:p>
        </w:tc>
        <w:tc>
          <w:tcPr>
            <w:tcW w:w="1499" w:type="dxa"/>
            <w:tcBorders>
              <w:top w:val="nil"/>
              <w:left w:val="nil"/>
              <w:bottom w:val="single" w:sz="8" w:space="0" w:color="auto"/>
              <w:right w:val="single" w:sz="8" w:space="0" w:color="auto"/>
            </w:tcBorders>
            <w:shd w:val="clear" w:color="auto" w:fill="auto"/>
            <w:vAlign w:val="center"/>
            <w:hideMark/>
          </w:tcPr>
          <w:p w14:paraId="5270CA8E" w14:textId="77777777" w:rsidR="00351235" w:rsidRPr="00C33FF9" w:rsidRDefault="00351235" w:rsidP="00C33FF9">
            <w:pPr>
              <w:spacing w:after="0"/>
              <w:jc w:val="center"/>
              <w:rPr>
                <w:b/>
                <w:lang w:val="en-AU"/>
              </w:rPr>
            </w:pPr>
            <w:r w:rsidRPr="00C33FF9">
              <w:rPr>
                <w:b/>
                <w:lang w:val="en-AU"/>
              </w:rPr>
              <w:t>2014</w:t>
            </w:r>
          </w:p>
        </w:tc>
        <w:tc>
          <w:tcPr>
            <w:tcW w:w="1499" w:type="dxa"/>
            <w:tcBorders>
              <w:top w:val="nil"/>
              <w:left w:val="nil"/>
              <w:bottom w:val="single" w:sz="8" w:space="0" w:color="auto"/>
              <w:right w:val="single" w:sz="8" w:space="0" w:color="auto"/>
            </w:tcBorders>
            <w:shd w:val="clear" w:color="auto" w:fill="auto"/>
            <w:vAlign w:val="center"/>
            <w:hideMark/>
          </w:tcPr>
          <w:p w14:paraId="4C179269" w14:textId="77777777" w:rsidR="00351235" w:rsidRPr="00C33FF9" w:rsidRDefault="00351235" w:rsidP="00C33FF9">
            <w:pPr>
              <w:spacing w:after="0"/>
              <w:jc w:val="center"/>
              <w:rPr>
                <w:b/>
                <w:lang w:val="en-AU"/>
              </w:rPr>
            </w:pPr>
            <w:r w:rsidRPr="00C33FF9">
              <w:rPr>
                <w:b/>
                <w:lang w:val="en-AU"/>
              </w:rPr>
              <w:t>2015</w:t>
            </w:r>
          </w:p>
        </w:tc>
      </w:tr>
      <w:tr w:rsidR="00351235" w:rsidRPr="00B63C43" w14:paraId="79976EEB" w14:textId="77777777" w:rsidTr="00351235">
        <w:trPr>
          <w:trHeight w:val="320"/>
        </w:trPr>
        <w:tc>
          <w:tcPr>
            <w:tcW w:w="2567" w:type="dxa"/>
            <w:tcBorders>
              <w:top w:val="nil"/>
              <w:left w:val="single" w:sz="8" w:space="0" w:color="auto"/>
              <w:bottom w:val="single" w:sz="8" w:space="0" w:color="auto"/>
              <w:right w:val="single" w:sz="8" w:space="0" w:color="auto"/>
            </w:tcBorders>
            <w:shd w:val="clear" w:color="auto" w:fill="auto"/>
            <w:vAlign w:val="center"/>
            <w:hideMark/>
          </w:tcPr>
          <w:p w14:paraId="46A7F097" w14:textId="77777777" w:rsidR="00351235" w:rsidRPr="00C33FF9" w:rsidRDefault="00351235" w:rsidP="00351235">
            <w:pPr>
              <w:spacing w:after="0"/>
              <w:rPr>
                <w:lang w:val="en-AU"/>
              </w:rPr>
            </w:pPr>
            <w:r w:rsidRPr="00C33FF9">
              <w:rPr>
                <w:lang w:val="en-AU"/>
              </w:rPr>
              <w:t>Brazil</w:t>
            </w:r>
          </w:p>
        </w:tc>
        <w:tc>
          <w:tcPr>
            <w:tcW w:w="1499" w:type="dxa"/>
            <w:tcBorders>
              <w:top w:val="nil"/>
              <w:left w:val="nil"/>
              <w:bottom w:val="single" w:sz="8" w:space="0" w:color="auto"/>
              <w:right w:val="single" w:sz="8" w:space="0" w:color="auto"/>
            </w:tcBorders>
            <w:shd w:val="clear" w:color="auto" w:fill="auto"/>
            <w:vAlign w:val="center"/>
            <w:hideMark/>
          </w:tcPr>
          <w:p w14:paraId="33C59D49" w14:textId="77777777" w:rsidR="00351235" w:rsidRPr="00C33FF9" w:rsidRDefault="00351235" w:rsidP="00C33FF9">
            <w:pPr>
              <w:tabs>
                <w:tab w:val="decimal" w:pos="742"/>
              </w:tabs>
              <w:spacing w:after="0"/>
              <w:ind w:left="34" w:right="194"/>
              <w:rPr>
                <w:lang w:val="en-AU"/>
              </w:rPr>
            </w:pPr>
            <w:r w:rsidRPr="00C33FF9">
              <w:rPr>
                <w:lang w:val="en-AU"/>
              </w:rPr>
              <w:t> 0</w:t>
            </w:r>
          </w:p>
        </w:tc>
        <w:tc>
          <w:tcPr>
            <w:tcW w:w="1499" w:type="dxa"/>
            <w:tcBorders>
              <w:top w:val="nil"/>
              <w:left w:val="nil"/>
              <w:bottom w:val="single" w:sz="8" w:space="0" w:color="auto"/>
              <w:right w:val="single" w:sz="8" w:space="0" w:color="auto"/>
            </w:tcBorders>
            <w:shd w:val="clear" w:color="auto" w:fill="auto"/>
            <w:vAlign w:val="center"/>
            <w:hideMark/>
          </w:tcPr>
          <w:p w14:paraId="3F2FB77C" w14:textId="77777777" w:rsidR="00351235" w:rsidRPr="00C33FF9" w:rsidRDefault="00351235" w:rsidP="00C33FF9">
            <w:pPr>
              <w:tabs>
                <w:tab w:val="decimal" w:pos="661"/>
              </w:tabs>
              <w:spacing w:after="0"/>
              <w:ind w:right="121" w:firstLine="94"/>
              <w:rPr>
                <w:lang w:val="en-AU"/>
              </w:rPr>
            </w:pPr>
            <w:r w:rsidRPr="00C33FF9">
              <w:rPr>
                <w:lang w:val="en-AU"/>
              </w:rPr>
              <w:t>-</w:t>
            </w:r>
          </w:p>
        </w:tc>
        <w:tc>
          <w:tcPr>
            <w:tcW w:w="1499" w:type="dxa"/>
            <w:tcBorders>
              <w:top w:val="nil"/>
              <w:left w:val="nil"/>
              <w:bottom w:val="single" w:sz="8" w:space="0" w:color="auto"/>
              <w:right w:val="single" w:sz="8" w:space="0" w:color="auto"/>
            </w:tcBorders>
            <w:shd w:val="clear" w:color="auto" w:fill="auto"/>
            <w:vAlign w:val="center"/>
            <w:hideMark/>
          </w:tcPr>
          <w:p w14:paraId="249EF234" w14:textId="77777777" w:rsidR="00351235" w:rsidRPr="00C33FF9" w:rsidRDefault="00351235" w:rsidP="00C33FF9">
            <w:pPr>
              <w:tabs>
                <w:tab w:val="decimal" w:pos="579"/>
              </w:tabs>
              <w:spacing w:after="0"/>
              <w:ind w:left="154" w:right="190"/>
              <w:rPr>
                <w:lang w:val="en-AU"/>
              </w:rPr>
            </w:pPr>
            <w:r w:rsidRPr="00C33FF9">
              <w:rPr>
                <w:lang w:val="en-AU"/>
              </w:rPr>
              <w:t>-</w:t>
            </w:r>
          </w:p>
        </w:tc>
        <w:tc>
          <w:tcPr>
            <w:tcW w:w="1499" w:type="dxa"/>
            <w:tcBorders>
              <w:top w:val="nil"/>
              <w:left w:val="nil"/>
              <w:bottom w:val="single" w:sz="8" w:space="0" w:color="auto"/>
              <w:right w:val="single" w:sz="8" w:space="0" w:color="auto"/>
            </w:tcBorders>
            <w:shd w:val="clear" w:color="auto" w:fill="auto"/>
            <w:vAlign w:val="center"/>
            <w:hideMark/>
          </w:tcPr>
          <w:p w14:paraId="00BE8CC9" w14:textId="77777777" w:rsidR="00351235" w:rsidRPr="00C33FF9" w:rsidRDefault="00351235" w:rsidP="00C33FF9">
            <w:pPr>
              <w:tabs>
                <w:tab w:val="decimal" w:pos="640"/>
              </w:tabs>
              <w:spacing w:after="0"/>
              <w:ind w:left="73" w:right="257"/>
              <w:rPr>
                <w:lang w:val="en-AU"/>
              </w:rPr>
            </w:pPr>
            <w:r w:rsidRPr="00C33FF9">
              <w:rPr>
                <w:lang w:val="en-AU"/>
              </w:rPr>
              <w:t>-</w:t>
            </w:r>
          </w:p>
        </w:tc>
        <w:tc>
          <w:tcPr>
            <w:tcW w:w="1499" w:type="dxa"/>
            <w:tcBorders>
              <w:top w:val="nil"/>
              <w:left w:val="nil"/>
              <w:bottom w:val="single" w:sz="8" w:space="0" w:color="auto"/>
              <w:right w:val="single" w:sz="8" w:space="0" w:color="auto"/>
            </w:tcBorders>
            <w:shd w:val="clear" w:color="auto" w:fill="auto"/>
            <w:vAlign w:val="center"/>
            <w:hideMark/>
          </w:tcPr>
          <w:p w14:paraId="292BB0F8" w14:textId="77777777" w:rsidR="00351235" w:rsidRPr="00C33FF9" w:rsidRDefault="00351235" w:rsidP="00C33FF9">
            <w:pPr>
              <w:tabs>
                <w:tab w:val="decimal" w:pos="700"/>
              </w:tabs>
              <w:spacing w:after="0"/>
              <w:ind w:left="133" w:right="184"/>
              <w:rPr>
                <w:lang w:val="en-AU"/>
              </w:rPr>
            </w:pPr>
            <w:r w:rsidRPr="00C33FF9">
              <w:rPr>
                <w:lang w:val="en-AU"/>
              </w:rPr>
              <w:t>-</w:t>
            </w:r>
          </w:p>
        </w:tc>
        <w:tc>
          <w:tcPr>
            <w:tcW w:w="1499" w:type="dxa"/>
            <w:tcBorders>
              <w:top w:val="nil"/>
              <w:left w:val="nil"/>
              <w:bottom w:val="single" w:sz="8" w:space="0" w:color="auto"/>
              <w:right w:val="single" w:sz="8" w:space="0" w:color="auto"/>
            </w:tcBorders>
            <w:shd w:val="clear" w:color="auto" w:fill="auto"/>
            <w:vAlign w:val="center"/>
            <w:hideMark/>
          </w:tcPr>
          <w:p w14:paraId="0C30EB8C" w14:textId="77777777" w:rsidR="00351235" w:rsidRPr="00C33FF9" w:rsidRDefault="00351235" w:rsidP="00C33FF9">
            <w:pPr>
              <w:tabs>
                <w:tab w:val="decimal" w:pos="618"/>
              </w:tabs>
              <w:spacing w:after="0"/>
              <w:ind w:left="51" w:right="252"/>
              <w:rPr>
                <w:lang w:val="en-AU"/>
              </w:rPr>
            </w:pPr>
            <w:r w:rsidRPr="00C33FF9">
              <w:rPr>
                <w:lang w:val="en-AU"/>
              </w:rPr>
              <w:t>-</w:t>
            </w:r>
          </w:p>
        </w:tc>
        <w:tc>
          <w:tcPr>
            <w:tcW w:w="1499" w:type="dxa"/>
            <w:tcBorders>
              <w:top w:val="nil"/>
              <w:left w:val="nil"/>
              <w:bottom w:val="single" w:sz="8" w:space="0" w:color="auto"/>
              <w:right w:val="single" w:sz="8" w:space="0" w:color="auto"/>
            </w:tcBorders>
            <w:shd w:val="clear" w:color="auto" w:fill="auto"/>
            <w:vAlign w:val="center"/>
            <w:hideMark/>
          </w:tcPr>
          <w:p w14:paraId="4BC9037B" w14:textId="77777777" w:rsidR="00351235" w:rsidRPr="00C33FF9" w:rsidRDefault="00351235" w:rsidP="00C33FF9">
            <w:pPr>
              <w:tabs>
                <w:tab w:val="decimal" w:pos="679"/>
              </w:tabs>
              <w:spacing w:after="0"/>
              <w:ind w:left="112" w:right="179"/>
              <w:rPr>
                <w:lang w:val="en-AU"/>
              </w:rPr>
            </w:pPr>
            <w:r w:rsidRPr="00C33FF9">
              <w:rPr>
                <w:lang w:val="en-AU"/>
              </w:rPr>
              <w:t>-</w:t>
            </w:r>
          </w:p>
        </w:tc>
      </w:tr>
      <w:tr w:rsidR="00351235" w:rsidRPr="00B63C43" w14:paraId="73DBEA5D" w14:textId="77777777" w:rsidTr="00351235">
        <w:trPr>
          <w:trHeight w:val="320"/>
        </w:trPr>
        <w:tc>
          <w:tcPr>
            <w:tcW w:w="2567" w:type="dxa"/>
            <w:tcBorders>
              <w:top w:val="nil"/>
              <w:left w:val="single" w:sz="8" w:space="0" w:color="auto"/>
              <w:bottom w:val="single" w:sz="8" w:space="0" w:color="auto"/>
              <w:right w:val="single" w:sz="8" w:space="0" w:color="auto"/>
            </w:tcBorders>
            <w:shd w:val="clear" w:color="auto" w:fill="auto"/>
            <w:vAlign w:val="center"/>
            <w:hideMark/>
          </w:tcPr>
          <w:p w14:paraId="41871ED0" w14:textId="77777777" w:rsidR="00351235" w:rsidRPr="00C33FF9" w:rsidRDefault="00351235" w:rsidP="00351235">
            <w:pPr>
              <w:spacing w:after="0"/>
              <w:rPr>
                <w:lang w:val="en-AU"/>
              </w:rPr>
            </w:pPr>
            <w:r w:rsidRPr="00C33FF9">
              <w:rPr>
                <w:lang w:val="en-AU"/>
              </w:rPr>
              <w:t xml:space="preserve">China </w:t>
            </w:r>
          </w:p>
        </w:tc>
        <w:tc>
          <w:tcPr>
            <w:tcW w:w="1499" w:type="dxa"/>
            <w:tcBorders>
              <w:top w:val="nil"/>
              <w:left w:val="nil"/>
              <w:bottom w:val="single" w:sz="8" w:space="0" w:color="auto"/>
              <w:right w:val="single" w:sz="8" w:space="0" w:color="auto"/>
            </w:tcBorders>
            <w:shd w:val="clear" w:color="auto" w:fill="auto"/>
            <w:vAlign w:val="center"/>
            <w:hideMark/>
          </w:tcPr>
          <w:p w14:paraId="77B5EBB3" w14:textId="77777777" w:rsidR="00351235" w:rsidRPr="00C33FF9" w:rsidRDefault="00351235" w:rsidP="00C33FF9">
            <w:pPr>
              <w:tabs>
                <w:tab w:val="decimal" w:pos="742"/>
              </w:tabs>
              <w:spacing w:after="0"/>
              <w:ind w:left="34" w:right="194"/>
              <w:rPr>
                <w:lang w:val="en-AU"/>
              </w:rPr>
            </w:pPr>
            <w:r w:rsidRPr="00C33FF9">
              <w:rPr>
                <w:lang w:val="en-AU"/>
              </w:rPr>
              <w:t>313</w:t>
            </w:r>
          </w:p>
        </w:tc>
        <w:tc>
          <w:tcPr>
            <w:tcW w:w="1499" w:type="dxa"/>
            <w:tcBorders>
              <w:top w:val="nil"/>
              <w:left w:val="nil"/>
              <w:bottom w:val="single" w:sz="8" w:space="0" w:color="auto"/>
              <w:right w:val="single" w:sz="8" w:space="0" w:color="auto"/>
            </w:tcBorders>
            <w:shd w:val="clear" w:color="auto" w:fill="auto"/>
            <w:noWrap/>
            <w:vAlign w:val="bottom"/>
            <w:hideMark/>
          </w:tcPr>
          <w:p w14:paraId="19201F93" w14:textId="77777777" w:rsidR="00351235" w:rsidRPr="00C33FF9" w:rsidRDefault="00351235" w:rsidP="00C33FF9">
            <w:pPr>
              <w:tabs>
                <w:tab w:val="decimal" w:pos="661"/>
              </w:tabs>
              <w:spacing w:after="0"/>
              <w:ind w:right="121" w:firstLine="94"/>
              <w:rPr>
                <w:lang w:val="en-AU"/>
              </w:rPr>
            </w:pPr>
            <w:r w:rsidRPr="00C33FF9">
              <w:rPr>
                <w:lang w:val="en-AU"/>
              </w:rPr>
              <w:t>179.3</w:t>
            </w:r>
          </w:p>
        </w:tc>
        <w:tc>
          <w:tcPr>
            <w:tcW w:w="1499" w:type="dxa"/>
            <w:tcBorders>
              <w:top w:val="nil"/>
              <w:left w:val="nil"/>
              <w:bottom w:val="single" w:sz="8" w:space="0" w:color="auto"/>
              <w:right w:val="single" w:sz="8" w:space="0" w:color="auto"/>
            </w:tcBorders>
            <w:shd w:val="clear" w:color="auto" w:fill="auto"/>
            <w:vAlign w:val="center"/>
            <w:hideMark/>
          </w:tcPr>
          <w:p w14:paraId="00681376" w14:textId="77777777" w:rsidR="00351235" w:rsidRPr="00C33FF9" w:rsidRDefault="00351235" w:rsidP="00C33FF9">
            <w:pPr>
              <w:tabs>
                <w:tab w:val="decimal" w:pos="579"/>
              </w:tabs>
              <w:spacing w:after="0"/>
              <w:ind w:left="154" w:right="190"/>
              <w:rPr>
                <w:lang w:val="en-AU"/>
              </w:rPr>
            </w:pPr>
            <w:r w:rsidRPr="00C33FF9">
              <w:rPr>
                <w:lang w:val="en-AU"/>
              </w:rPr>
              <w:t>179.92</w:t>
            </w:r>
          </w:p>
        </w:tc>
        <w:tc>
          <w:tcPr>
            <w:tcW w:w="1499" w:type="dxa"/>
            <w:tcBorders>
              <w:top w:val="nil"/>
              <w:left w:val="nil"/>
              <w:bottom w:val="single" w:sz="8" w:space="0" w:color="auto"/>
              <w:right w:val="single" w:sz="8" w:space="0" w:color="auto"/>
            </w:tcBorders>
            <w:shd w:val="clear" w:color="auto" w:fill="auto"/>
            <w:vAlign w:val="center"/>
            <w:hideMark/>
          </w:tcPr>
          <w:p w14:paraId="33BF4D2A" w14:textId="77777777" w:rsidR="00351235" w:rsidRPr="00C33FF9" w:rsidRDefault="00351235" w:rsidP="00C33FF9">
            <w:pPr>
              <w:tabs>
                <w:tab w:val="decimal" w:pos="640"/>
              </w:tabs>
              <w:spacing w:after="0"/>
              <w:ind w:left="73" w:right="257"/>
              <w:rPr>
                <w:lang w:val="en-AU"/>
              </w:rPr>
            </w:pPr>
            <w:r w:rsidRPr="00C33FF9">
              <w:rPr>
                <w:lang w:val="en-AU"/>
              </w:rPr>
              <w:t> 179.24</w:t>
            </w:r>
          </w:p>
        </w:tc>
        <w:tc>
          <w:tcPr>
            <w:tcW w:w="1499" w:type="dxa"/>
            <w:tcBorders>
              <w:top w:val="nil"/>
              <w:left w:val="nil"/>
              <w:bottom w:val="single" w:sz="8" w:space="0" w:color="auto"/>
              <w:right w:val="single" w:sz="8" w:space="0" w:color="auto"/>
            </w:tcBorders>
            <w:shd w:val="clear" w:color="auto" w:fill="auto"/>
            <w:vAlign w:val="center"/>
            <w:hideMark/>
          </w:tcPr>
          <w:p w14:paraId="4D00200C" w14:textId="77777777" w:rsidR="00351235" w:rsidRPr="00C33FF9" w:rsidRDefault="00351235" w:rsidP="00C33FF9">
            <w:pPr>
              <w:tabs>
                <w:tab w:val="decimal" w:pos="700"/>
              </w:tabs>
              <w:spacing w:after="0"/>
              <w:ind w:left="133" w:right="184"/>
              <w:rPr>
                <w:lang w:val="en-AU"/>
              </w:rPr>
            </w:pPr>
            <w:r w:rsidRPr="00C33FF9">
              <w:rPr>
                <w:lang w:val="en-AU"/>
              </w:rPr>
              <w:t>88.92</w:t>
            </w:r>
          </w:p>
        </w:tc>
        <w:tc>
          <w:tcPr>
            <w:tcW w:w="1499" w:type="dxa"/>
            <w:tcBorders>
              <w:top w:val="nil"/>
              <w:left w:val="nil"/>
              <w:bottom w:val="single" w:sz="8" w:space="0" w:color="auto"/>
              <w:right w:val="single" w:sz="8" w:space="0" w:color="auto"/>
            </w:tcBorders>
            <w:shd w:val="clear" w:color="auto" w:fill="auto"/>
            <w:vAlign w:val="center"/>
            <w:hideMark/>
          </w:tcPr>
          <w:p w14:paraId="18DA41C8" w14:textId="77777777" w:rsidR="00351235" w:rsidRPr="00C33FF9" w:rsidRDefault="00351235" w:rsidP="00C33FF9">
            <w:pPr>
              <w:tabs>
                <w:tab w:val="decimal" w:pos="618"/>
              </w:tabs>
              <w:spacing w:after="0"/>
              <w:ind w:left="51" w:right="252"/>
              <w:rPr>
                <w:lang w:val="en-AU"/>
              </w:rPr>
            </w:pPr>
            <w:r w:rsidRPr="00C33FF9">
              <w:rPr>
                <w:lang w:val="en-AU"/>
              </w:rPr>
              <w:t>178.44</w:t>
            </w:r>
          </w:p>
        </w:tc>
        <w:tc>
          <w:tcPr>
            <w:tcW w:w="1499" w:type="dxa"/>
            <w:tcBorders>
              <w:top w:val="nil"/>
              <w:left w:val="nil"/>
              <w:bottom w:val="single" w:sz="8" w:space="0" w:color="auto"/>
              <w:right w:val="single" w:sz="8" w:space="0" w:color="auto"/>
            </w:tcBorders>
            <w:shd w:val="clear" w:color="auto" w:fill="auto"/>
            <w:vAlign w:val="center"/>
            <w:hideMark/>
          </w:tcPr>
          <w:p w14:paraId="081A4BD5" w14:textId="77777777" w:rsidR="00351235" w:rsidRPr="00C33FF9" w:rsidRDefault="00351235" w:rsidP="00C33FF9">
            <w:pPr>
              <w:tabs>
                <w:tab w:val="decimal" w:pos="679"/>
              </w:tabs>
              <w:spacing w:after="0"/>
              <w:ind w:left="112" w:right="179"/>
              <w:rPr>
                <w:lang w:val="en-AU"/>
              </w:rPr>
            </w:pPr>
            <w:r w:rsidRPr="00C33FF9">
              <w:rPr>
                <w:lang w:val="en-AU"/>
              </w:rPr>
              <w:t>179.84</w:t>
            </w:r>
          </w:p>
        </w:tc>
      </w:tr>
      <w:tr w:rsidR="00351235" w:rsidRPr="00B63C43" w14:paraId="2B4EC101" w14:textId="77777777" w:rsidTr="00351235">
        <w:trPr>
          <w:trHeight w:val="320"/>
        </w:trPr>
        <w:tc>
          <w:tcPr>
            <w:tcW w:w="2567" w:type="dxa"/>
            <w:tcBorders>
              <w:top w:val="nil"/>
              <w:left w:val="single" w:sz="8" w:space="0" w:color="auto"/>
              <w:bottom w:val="single" w:sz="8" w:space="0" w:color="auto"/>
              <w:right w:val="single" w:sz="8" w:space="0" w:color="auto"/>
            </w:tcBorders>
            <w:shd w:val="clear" w:color="auto" w:fill="auto"/>
            <w:vAlign w:val="center"/>
            <w:hideMark/>
          </w:tcPr>
          <w:p w14:paraId="56BAF6A2" w14:textId="77777777" w:rsidR="00351235" w:rsidRPr="00C33FF9" w:rsidRDefault="00351235" w:rsidP="00351235">
            <w:pPr>
              <w:spacing w:after="0"/>
              <w:rPr>
                <w:lang w:val="en-AU"/>
              </w:rPr>
            </w:pPr>
            <w:r w:rsidRPr="00C33FF9">
              <w:rPr>
                <w:lang w:val="en-AU"/>
              </w:rPr>
              <w:t>Colombia</w:t>
            </w:r>
          </w:p>
        </w:tc>
        <w:tc>
          <w:tcPr>
            <w:tcW w:w="1499" w:type="dxa"/>
            <w:tcBorders>
              <w:top w:val="nil"/>
              <w:left w:val="nil"/>
              <w:bottom w:val="single" w:sz="8" w:space="0" w:color="auto"/>
              <w:right w:val="single" w:sz="8" w:space="0" w:color="auto"/>
            </w:tcBorders>
            <w:shd w:val="clear" w:color="auto" w:fill="auto"/>
            <w:vAlign w:val="center"/>
            <w:hideMark/>
          </w:tcPr>
          <w:p w14:paraId="5D9480A3" w14:textId="77777777" w:rsidR="00351235" w:rsidRPr="00C33FF9" w:rsidRDefault="00351235" w:rsidP="00C33FF9">
            <w:pPr>
              <w:tabs>
                <w:tab w:val="decimal" w:pos="742"/>
              </w:tabs>
              <w:spacing w:after="0"/>
              <w:ind w:left="34" w:right="194"/>
              <w:rPr>
                <w:lang w:val="en-AU"/>
              </w:rPr>
            </w:pPr>
            <w:r w:rsidRPr="00C33FF9">
              <w:rPr>
                <w:lang w:val="en-AU"/>
              </w:rPr>
              <w:t>-</w:t>
            </w:r>
          </w:p>
        </w:tc>
        <w:tc>
          <w:tcPr>
            <w:tcW w:w="1499" w:type="dxa"/>
            <w:tcBorders>
              <w:top w:val="nil"/>
              <w:left w:val="nil"/>
              <w:bottom w:val="single" w:sz="8" w:space="0" w:color="auto"/>
              <w:right w:val="single" w:sz="8" w:space="0" w:color="auto"/>
            </w:tcBorders>
            <w:shd w:val="clear" w:color="auto" w:fill="auto"/>
            <w:noWrap/>
            <w:vAlign w:val="bottom"/>
            <w:hideMark/>
          </w:tcPr>
          <w:p w14:paraId="2517DA9D" w14:textId="77777777" w:rsidR="00351235" w:rsidRPr="00C33FF9" w:rsidRDefault="00351235" w:rsidP="00C33FF9">
            <w:pPr>
              <w:tabs>
                <w:tab w:val="decimal" w:pos="661"/>
              </w:tabs>
              <w:spacing w:after="0"/>
              <w:ind w:right="121" w:firstLine="94"/>
              <w:rPr>
                <w:lang w:val="en-AU"/>
              </w:rPr>
            </w:pPr>
            <w:r w:rsidRPr="00C33FF9">
              <w:rPr>
                <w:lang w:val="en-AU"/>
              </w:rPr>
              <w:t>0.64</w:t>
            </w:r>
          </w:p>
        </w:tc>
        <w:tc>
          <w:tcPr>
            <w:tcW w:w="1499" w:type="dxa"/>
            <w:tcBorders>
              <w:top w:val="nil"/>
              <w:left w:val="nil"/>
              <w:bottom w:val="single" w:sz="8" w:space="0" w:color="auto"/>
              <w:right w:val="single" w:sz="8" w:space="0" w:color="auto"/>
            </w:tcBorders>
            <w:shd w:val="clear" w:color="auto" w:fill="auto"/>
            <w:vAlign w:val="center"/>
            <w:hideMark/>
          </w:tcPr>
          <w:p w14:paraId="1F2A7402" w14:textId="77777777" w:rsidR="00351235" w:rsidRPr="00C33FF9" w:rsidRDefault="00351235" w:rsidP="00C33FF9">
            <w:pPr>
              <w:tabs>
                <w:tab w:val="decimal" w:pos="579"/>
              </w:tabs>
              <w:spacing w:after="0"/>
              <w:ind w:left="154" w:right="190"/>
              <w:rPr>
                <w:lang w:val="en-AU"/>
              </w:rPr>
            </w:pPr>
            <w:r w:rsidRPr="00C33FF9">
              <w:rPr>
                <w:lang w:val="en-AU"/>
              </w:rPr>
              <w:t>-</w:t>
            </w:r>
          </w:p>
        </w:tc>
        <w:tc>
          <w:tcPr>
            <w:tcW w:w="1499" w:type="dxa"/>
            <w:tcBorders>
              <w:top w:val="nil"/>
              <w:left w:val="nil"/>
              <w:bottom w:val="single" w:sz="8" w:space="0" w:color="auto"/>
              <w:right w:val="single" w:sz="8" w:space="0" w:color="auto"/>
            </w:tcBorders>
            <w:shd w:val="clear" w:color="auto" w:fill="auto"/>
            <w:vAlign w:val="center"/>
            <w:hideMark/>
          </w:tcPr>
          <w:p w14:paraId="3AB12254" w14:textId="77777777" w:rsidR="00351235" w:rsidRPr="00C33FF9" w:rsidRDefault="00351235" w:rsidP="00C33FF9">
            <w:pPr>
              <w:tabs>
                <w:tab w:val="decimal" w:pos="640"/>
              </w:tabs>
              <w:spacing w:after="0"/>
              <w:ind w:left="73" w:right="257"/>
              <w:rPr>
                <w:lang w:val="en-AU"/>
              </w:rPr>
            </w:pPr>
            <w:r w:rsidRPr="00C33FF9">
              <w:rPr>
                <w:lang w:val="en-AU"/>
              </w:rPr>
              <w:t>-</w:t>
            </w:r>
          </w:p>
        </w:tc>
        <w:tc>
          <w:tcPr>
            <w:tcW w:w="1499" w:type="dxa"/>
            <w:tcBorders>
              <w:top w:val="nil"/>
              <w:left w:val="nil"/>
              <w:bottom w:val="single" w:sz="8" w:space="0" w:color="auto"/>
              <w:right w:val="single" w:sz="8" w:space="0" w:color="auto"/>
            </w:tcBorders>
            <w:shd w:val="clear" w:color="auto" w:fill="auto"/>
            <w:vAlign w:val="center"/>
            <w:hideMark/>
          </w:tcPr>
          <w:p w14:paraId="387ED3CC" w14:textId="77777777" w:rsidR="00351235" w:rsidRPr="00C33FF9" w:rsidRDefault="00351235" w:rsidP="00C33FF9">
            <w:pPr>
              <w:tabs>
                <w:tab w:val="decimal" w:pos="700"/>
              </w:tabs>
              <w:spacing w:after="0"/>
              <w:ind w:left="133" w:right="184"/>
              <w:rPr>
                <w:lang w:val="en-AU"/>
              </w:rPr>
            </w:pPr>
            <w:r w:rsidRPr="00C33FF9">
              <w:rPr>
                <w:lang w:val="en-AU"/>
              </w:rPr>
              <w:t>-</w:t>
            </w:r>
          </w:p>
        </w:tc>
        <w:tc>
          <w:tcPr>
            <w:tcW w:w="1499" w:type="dxa"/>
            <w:tcBorders>
              <w:top w:val="nil"/>
              <w:left w:val="nil"/>
              <w:bottom w:val="single" w:sz="8" w:space="0" w:color="auto"/>
              <w:right w:val="single" w:sz="8" w:space="0" w:color="auto"/>
            </w:tcBorders>
            <w:shd w:val="clear" w:color="auto" w:fill="auto"/>
            <w:vAlign w:val="center"/>
            <w:hideMark/>
          </w:tcPr>
          <w:p w14:paraId="7490066F" w14:textId="77777777" w:rsidR="00351235" w:rsidRPr="00C33FF9" w:rsidRDefault="00351235" w:rsidP="00C33FF9">
            <w:pPr>
              <w:tabs>
                <w:tab w:val="decimal" w:pos="618"/>
              </w:tabs>
              <w:spacing w:after="0"/>
              <w:ind w:left="51" w:right="252"/>
              <w:rPr>
                <w:lang w:val="en-AU"/>
              </w:rPr>
            </w:pPr>
            <w:r w:rsidRPr="00C33FF9">
              <w:rPr>
                <w:lang w:val="en-AU"/>
              </w:rPr>
              <w:t>-</w:t>
            </w:r>
          </w:p>
        </w:tc>
        <w:tc>
          <w:tcPr>
            <w:tcW w:w="1499" w:type="dxa"/>
            <w:tcBorders>
              <w:top w:val="nil"/>
              <w:left w:val="nil"/>
              <w:bottom w:val="single" w:sz="8" w:space="0" w:color="auto"/>
              <w:right w:val="single" w:sz="8" w:space="0" w:color="auto"/>
            </w:tcBorders>
            <w:shd w:val="clear" w:color="auto" w:fill="auto"/>
            <w:vAlign w:val="center"/>
            <w:hideMark/>
          </w:tcPr>
          <w:p w14:paraId="5453BB8C" w14:textId="77777777" w:rsidR="00351235" w:rsidRPr="00C33FF9" w:rsidRDefault="00351235" w:rsidP="00C33FF9">
            <w:pPr>
              <w:tabs>
                <w:tab w:val="decimal" w:pos="679"/>
              </w:tabs>
              <w:spacing w:after="0"/>
              <w:ind w:left="112" w:right="179"/>
              <w:rPr>
                <w:lang w:val="en-AU"/>
              </w:rPr>
            </w:pPr>
            <w:r w:rsidRPr="00C33FF9">
              <w:rPr>
                <w:lang w:val="en-AU"/>
              </w:rPr>
              <w:t>-</w:t>
            </w:r>
          </w:p>
        </w:tc>
      </w:tr>
      <w:tr w:rsidR="00351235" w:rsidRPr="00B63C43" w14:paraId="1D6F4156" w14:textId="77777777" w:rsidTr="00351235">
        <w:trPr>
          <w:trHeight w:val="320"/>
        </w:trPr>
        <w:tc>
          <w:tcPr>
            <w:tcW w:w="2567" w:type="dxa"/>
            <w:tcBorders>
              <w:top w:val="nil"/>
              <w:left w:val="single" w:sz="8" w:space="0" w:color="auto"/>
              <w:bottom w:val="single" w:sz="8" w:space="0" w:color="auto"/>
              <w:right w:val="single" w:sz="8" w:space="0" w:color="auto"/>
            </w:tcBorders>
            <w:shd w:val="clear" w:color="auto" w:fill="auto"/>
            <w:vAlign w:val="center"/>
            <w:hideMark/>
          </w:tcPr>
          <w:p w14:paraId="074F005C" w14:textId="77777777" w:rsidR="00351235" w:rsidRPr="00C33FF9" w:rsidRDefault="00351235" w:rsidP="00351235">
            <w:pPr>
              <w:spacing w:after="0"/>
              <w:rPr>
                <w:lang w:val="en-AU"/>
              </w:rPr>
            </w:pPr>
            <w:r w:rsidRPr="00C33FF9">
              <w:rPr>
                <w:lang w:val="en-AU"/>
              </w:rPr>
              <w:t xml:space="preserve">European Union </w:t>
            </w:r>
          </w:p>
        </w:tc>
        <w:tc>
          <w:tcPr>
            <w:tcW w:w="1499" w:type="dxa"/>
            <w:tcBorders>
              <w:top w:val="nil"/>
              <w:left w:val="nil"/>
              <w:bottom w:val="single" w:sz="8" w:space="0" w:color="auto"/>
              <w:right w:val="single" w:sz="8" w:space="0" w:color="auto"/>
            </w:tcBorders>
            <w:shd w:val="clear" w:color="auto" w:fill="auto"/>
            <w:vAlign w:val="center"/>
            <w:hideMark/>
          </w:tcPr>
          <w:p w14:paraId="7CCD7759" w14:textId="77777777" w:rsidR="00351235" w:rsidRPr="00C33FF9" w:rsidRDefault="00351235" w:rsidP="00C33FF9">
            <w:pPr>
              <w:tabs>
                <w:tab w:val="decimal" w:pos="742"/>
              </w:tabs>
              <w:spacing w:after="0"/>
              <w:ind w:left="34" w:right="194"/>
              <w:rPr>
                <w:lang w:val="en-AU"/>
              </w:rPr>
            </w:pPr>
            <w:r w:rsidRPr="00C33FF9">
              <w:rPr>
                <w:lang w:val="en-AU"/>
              </w:rPr>
              <w:t>669</w:t>
            </w:r>
          </w:p>
        </w:tc>
        <w:tc>
          <w:tcPr>
            <w:tcW w:w="1499" w:type="dxa"/>
            <w:tcBorders>
              <w:top w:val="nil"/>
              <w:left w:val="nil"/>
              <w:bottom w:val="single" w:sz="8" w:space="0" w:color="auto"/>
              <w:right w:val="single" w:sz="8" w:space="0" w:color="auto"/>
            </w:tcBorders>
            <w:shd w:val="clear" w:color="auto" w:fill="auto"/>
            <w:vAlign w:val="center"/>
            <w:hideMark/>
          </w:tcPr>
          <w:p w14:paraId="71689ECB" w14:textId="77777777" w:rsidR="00351235" w:rsidRPr="00C33FF9" w:rsidRDefault="00351235" w:rsidP="00C33FF9">
            <w:pPr>
              <w:tabs>
                <w:tab w:val="decimal" w:pos="661"/>
              </w:tabs>
              <w:spacing w:after="0"/>
              <w:ind w:right="121" w:firstLine="94"/>
              <w:rPr>
                <w:lang w:val="en-AU"/>
              </w:rPr>
            </w:pPr>
            <w:r w:rsidRPr="00C33FF9">
              <w:rPr>
                <w:lang w:val="en-AU"/>
              </w:rPr>
              <w:t>1116.231</w:t>
            </w:r>
          </w:p>
        </w:tc>
        <w:tc>
          <w:tcPr>
            <w:tcW w:w="1499" w:type="dxa"/>
            <w:tcBorders>
              <w:top w:val="nil"/>
              <w:left w:val="nil"/>
              <w:bottom w:val="single" w:sz="8" w:space="0" w:color="auto"/>
              <w:right w:val="single" w:sz="8" w:space="0" w:color="auto"/>
            </w:tcBorders>
            <w:shd w:val="clear" w:color="auto" w:fill="auto"/>
            <w:vAlign w:val="center"/>
            <w:hideMark/>
          </w:tcPr>
          <w:p w14:paraId="55A0CF8D" w14:textId="77777777" w:rsidR="00351235" w:rsidRPr="00C33FF9" w:rsidRDefault="00351235" w:rsidP="00C33FF9">
            <w:pPr>
              <w:tabs>
                <w:tab w:val="decimal" w:pos="579"/>
              </w:tabs>
              <w:spacing w:after="0"/>
              <w:ind w:left="154" w:right="190"/>
              <w:rPr>
                <w:lang w:val="en-AU"/>
              </w:rPr>
            </w:pPr>
            <w:r w:rsidRPr="00C33FF9">
              <w:rPr>
                <w:lang w:val="en-AU"/>
              </w:rPr>
              <w:t>954.42</w:t>
            </w:r>
          </w:p>
        </w:tc>
        <w:tc>
          <w:tcPr>
            <w:tcW w:w="1499" w:type="dxa"/>
            <w:tcBorders>
              <w:top w:val="nil"/>
              <w:left w:val="nil"/>
              <w:bottom w:val="single" w:sz="8" w:space="0" w:color="auto"/>
              <w:right w:val="single" w:sz="8" w:space="0" w:color="auto"/>
            </w:tcBorders>
            <w:shd w:val="clear" w:color="auto" w:fill="auto"/>
            <w:vAlign w:val="center"/>
            <w:hideMark/>
          </w:tcPr>
          <w:p w14:paraId="15472D2A" w14:textId="77777777" w:rsidR="00351235" w:rsidRPr="00C33FF9" w:rsidRDefault="00351235" w:rsidP="00C33FF9">
            <w:pPr>
              <w:tabs>
                <w:tab w:val="decimal" w:pos="640"/>
              </w:tabs>
              <w:spacing w:after="0"/>
              <w:ind w:left="73" w:right="257"/>
              <w:rPr>
                <w:lang w:val="en-AU"/>
              </w:rPr>
            </w:pPr>
            <w:r w:rsidRPr="00C33FF9">
              <w:rPr>
                <w:lang w:val="en-AU"/>
              </w:rPr>
              <w:t>547.178</w:t>
            </w:r>
          </w:p>
        </w:tc>
        <w:tc>
          <w:tcPr>
            <w:tcW w:w="1499" w:type="dxa"/>
            <w:tcBorders>
              <w:top w:val="nil"/>
              <w:left w:val="nil"/>
              <w:bottom w:val="single" w:sz="8" w:space="0" w:color="auto"/>
              <w:right w:val="single" w:sz="8" w:space="0" w:color="auto"/>
            </w:tcBorders>
            <w:shd w:val="clear" w:color="auto" w:fill="auto"/>
            <w:vAlign w:val="center"/>
            <w:hideMark/>
          </w:tcPr>
          <w:p w14:paraId="669C6F09" w14:textId="77777777" w:rsidR="00351235" w:rsidRPr="00C33FF9" w:rsidRDefault="00351235" w:rsidP="00C33FF9">
            <w:pPr>
              <w:tabs>
                <w:tab w:val="decimal" w:pos="700"/>
              </w:tabs>
              <w:spacing w:after="0"/>
              <w:ind w:left="133" w:right="184"/>
              <w:rPr>
                <w:lang w:val="en-AU"/>
              </w:rPr>
            </w:pPr>
            <w:r w:rsidRPr="00C33FF9">
              <w:rPr>
                <w:lang w:val="en-AU"/>
              </w:rPr>
              <w:t>622.101</w:t>
            </w:r>
          </w:p>
        </w:tc>
        <w:tc>
          <w:tcPr>
            <w:tcW w:w="1499" w:type="dxa"/>
            <w:tcBorders>
              <w:top w:val="nil"/>
              <w:left w:val="nil"/>
              <w:bottom w:val="single" w:sz="8" w:space="0" w:color="auto"/>
              <w:right w:val="single" w:sz="8" w:space="0" w:color="auto"/>
            </w:tcBorders>
            <w:shd w:val="clear" w:color="auto" w:fill="auto"/>
            <w:vAlign w:val="center"/>
            <w:hideMark/>
          </w:tcPr>
          <w:p w14:paraId="1A5C90C0" w14:textId="77777777" w:rsidR="00351235" w:rsidRPr="00C33FF9" w:rsidRDefault="00351235" w:rsidP="00C33FF9">
            <w:pPr>
              <w:tabs>
                <w:tab w:val="decimal" w:pos="618"/>
              </w:tabs>
              <w:spacing w:after="0"/>
              <w:ind w:left="51" w:right="252"/>
              <w:rPr>
                <w:lang w:val="en-AU"/>
              </w:rPr>
            </w:pPr>
            <w:r w:rsidRPr="00C33FF9">
              <w:rPr>
                <w:lang w:val="en-AU"/>
              </w:rPr>
              <w:t>508.741</w:t>
            </w:r>
          </w:p>
        </w:tc>
        <w:tc>
          <w:tcPr>
            <w:tcW w:w="1499" w:type="dxa"/>
            <w:tcBorders>
              <w:top w:val="nil"/>
              <w:left w:val="nil"/>
              <w:bottom w:val="single" w:sz="8" w:space="0" w:color="auto"/>
              <w:right w:val="single" w:sz="8" w:space="0" w:color="auto"/>
            </w:tcBorders>
            <w:shd w:val="clear" w:color="auto" w:fill="auto"/>
            <w:vAlign w:val="center"/>
            <w:hideMark/>
          </w:tcPr>
          <w:p w14:paraId="6C29DF7A" w14:textId="77777777" w:rsidR="00351235" w:rsidRPr="00C33FF9" w:rsidRDefault="00351235" w:rsidP="00C33FF9">
            <w:pPr>
              <w:tabs>
                <w:tab w:val="decimal" w:pos="679"/>
              </w:tabs>
              <w:spacing w:after="0"/>
              <w:ind w:left="112" w:right="179"/>
              <w:rPr>
                <w:lang w:val="en-AU"/>
              </w:rPr>
            </w:pPr>
            <w:r w:rsidRPr="00C33FF9">
              <w:rPr>
                <w:lang w:val="en-AU"/>
              </w:rPr>
              <w:t>283.313</w:t>
            </w:r>
          </w:p>
        </w:tc>
      </w:tr>
      <w:tr w:rsidR="00351235" w:rsidRPr="00B63C43" w14:paraId="2F8E4D3B" w14:textId="77777777" w:rsidTr="00351235">
        <w:trPr>
          <w:trHeight w:val="320"/>
        </w:trPr>
        <w:tc>
          <w:tcPr>
            <w:tcW w:w="2567" w:type="dxa"/>
            <w:tcBorders>
              <w:top w:val="nil"/>
              <w:left w:val="single" w:sz="8" w:space="0" w:color="auto"/>
              <w:bottom w:val="single" w:sz="8" w:space="0" w:color="auto"/>
              <w:right w:val="single" w:sz="8" w:space="0" w:color="auto"/>
            </w:tcBorders>
            <w:shd w:val="clear" w:color="auto" w:fill="auto"/>
            <w:vAlign w:val="center"/>
            <w:hideMark/>
          </w:tcPr>
          <w:p w14:paraId="502A3704" w14:textId="77777777" w:rsidR="00351235" w:rsidRPr="00C33FF9" w:rsidRDefault="00351235" w:rsidP="00351235">
            <w:pPr>
              <w:spacing w:after="0"/>
              <w:rPr>
                <w:color w:val="auto"/>
                <w:lang w:val="en-AU"/>
              </w:rPr>
            </w:pPr>
            <w:r w:rsidRPr="00C33FF9">
              <w:rPr>
                <w:color w:val="auto"/>
                <w:lang w:val="en-AU"/>
              </w:rPr>
              <w:t xml:space="preserve">Israel </w:t>
            </w:r>
          </w:p>
        </w:tc>
        <w:tc>
          <w:tcPr>
            <w:tcW w:w="1499" w:type="dxa"/>
            <w:tcBorders>
              <w:top w:val="nil"/>
              <w:left w:val="nil"/>
              <w:bottom w:val="single" w:sz="8" w:space="0" w:color="auto"/>
              <w:right w:val="single" w:sz="8" w:space="0" w:color="auto"/>
            </w:tcBorders>
            <w:shd w:val="clear" w:color="auto" w:fill="auto"/>
            <w:vAlign w:val="center"/>
            <w:hideMark/>
          </w:tcPr>
          <w:p w14:paraId="7E8D65D2" w14:textId="77777777" w:rsidR="00351235" w:rsidRPr="00C33FF9" w:rsidRDefault="00351235" w:rsidP="00C33FF9">
            <w:pPr>
              <w:tabs>
                <w:tab w:val="decimal" w:pos="742"/>
              </w:tabs>
              <w:spacing w:after="0"/>
              <w:ind w:left="34" w:right="194"/>
              <w:rPr>
                <w:color w:val="auto"/>
                <w:lang w:val="en-AU"/>
              </w:rPr>
            </w:pPr>
            <w:r w:rsidRPr="00C33FF9">
              <w:rPr>
                <w:color w:val="auto"/>
                <w:lang w:val="en-AU"/>
              </w:rPr>
              <w:t>2.4</w:t>
            </w:r>
          </w:p>
        </w:tc>
        <w:tc>
          <w:tcPr>
            <w:tcW w:w="1499" w:type="dxa"/>
            <w:tcBorders>
              <w:top w:val="nil"/>
              <w:left w:val="nil"/>
              <w:bottom w:val="single" w:sz="8" w:space="0" w:color="auto"/>
              <w:right w:val="single" w:sz="8" w:space="0" w:color="auto"/>
            </w:tcBorders>
            <w:shd w:val="clear" w:color="auto" w:fill="auto"/>
            <w:vAlign w:val="center"/>
            <w:hideMark/>
          </w:tcPr>
          <w:p w14:paraId="11883389" w14:textId="77777777" w:rsidR="00351235" w:rsidRPr="00C33FF9" w:rsidRDefault="00351235" w:rsidP="00C33FF9">
            <w:pPr>
              <w:tabs>
                <w:tab w:val="decimal" w:pos="661"/>
              </w:tabs>
              <w:spacing w:after="0"/>
              <w:ind w:right="121" w:firstLine="94"/>
              <w:rPr>
                <w:color w:val="auto"/>
                <w:lang w:val="en-AU"/>
              </w:rPr>
            </w:pPr>
            <w:r w:rsidRPr="00C33FF9">
              <w:rPr>
                <w:color w:val="auto"/>
                <w:lang w:val="en-AU"/>
              </w:rPr>
              <w:t>2.4</w:t>
            </w:r>
          </w:p>
        </w:tc>
        <w:tc>
          <w:tcPr>
            <w:tcW w:w="1499" w:type="dxa"/>
            <w:tcBorders>
              <w:top w:val="nil"/>
              <w:left w:val="nil"/>
              <w:bottom w:val="single" w:sz="8" w:space="0" w:color="auto"/>
              <w:right w:val="single" w:sz="8" w:space="0" w:color="auto"/>
            </w:tcBorders>
            <w:shd w:val="clear" w:color="auto" w:fill="auto"/>
            <w:vAlign w:val="center"/>
            <w:hideMark/>
          </w:tcPr>
          <w:p w14:paraId="312DC731" w14:textId="77777777" w:rsidR="00351235" w:rsidRPr="00C33FF9" w:rsidRDefault="00351235" w:rsidP="00C33FF9">
            <w:pPr>
              <w:tabs>
                <w:tab w:val="decimal" w:pos="579"/>
              </w:tabs>
              <w:spacing w:after="0"/>
              <w:ind w:left="154" w:right="190"/>
              <w:rPr>
                <w:color w:val="auto"/>
                <w:lang w:val="en-AU"/>
              </w:rPr>
            </w:pPr>
            <w:r w:rsidRPr="00C33FF9">
              <w:rPr>
                <w:color w:val="auto"/>
                <w:lang w:val="en-AU"/>
              </w:rPr>
              <w:t>-</w:t>
            </w:r>
          </w:p>
        </w:tc>
        <w:tc>
          <w:tcPr>
            <w:tcW w:w="1499" w:type="dxa"/>
            <w:tcBorders>
              <w:top w:val="nil"/>
              <w:left w:val="nil"/>
              <w:bottom w:val="single" w:sz="8" w:space="0" w:color="auto"/>
              <w:right w:val="single" w:sz="8" w:space="0" w:color="auto"/>
            </w:tcBorders>
            <w:shd w:val="clear" w:color="auto" w:fill="auto"/>
            <w:vAlign w:val="center"/>
            <w:hideMark/>
          </w:tcPr>
          <w:p w14:paraId="443F7406" w14:textId="77777777" w:rsidR="00351235" w:rsidRPr="00C33FF9" w:rsidRDefault="00351235" w:rsidP="00C33FF9">
            <w:pPr>
              <w:tabs>
                <w:tab w:val="decimal" w:pos="640"/>
              </w:tabs>
              <w:spacing w:after="0"/>
              <w:ind w:left="73" w:right="257"/>
              <w:rPr>
                <w:color w:val="auto"/>
                <w:lang w:val="en-AU"/>
              </w:rPr>
            </w:pPr>
            <w:r w:rsidRPr="00C33FF9">
              <w:rPr>
                <w:color w:val="auto"/>
                <w:lang w:val="en-AU"/>
              </w:rPr>
              <w:t> 3.6</w:t>
            </w:r>
          </w:p>
        </w:tc>
        <w:tc>
          <w:tcPr>
            <w:tcW w:w="1499" w:type="dxa"/>
            <w:tcBorders>
              <w:top w:val="nil"/>
              <w:left w:val="nil"/>
              <w:bottom w:val="single" w:sz="8" w:space="0" w:color="auto"/>
              <w:right w:val="single" w:sz="8" w:space="0" w:color="auto"/>
            </w:tcBorders>
            <w:shd w:val="clear" w:color="auto" w:fill="auto"/>
            <w:vAlign w:val="center"/>
            <w:hideMark/>
          </w:tcPr>
          <w:p w14:paraId="5152E01F" w14:textId="77777777" w:rsidR="00351235" w:rsidRPr="00C33FF9" w:rsidRDefault="00351235" w:rsidP="00C33FF9">
            <w:pPr>
              <w:tabs>
                <w:tab w:val="decimal" w:pos="700"/>
              </w:tabs>
              <w:spacing w:after="0"/>
              <w:ind w:left="133" w:right="184"/>
              <w:rPr>
                <w:color w:val="auto"/>
                <w:lang w:val="en-AU"/>
              </w:rPr>
            </w:pPr>
            <w:r w:rsidRPr="00C33FF9">
              <w:rPr>
                <w:color w:val="auto"/>
                <w:lang w:val="en-AU"/>
              </w:rPr>
              <w:t>2.4</w:t>
            </w:r>
          </w:p>
        </w:tc>
        <w:tc>
          <w:tcPr>
            <w:tcW w:w="1499" w:type="dxa"/>
            <w:tcBorders>
              <w:top w:val="nil"/>
              <w:left w:val="nil"/>
              <w:bottom w:val="single" w:sz="8" w:space="0" w:color="auto"/>
              <w:right w:val="single" w:sz="8" w:space="0" w:color="auto"/>
            </w:tcBorders>
            <w:shd w:val="clear" w:color="auto" w:fill="auto"/>
            <w:vAlign w:val="center"/>
            <w:hideMark/>
          </w:tcPr>
          <w:p w14:paraId="736CEC36" w14:textId="77777777" w:rsidR="00351235" w:rsidRPr="00C33FF9" w:rsidRDefault="00351235" w:rsidP="00C33FF9">
            <w:pPr>
              <w:tabs>
                <w:tab w:val="decimal" w:pos="618"/>
              </w:tabs>
              <w:spacing w:after="0"/>
              <w:ind w:left="51" w:right="252"/>
              <w:rPr>
                <w:color w:val="auto"/>
                <w:lang w:val="en-AU"/>
              </w:rPr>
            </w:pPr>
            <w:r w:rsidRPr="00C33FF9">
              <w:rPr>
                <w:color w:val="auto"/>
                <w:lang w:val="en-AU"/>
              </w:rPr>
              <w:t>2.4</w:t>
            </w:r>
          </w:p>
        </w:tc>
        <w:tc>
          <w:tcPr>
            <w:tcW w:w="1499" w:type="dxa"/>
            <w:tcBorders>
              <w:top w:val="nil"/>
              <w:left w:val="nil"/>
              <w:bottom w:val="single" w:sz="8" w:space="0" w:color="auto"/>
              <w:right w:val="single" w:sz="8" w:space="0" w:color="auto"/>
            </w:tcBorders>
            <w:shd w:val="clear" w:color="auto" w:fill="auto"/>
            <w:vAlign w:val="center"/>
            <w:hideMark/>
          </w:tcPr>
          <w:p w14:paraId="34AEC37C" w14:textId="77777777" w:rsidR="00351235" w:rsidRPr="00C33FF9" w:rsidRDefault="00351235" w:rsidP="00C33FF9">
            <w:pPr>
              <w:tabs>
                <w:tab w:val="decimal" w:pos="679"/>
              </w:tabs>
              <w:spacing w:after="0"/>
              <w:ind w:left="112" w:right="179"/>
              <w:rPr>
                <w:color w:val="auto"/>
                <w:lang w:val="en-AU"/>
              </w:rPr>
            </w:pPr>
            <w:r w:rsidRPr="00C33FF9">
              <w:rPr>
                <w:color w:val="auto"/>
                <w:lang w:val="en-AU"/>
              </w:rPr>
              <w:t>1.8</w:t>
            </w:r>
          </w:p>
        </w:tc>
      </w:tr>
      <w:tr w:rsidR="00351235" w:rsidRPr="00B63C43" w14:paraId="09F9C6A7" w14:textId="77777777" w:rsidTr="00351235">
        <w:trPr>
          <w:trHeight w:val="320"/>
        </w:trPr>
        <w:tc>
          <w:tcPr>
            <w:tcW w:w="2567" w:type="dxa"/>
            <w:tcBorders>
              <w:top w:val="nil"/>
              <w:left w:val="single" w:sz="8" w:space="0" w:color="auto"/>
              <w:bottom w:val="single" w:sz="8" w:space="0" w:color="auto"/>
              <w:right w:val="single" w:sz="8" w:space="0" w:color="auto"/>
            </w:tcBorders>
            <w:shd w:val="clear" w:color="auto" w:fill="auto"/>
            <w:vAlign w:val="center"/>
            <w:hideMark/>
          </w:tcPr>
          <w:p w14:paraId="01359A78" w14:textId="77777777" w:rsidR="00351235" w:rsidRPr="00C33FF9" w:rsidRDefault="00351235" w:rsidP="00351235">
            <w:pPr>
              <w:spacing w:after="0"/>
              <w:rPr>
                <w:color w:val="auto"/>
                <w:lang w:val="en-AU"/>
              </w:rPr>
            </w:pPr>
            <w:r w:rsidRPr="00C33FF9">
              <w:rPr>
                <w:color w:val="auto"/>
                <w:lang w:val="en-AU"/>
              </w:rPr>
              <w:t>Mexico</w:t>
            </w:r>
          </w:p>
        </w:tc>
        <w:tc>
          <w:tcPr>
            <w:tcW w:w="1499" w:type="dxa"/>
            <w:tcBorders>
              <w:top w:val="nil"/>
              <w:left w:val="nil"/>
              <w:bottom w:val="single" w:sz="8" w:space="0" w:color="auto"/>
              <w:right w:val="single" w:sz="8" w:space="0" w:color="auto"/>
            </w:tcBorders>
            <w:shd w:val="clear" w:color="auto" w:fill="auto"/>
            <w:vAlign w:val="center"/>
            <w:hideMark/>
          </w:tcPr>
          <w:p w14:paraId="00738C65" w14:textId="77777777" w:rsidR="00351235" w:rsidRPr="00C33FF9" w:rsidRDefault="00351235" w:rsidP="00C33FF9">
            <w:pPr>
              <w:tabs>
                <w:tab w:val="decimal" w:pos="742"/>
              </w:tabs>
              <w:spacing w:after="0"/>
              <w:ind w:left="34" w:right="194"/>
              <w:rPr>
                <w:color w:val="auto"/>
                <w:lang w:val="en-AU"/>
              </w:rPr>
            </w:pPr>
            <w:r w:rsidRPr="00C33FF9">
              <w:rPr>
                <w:color w:val="auto"/>
                <w:lang w:val="en-AU"/>
              </w:rPr>
              <w:t>-</w:t>
            </w:r>
          </w:p>
        </w:tc>
        <w:tc>
          <w:tcPr>
            <w:tcW w:w="1499" w:type="dxa"/>
            <w:tcBorders>
              <w:top w:val="nil"/>
              <w:left w:val="nil"/>
              <w:bottom w:val="single" w:sz="8" w:space="0" w:color="auto"/>
              <w:right w:val="single" w:sz="8" w:space="0" w:color="auto"/>
            </w:tcBorders>
            <w:shd w:val="clear" w:color="auto" w:fill="auto"/>
            <w:vAlign w:val="center"/>
            <w:hideMark/>
          </w:tcPr>
          <w:p w14:paraId="6BDDA4E7" w14:textId="77777777" w:rsidR="00351235" w:rsidRPr="00C33FF9" w:rsidRDefault="00351235" w:rsidP="00C33FF9">
            <w:pPr>
              <w:tabs>
                <w:tab w:val="decimal" w:pos="661"/>
              </w:tabs>
              <w:spacing w:after="0"/>
              <w:ind w:right="121" w:firstLine="94"/>
              <w:rPr>
                <w:color w:val="auto"/>
                <w:lang w:val="en-AU"/>
              </w:rPr>
            </w:pPr>
            <w:r w:rsidRPr="00C33FF9">
              <w:rPr>
                <w:color w:val="auto"/>
                <w:lang w:val="en-AU"/>
              </w:rPr>
              <w:t>40.9954</w:t>
            </w:r>
          </w:p>
        </w:tc>
        <w:tc>
          <w:tcPr>
            <w:tcW w:w="1499" w:type="dxa"/>
            <w:tcBorders>
              <w:top w:val="nil"/>
              <w:left w:val="nil"/>
              <w:bottom w:val="single" w:sz="8" w:space="0" w:color="auto"/>
              <w:right w:val="single" w:sz="8" w:space="0" w:color="auto"/>
            </w:tcBorders>
            <w:shd w:val="clear" w:color="auto" w:fill="auto"/>
            <w:vAlign w:val="center"/>
            <w:hideMark/>
          </w:tcPr>
          <w:p w14:paraId="310C2FAF" w14:textId="77777777" w:rsidR="00351235" w:rsidRPr="00C33FF9" w:rsidRDefault="00351235" w:rsidP="00C33FF9">
            <w:pPr>
              <w:tabs>
                <w:tab w:val="decimal" w:pos="579"/>
              </w:tabs>
              <w:spacing w:after="0"/>
              <w:ind w:left="154" w:right="190"/>
              <w:rPr>
                <w:color w:val="auto"/>
                <w:lang w:val="en-AU"/>
              </w:rPr>
            </w:pPr>
            <w:r w:rsidRPr="00C33FF9">
              <w:rPr>
                <w:color w:val="auto"/>
                <w:lang w:val="en-AU"/>
              </w:rPr>
              <w:t>-</w:t>
            </w:r>
          </w:p>
        </w:tc>
        <w:tc>
          <w:tcPr>
            <w:tcW w:w="1499" w:type="dxa"/>
            <w:tcBorders>
              <w:top w:val="nil"/>
              <w:left w:val="nil"/>
              <w:bottom w:val="single" w:sz="8" w:space="0" w:color="auto"/>
              <w:right w:val="single" w:sz="8" w:space="0" w:color="auto"/>
            </w:tcBorders>
            <w:shd w:val="clear" w:color="auto" w:fill="auto"/>
            <w:vAlign w:val="center"/>
            <w:hideMark/>
          </w:tcPr>
          <w:p w14:paraId="3B8E1E2C" w14:textId="77777777" w:rsidR="00351235" w:rsidRPr="00C33FF9" w:rsidRDefault="00351235" w:rsidP="00C33FF9">
            <w:pPr>
              <w:tabs>
                <w:tab w:val="decimal" w:pos="640"/>
              </w:tabs>
              <w:spacing w:after="0"/>
              <w:ind w:left="73" w:right="257"/>
              <w:rPr>
                <w:color w:val="auto"/>
                <w:lang w:val="en-AU"/>
              </w:rPr>
            </w:pPr>
            <w:r w:rsidRPr="00C33FF9">
              <w:rPr>
                <w:color w:val="auto"/>
                <w:lang w:val="en-AU"/>
              </w:rPr>
              <w:t>-</w:t>
            </w:r>
          </w:p>
        </w:tc>
        <w:tc>
          <w:tcPr>
            <w:tcW w:w="1499" w:type="dxa"/>
            <w:tcBorders>
              <w:top w:val="nil"/>
              <w:left w:val="nil"/>
              <w:bottom w:val="single" w:sz="8" w:space="0" w:color="auto"/>
              <w:right w:val="single" w:sz="8" w:space="0" w:color="auto"/>
            </w:tcBorders>
            <w:shd w:val="clear" w:color="auto" w:fill="auto"/>
            <w:vAlign w:val="center"/>
            <w:hideMark/>
          </w:tcPr>
          <w:p w14:paraId="56285068" w14:textId="77777777" w:rsidR="00351235" w:rsidRPr="00C33FF9" w:rsidRDefault="00351235" w:rsidP="00C33FF9">
            <w:pPr>
              <w:tabs>
                <w:tab w:val="decimal" w:pos="700"/>
              </w:tabs>
              <w:spacing w:after="0"/>
              <w:ind w:left="133" w:right="184"/>
              <w:rPr>
                <w:color w:val="auto"/>
                <w:lang w:val="en-AU"/>
              </w:rPr>
            </w:pPr>
            <w:r w:rsidRPr="00C33FF9">
              <w:rPr>
                <w:color w:val="auto"/>
                <w:lang w:val="en-AU"/>
              </w:rPr>
              <w:t>-</w:t>
            </w:r>
          </w:p>
        </w:tc>
        <w:tc>
          <w:tcPr>
            <w:tcW w:w="1499" w:type="dxa"/>
            <w:tcBorders>
              <w:top w:val="nil"/>
              <w:left w:val="nil"/>
              <w:bottom w:val="single" w:sz="8" w:space="0" w:color="auto"/>
              <w:right w:val="single" w:sz="8" w:space="0" w:color="auto"/>
            </w:tcBorders>
            <w:shd w:val="clear" w:color="auto" w:fill="auto"/>
            <w:vAlign w:val="center"/>
            <w:hideMark/>
          </w:tcPr>
          <w:p w14:paraId="63A17820" w14:textId="77777777" w:rsidR="00351235" w:rsidRPr="00C33FF9" w:rsidRDefault="00351235" w:rsidP="00C33FF9">
            <w:pPr>
              <w:tabs>
                <w:tab w:val="decimal" w:pos="618"/>
              </w:tabs>
              <w:spacing w:after="0"/>
              <w:ind w:left="51" w:right="252"/>
              <w:rPr>
                <w:color w:val="auto"/>
                <w:lang w:val="en-AU"/>
              </w:rPr>
            </w:pPr>
            <w:r w:rsidRPr="00C33FF9">
              <w:rPr>
                <w:color w:val="auto"/>
                <w:lang w:val="en-AU"/>
              </w:rPr>
              <w:t>-</w:t>
            </w:r>
          </w:p>
        </w:tc>
        <w:tc>
          <w:tcPr>
            <w:tcW w:w="1499" w:type="dxa"/>
            <w:tcBorders>
              <w:top w:val="nil"/>
              <w:left w:val="nil"/>
              <w:bottom w:val="single" w:sz="8" w:space="0" w:color="auto"/>
              <w:right w:val="single" w:sz="8" w:space="0" w:color="auto"/>
            </w:tcBorders>
            <w:shd w:val="clear" w:color="auto" w:fill="auto"/>
            <w:vAlign w:val="center"/>
            <w:hideMark/>
          </w:tcPr>
          <w:p w14:paraId="448A555E" w14:textId="77777777" w:rsidR="00351235" w:rsidRPr="00C33FF9" w:rsidRDefault="00351235" w:rsidP="00C33FF9">
            <w:pPr>
              <w:tabs>
                <w:tab w:val="decimal" w:pos="679"/>
              </w:tabs>
              <w:spacing w:after="0"/>
              <w:ind w:left="112" w:right="179"/>
              <w:rPr>
                <w:color w:val="auto"/>
                <w:lang w:val="en-AU"/>
              </w:rPr>
            </w:pPr>
            <w:r w:rsidRPr="00C33FF9">
              <w:rPr>
                <w:color w:val="auto"/>
                <w:lang w:val="en-AU"/>
              </w:rPr>
              <w:t>-</w:t>
            </w:r>
          </w:p>
        </w:tc>
      </w:tr>
      <w:tr w:rsidR="00351235" w:rsidRPr="00B63C43" w14:paraId="1A581E59" w14:textId="77777777" w:rsidTr="00351235">
        <w:trPr>
          <w:trHeight w:val="320"/>
        </w:trPr>
        <w:tc>
          <w:tcPr>
            <w:tcW w:w="2567" w:type="dxa"/>
            <w:tcBorders>
              <w:top w:val="nil"/>
              <w:left w:val="single" w:sz="8" w:space="0" w:color="auto"/>
              <w:bottom w:val="single" w:sz="8" w:space="0" w:color="auto"/>
              <w:right w:val="single" w:sz="8" w:space="0" w:color="auto"/>
            </w:tcBorders>
            <w:shd w:val="clear" w:color="auto" w:fill="auto"/>
            <w:vAlign w:val="center"/>
            <w:hideMark/>
          </w:tcPr>
          <w:p w14:paraId="4E469D6E" w14:textId="77777777" w:rsidR="00351235" w:rsidRPr="00C33FF9" w:rsidRDefault="00351235" w:rsidP="00351235">
            <w:pPr>
              <w:spacing w:after="0"/>
              <w:rPr>
                <w:lang w:val="en-AU"/>
              </w:rPr>
            </w:pPr>
            <w:r w:rsidRPr="00C33FF9">
              <w:rPr>
                <w:lang w:val="en-AU"/>
              </w:rPr>
              <w:t xml:space="preserve">United States of America </w:t>
            </w:r>
          </w:p>
        </w:tc>
        <w:tc>
          <w:tcPr>
            <w:tcW w:w="1499" w:type="dxa"/>
            <w:tcBorders>
              <w:top w:val="nil"/>
              <w:left w:val="nil"/>
              <w:bottom w:val="single" w:sz="8" w:space="0" w:color="auto"/>
              <w:right w:val="single" w:sz="8" w:space="0" w:color="auto"/>
            </w:tcBorders>
            <w:shd w:val="clear" w:color="auto" w:fill="auto"/>
            <w:vAlign w:val="center"/>
            <w:hideMark/>
          </w:tcPr>
          <w:p w14:paraId="0612579C" w14:textId="77777777" w:rsidR="00351235" w:rsidRPr="00C33FF9" w:rsidRDefault="00351235" w:rsidP="00C33FF9">
            <w:pPr>
              <w:tabs>
                <w:tab w:val="decimal" w:pos="742"/>
              </w:tabs>
              <w:spacing w:after="0"/>
              <w:ind w:left="34" w:right="194"/>
              <w:rPr>
                <w:lang w:val="en-AU"/>
              </w:rPr>
            </w:pPr>
            <w:r w:rsidRPr="00C33FF9">
              <w:rPr>
                <w:lang w:val="en-AU"/>
              </w:rPr>
              <w:t>-</w:t>
            </w:r>
          </w:p>
        </w:tc>
        <w:tc>
          <w:tcPr>
            <w:tcW w:w="1499" w:type="dxa"/>
            <w:tcBorders>
              <w:top w:val="nil"/>
              <w:left w:val="nil"/>
              <w:bottom w:val="single" w:sz="8" w:space="0" w:color="auto"/>
              <w:right w:val="single" w:sz="8" w:space="0" w:color="auto"/>
            </w:tcBorders>
            <w:shd w:val="clear" w:color="auto" w:fill="auto"/>
            <w:vAlign w:val="center"/>
            <w:hideMark/>
          </w:tcPr>
          <w:p w14:paraId="08B7BC90" w14:textId="77777777" w:rsidR="00351235" w:rsidRPr="00C33FF9" w:rsidRDefault="00351235" w:rsidP="00C33FF9">
            <w:pPr>
              <w:tabs>
                <w:tab w:val="decimal" w:pos="661"/>
              </w:tabs>
              <w:spacing w:after="0"/>
              <w:ind w:right="121" w:firstLine="94"/>
              <w:rPr>
                <w:lang w:val="en-AU"/>
              </w:rPr>
            </w:pPr>
            <w:r w:rsidRPr="00C33FF9">
              <w:rPr>
                <w:lang w:val="en-AU"/>
              </w:rPr>
              <w:t>-</w:t>
            </w:r>
          </w:p>
        </w:tc>
        <w:tc>
          <w:tcPr>
            <w:tcW w:w="1499" w:type="dxa"/>
            <w:tcBorders>
              <w:top w:val="nil"/>
              <w:left w:val="nil"/>
              <w:bottom w:val="single" w:sz="8" w:space="0" w:color="auto"/>
              <w:right w:val="single" w:sz="8" w:space="0" w:color="auto"/>
            </w:tcBorders>
            <w:shd w:val="clear" w:color="auto" w:fill="auto"/>
            <w:vAlign w:val="center"/>
            <w:hideMark/>
          </w:tcPr>
          <w:p w14:paraId="0BC99F55" w14:textId="77777777" w:rsidR="00351235" w:rsidRPr="00C33FF9" w:rsidRDefault="00351235" w:rsidP="00C33FF9">
            <w:pPr>
              <w:tabs>
                <w:tab w:val="decimal" w:pos="579"/>
              </w:tabs>
              <w:spacing w:after="0"/>
              <w:ind w:left="154" w:right="190"/>
              <w:rPr>
                <w:lang w:val="en-AU"/>
              </w:rPr>
            </w:pPr>
            <w:r w:rsidRPr="00C33FF9">
              <w:rPr>
                <w:lang w:val="en-AU"/>
              </w:rPr>
              <w:t>-</w:t>
            </w:r>
          </w:p>
        </w:tc>
        <w:tc>
          <w:tcPr>
            <w:tcW w:w="1499" w:type="dxa"/>
            <w:tcBorders>
              <w:top w:val="nil"/>
              <w:left w:val="nil"/>
              <w:bottom w:val="single" w:sz="8" w:space="0" w:color="auto"/>
              <w:right w:val="single" w:sz="8" w:space="0" w:color="auto"/>
            </w:tcBorders>
            <w:shd w:val="clear" w:color="auto" w:fill="auto"/>
            <w:vAlign w:val="center"/>
            <w:hideMark/>
          </w:tcPr>
          <w:p w14:paraId="50F22A23" w14:textId="77777777" w:rsidR="00351235" w:rsidRPr="00C33FF9" w:rsidRDefault="00351235" w:rsidP="00C33FF9">
            <w:pPr>
              <w:tabs>
                <w:tab w:val="decimal" w:pos="640"/>
              </w:tabs>
              <w:spacing w:after="0"/>
              <w:ind w:left="73" w:right="257"/>
              <w:rPr>
                <w:lang w:val="en-AU"/>
              </w:rPr>
            </w:pPr>
            <w:r w:rsidRPr="00C33FF9">
              <w:rPr>
                <w:lang w:val="en-AU"/>
              </w:rPr>
              <w:t>-</w:t>
            </w:r>
          </w:p>
        </w:tc>
        <w:tc>
          <w:tcPr>
            <w:tcW w:w="1499" w:type="dxa"/>
            <w:tcBorders>
              <w:top w:val="nil"/>
              <w:left w:val="nil"/>
              <w:bottom w:val="single" w:sz="8" w:space="0" w:color="auto"/>
              <w:right w:val="single" w:sz="8" w:space="0" w:color="auto"/>
            </w:tcBorders>
            <w:shd w:val="clear" w:color="auto" w:fill="auto"/>
            <w:vAlign w:val="center"/>
            <w:hideMark/>
          </w:tcPr>
          <w:p w14:paraId="75476BA2" w14:textId="77777777" w:rsidR="00351235" w:rsidRPr="00C33FF9" w:rsidRDefault="00351235" w:rsidP="00C33FF9">
            <w:pPr>
              <w:tabs>
                <w:tab w:val="decimal" w:pos="700"/>
              </w:tabs>
              <w:spacing w:after="0"/>
              <w:ind w:left="133" w:right="184"/>
              <w:rPr>
                <w:lang w:val="en-AU"/>
              </w:rPr>
            </w:pPr>
            <w:r w:rsidRPr="00C33FF9">
              <w:rPr>
                <w:lang w:val="en-AU"/>
              </w:rPr>
              <w:t>-</w:t>
            </w:r>
          </w:p>
        </w:tc>
        <w:tc>
          <w:tcPr>
            <w:tcW w:w="1499" w:type="dxa"/>
            <w:tcBorders>
              <w:top w:val="nil"/>
              <w:left w:val="nil"/>
              <w:bottom w:val="single" w:sz="8" w:space="0" w:color="auto"/>
              <w:right w:val="single" w:sz="8" w:space="0" w:color="auto"/>
            </w:tcBorders>
            <w:shd w:val="clear" w:color="auto" w:fill="auto"/>
            <w:vAlign w:val="center"/>
            <w:hideMark/>
          </w:tcPr>
          <w:p w14:paraId="4FF92DC5" w14:textId="77777777" w:rsidR="00351235" w:rsidRPr="00C33FF9" w:rsidRDefault="00351235" w:rsidP="00C33FF9">
            <w:pPr>
              <w:tabs>
                <w:tab w:val="decimal" w:pos="618"/>
              </w:tabs>
              <w:spacing w:after="0"/>
              <w:ind w:left="51" w:right="252"/>
              <w:rPr>
                <w:lang w:val="en-AU"/>
              </w:rPr>
            </w:pPr>
            <w:r w:rsidRPr="00C33FF9">
              <w:rPr>
                <w:lang w:val="en-AU"/>
              </w:rPr>
              <w:t>-</w:t>
            </w:r>
          </w:p>
        </w:tc>
        <w:tc>
          <w:tcPr>
            <w:tcW w:w="1499" w:type="dxa"/>
            <w:tcBorders>
              <w:top w:val="nil"/>
              <w:left w:val="nil"/>
              <w:bottom w:val="single" w:sz="8" w:space="0" w:color="auto"/>
              <w:right w:val="single" w:sz="8" w:space="0" w:color="auto"/>
            </w:tcBorders>
            <w:shd w:val="clear" w:color="auto" w:fill="auto"/>
            <w:vAlign w:val="center"/>
            <w:hideMark/>
          </w:tcPr>
          <w:p w14:paraId="255DCB97" w14:textId="77777777" w:rsidR="00351235" w:rsidRPr="00C33FF9" w:rsidRDefault="00351235" w:rsidP="00C33FF9">
            <w:pPr>
              <w:tabs>
                <w:tab w:val="decimal" w:pos="679"/>
              </w:tabs>
              <w:spacing w:after="0"/>
              <w:ind w:left="112" w:right="179"/>
              <w:rPr>
                <w:lang w:val="en-AU"/>
              </w:rPr>
            </w:pPr>
            <w:r w:rsidRPr="00C33FF9">
              <w:rPr>
                <w:lang w:val="en-AU"/>
              </w:rPr>
              <w:t>-</w:t>
            </w:r>
          </w:p>
        </w:tc>
      </w:tr>
      <w:tr w:rsidR="00351235" w:rsidRPr="00B63C43" w14:paraId="018B118C" w14:textId="77777777" w:rsidTr="00351235">
        <w:trPr>
          <w:trHeight w:val="320"/>
        </w:trPr>
        <w:tc>
          <w:tcPr>
            <w:tcW w:w="2567" w:type="dxa"/>
            <w:tcBorders>
              <w:top w:val="nil"/>
              <w:left w:val="single" w:sz="8" w:space="0" w:color="auto"/>
              <w:bottom w:val="single" w:sz="8" w:space="0" w:color="auto"/>
              <w:right w:val="single" w:sz="8" w:space="0" w:color="auto"/>
            </w:tcBorders>
            <w:shd w:val="clear" w:color="auto" w:fill="auto"/>
            <w:vAlign w:val="center"/>
            <w:hideMark/>
          </w:tcPr>
          <w:p w14:paraId="4191028A" w14:textId="77777777" w:rsidR="00351235" w:rsidRPr="00C33FF9" w:rsidRDefault="00351235" w:rsidP="00351235">
            <w:pPr>
              <w:spacing w:after="0"/>
              <w:rPr>
                <w:b/>
                <w:lang w:val="en-AU"/>
              </w:rPr>
            </w:pPr>
            <w:r w:rsidRPr="00C33FF9">
              <w:rPr>
                <w:b/>
                <w:lang w:val="en-AU"/>
              </w:rPr>
              <w:t xml:space="preserve">Total </w:t>
            </w:r>
          </w:p>
        </w:tc>
        <w:tc>
          <w:tcPr>
            <w:tcW w:w="1499" w:type="dxa"/>
            <w:tcBorders>
              <w:top w:val="nil"/>
              <w:left w:val="nil"/>
              <w:bottom w:val="single" w:sz="8" w:space="0" w:color="auto"/>
              <w:right w:val="single" w:sz="8" w:space="0" w:color="auto"/>
            </w:tcBorders>
            <w:shd w:val="clear" w:color="auto" w:fill="auto"/>
            <w:vAlign w:val="center"/>
            <w:hideMark/>
          </w:tcPr>
          <w:p w14:paraId="731B4989" w14:textId="77777777" w:rsidR="00351235" w:rsidRPr="00C33FF9" w:rsidRDefault="00351235" w:rsidP="00C33FF9">
            <w:pPr>
              <w:tabs>
                <w:tab w:val="decimal" w:pos="742"/>
              </w:tabs>
              <w:spacing w:after="0"/>
              <w:ind w:left="34" w:right="194"/>
              <w:rPr>
                <w:i/>
                <w:lang w:val="en-AU"/>
              </w:rPr>
            </w:pPr>
            <w:r w:rsidRPr="00C33FF9">
              <w:rPr>
                <w:i/>
                <w:lang w:val="en-AU"/>
              </w:rPr>
              <w:t>984.4*</w:t>
            </w:r>
          </w:p>
        </w:tc>
        <w:tc>
          <w:tcPr>
            <w:tcW w:w="1499" w:type="dxa"/>
            <w:tcBorders>
              <w:top w:val="nil"/>
              <w:left w:val="nil"/>
              <w:bottom w:val="single" w:sz="8" w:space="0" w:color="auto"/>
              <w:right w:val="single" w:sz="8" w:space="0" w:color="auto"/>
            </w:tcBorders>
            <w:shd w:val="clear" w:color="auto" w:fill="auto"/>
            <w:vAlign w:val="center"/>
            <w:hideMark/>
          </w:tcPr>
          <w:p w14:paraId="78E11210" w14:textId="77777777" w:rsidR="00351235" w:rsidRPr="00C33FF9" w:rsidRDefault="00351235" w:rsidP="00C33FF9">
            <w:pPr>
              <w:tabs>
                <w:tab w:val="decimal" w:pos="661"/>
              </w:tabs>
              <w:spacing w:after="0"/>
              <w:ind w:right="121" w:firstLine="94"/>
              <w:rPr>
                <w:i/>
                <w:lang w:val="en-AU"/>
              </w:rPr>
            </w:pPr>
            <w:r w:rsidRPr="00C33FF9">
              <w:rPr>
                <w:i/>
                <w:lang w:val="en-AU"/>
              </w:rPr>
              <w:t>1339.5664*</w:t>
            </w:r>
          </w:p>
        </w:tc>
        <w:tc>
          <w:tcPr>
            <w:tcW w:w="1499" w:type="dxa"/>
            <w:tcBorders>
              <w:top w:val="nil"/>
              <w:left w:val="nil"/>
              <w:bottom w:val="single" w:sz="8" w:space="0" w:color="auto"/>
              <w:right w:val="single" w:sz="8" w:space="0" w:color="auto"/>
            </w:tcBorders>
            <w:shd w:val="clear" w:color="auto" w:fill="auto"/>
            <w:vAlign w:val="center"/>
            <w:hideMark/>
          </w:tcPr>
          <w:p w14:paraId="6D7EF568" w14:textId="77777777" w:rsidR="00351235" w:rsidRPr="00C33FF9" w:rsidRDefault="00351235" w:rsidP="00C33FF9">
            <w:pPr>
              <w:tabs>
                <w:tab w:val="decimal" w:pos="579"/>
              </w:tabs>
              <w:spacing w:after="0"/>
              <w:ind w:left="154" w:right="190"/>
              <w:rPr>
                <w:i/>
                <w:lang w:val="en-AU"/>
              </w:rPr>
            </w:pPr>
            <w:r w:rsidRPr="00C33FF9">
              <w:rPr>
                <w:i/>
                <w:lang w:val="en-AU"/>
              </w:rPr>
              <w:t>1134.34*</w:t>
            </w:r>
          </w:p>
        </w:tc>
        <w:tc>
          <w:tcPr>
            <w:tcW w:w="1499" w:type="dxa"/>
            <w:tcBorders>
              <w:top w:val="nil"/>
              <w:left w:val="nil"/>
              <w:bottom w:val="single" w:sz="8" w:space="0" w:color="auto"/>
              <w:right w:val="single" w:sz="8" w:space="0" w:color="auto"/>
            </w:tcBorders>
            <w:shd w:val="clear" w:color="auto" w:fill="auto"/>
            <w:vAlign w:val="center"/>
            <w:hideMark/>
          </w:tcPr>
          <w:p w14:paraId="3A9991E4" w14:textId="77777777" w:rsidR="00351235" w:rsidRPr="00C33FF9" w:rsidRDefault="00351235" w:rsidP="00C33FF9">
            <w:pPr>
              <w:tabs>
                <w:tab w:val="decimal" w:pos="640"/>
              </w:tabs>
              <w:spacing w:after="0"/>
              <w:ind w:left="73" w:right="257"/>
              <w:rPr>
                <w:i/>
                <w:lang w:val="en-AU"/>
              </w:rPr>
            </w:pPr>
            <w:r w:rsidRPr="00C33FF9">
              <w:rPr>
                <w:i/>
                <w:lang w:val="en-AU"/>
              </w:rPr>
              <w:t>730.018*</w:t>
            </w:r>
          </w:p>
        </w:tc>
        <w:tc>
          <w:tcPr>
            <w:tcW w:w="1499" w:type="dxa"/>
            <w:tcBorders>
              <w:top w:val="nil"/>
              <w:left w:val="nil"/>
              <w:bottom w:val="single" w:sz="8" w:space="0" w:color="auto"/>
              <w:right w:val="single" w:sz="8" w:space="0" w:color="auto"/>
            </w:tcBorders>
            <w:shd w:val="clear" w:color="auto" w:fill="auto"/>
            <w:vAlign w:val="center"/>
            <w:hideMark/>
          </w:tcPr>
          <w:p w14:paraId="307E9C17" w14:textId="77777777" w:rsidR="00351235" w:rsidRPr="00C33FF9" w:rsidRDefault="00351235" w:rsidP="00C33FF9">
            <w:pPr>
              <w:tabs>
                <w:tab w:val="decimal" w:pos="700"/>
              </w:tabs>
              <w:spacing w:after="0"/>
              <w:ind w:left="133" w:right="184"/>
              <w:rPr>
                <w:i/>
                <w:lang w:val="en-AU"/>
              </w:rPr>
            </w:pPr>
            <w:r w:rsidRPr="00C33FF9">
              <w:rPr>
                <w:i/>
                <w:lang w:val="en-AU"/>
              </w:rPr>
              <w:t>713.421*</w:t>
            </w:r>
          </w:p>
        </w:tc>
        <w:tc>
          <w:tcPr>
            <w:tcW w:w="1499" w:type="dxa"/>
            <w:tcBorders>
              <w:top w:val="nil"/>
              <w:left w:val="nil"/>
              <w:bottom w:val="single" w:sz="8" w:space="0" w:color="auto"/>
              <w:right w:val="single" w:sz="8" w:space="0" w:color="auto"/>
            </w:tcBorders>
            <w:shd w:val="clear" w:color="auto" w:fill="auto"/>
            <w:vAlign w:val="center"/>
            <w:hideMark/>
          </w:tcPr>
          <w:p w14:paraId="0436E40B" w14:textId="77777777" w:rsidR="00351235" w:rsidRPr="00C33FF9" w:rsidRDefault="00351235" w:rsidP="00C33FF9">
            <w:pPr>
              <w:tabs>
                <w:tab w:val="decimal" w:pos="618"/>
              </w:tabs>
              <w:spacing w:after="0"/>
              <w:ind w:left="51" w:right="252"/>
              <w:rPr>
                <w:i/>
                <w:lang w:val="en-AU"/>
              </w:rPr>
            </w:pPr>
            <w:r w:rsidRPr="00C33FF9">
              <w:rPr>
                <w:i/>
                <w:lang w:val="en-AU"/>
              </w:rPr>
              <w:t>689.581*</w:t>
            </w:r>
          </w:p>
        </w:tc>
        <w:tc>
          <w:tcPr>
            <w:tcW w:w="1499" w:type="dxa"/>
            <w:tcBorders>
              <w:top w:val="nil"/>
              <w:left w:val="nil"/>
              <w:bottom w:val="single" w:sz="8" w:space="0" w:color="auto"/>
              <w:right w:val="single" w:sz="8" w:space="0" w:color="auto"/>
            </w:tcBorders>
            <w:shd w:val="clear" w:color="auto" w:fill="auto"/>
            <w:vAlign w:val="center"/>
            <w:hideMark/>
          </w:tcPr>
          <w:p w14:paraId="48D72AA0" w14:textId="77777777" w:rsidR="00351235" w:rsidRPr="00C33FF9" w:rsidRDefault="00351235" w:rsidP="00C33FF9">
            <w:pPr>
              <w:tabs>
                <w:tab w:val="decimal" w:pos="679"/>
              </w:tabs>
              <w:spacing w:after="0"/>
              <w:ind w:left="112" w:right="179"/>
              <w:rPr>
                <w:i/>
                <w:lang w:val="en-AU"/>
              </w:rPr>
            </w:pPr>
            <w:r w:rsidRPr="00C33FF9">
              <w:rPr>
                <w:i/>
                <w:lang w:val="en-AU"/>
              </w:rPr>
              <w:t>464.953*</w:t>
            </w:r>
          </w:p>
        </w:tc>
      </w:tr>
    </w:tbl>
    <w:p w14:paraId="4F2CDE08" w14:textId="77777777" w:rsidR="00351235" w:rsidRPr="0008277D" w:rsidRDefault="00351235" w:rsidP="00351235">
      <w:pPr>
        <w:rPr>
          <w:sz w:val="20"/>
        </w:rPr>
      </w:pPr>
      <w:r>
        <w:rPr>
          <w:sz w:val="20"/>
        </w:rPr>
        <w:t>*Nominal totals</w:t>
      </w:r>
      <w:r w:rsidRPr="0008277D">
        <w:rPr>
          <w:sz w:val="20"/>
        </w:rPr>
        <w:t>, which exclude data not reported.</w:t>
      </w:r>
    </w:p>
    <w:tbl>
      <w:tblPr>
        <w:tblW w:w="13060" w:type="dxa"/>
        <w:tblInd w:w="93" w:type="dxa"/>
        <w:tblLayout w:type="fixed"/>
        <w:tblLook w:val="04A0" w:firstRow="1" w:lastRow="0" w:firstColumn="1" w:lastColumn="0" w:noHBand="0" w:noVBand="1"/>
      </w:tblPr>
      <w:tblGrid>
        <w:gridCol w:w="2603"/>
        <w:gridCol w:w="1493"/>
        <w:gridCol w:w="1494"/>
        <w:gridCol w:w="1494"/>
        <w:gridCol w:w="1494"/>
        <w:gridCol w:w="1494"/>
        <w:gridCol w:w="1494"/>
        <w:gridCol w:w="1494"/>
      </w:tblGrid>
      <w:tr w:rsidR="00351235" w:rsidRPr="00A23016" w14:paraId="77EC5394" w14:textId="77777777" w:rsidTr="00351235">
        <w:trPr>
          <w:trHeight w:val="320"/>
        </w:trPr>
        <w:tc>
          <w:tcPr>
            <w:tcW w:w="260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C6A6326" w14:textId="77777777" w:rsidR="00351235" w:rsidRPr="00C33FF9" w:rsidRDefault="00351235" w:rsidP="00351235">
            <w:pPr>
              <w:spacing w:after="0"/>
              <w:rPr>
                <w:b/>
                <w:lang w:val="en-AU"/>
              </w:rPr>
            </w:pPr>
            <w:r w:rsidRPr="00C33FF9">
              <w:rPr>
                <w:b/>
                <w:lang w:val="en-AU"/>
              </w:rPr>
              <w:t xml:space="preserve">Party </w:t>
            </w:r>
          </w:p>
        </w:tc>
        <w:tc>
          <w:tcPr>
            <w:tcW w:w="10457" w:type="dxa"/>
            <w:gridSpan w:val="7"/>
            <w:tcBorders>
              <w:top w:val="single" w:sz="8" w:space="0" w:color="auto"/>
              <w:left w:val="nil"/>
              <w:bottom w:val="single" w:sz="8" w:space="0" w:color="auto"/>
              <w:right w:val="single" w:sz="8" w:space="0" w:color="000000"/>
            </w:tcBorders>
            <w:shd w:val="clear" w:color="auto" w:fill="auto"/>
            <w:vAlign w:val="center"/>
            <w:hideMark/>
          </w:tcPr>
          <w:p w14:paraId="086A7A8E" w14:textId="77777777" w:rsidR="00351235" w:rsidRPr="00C33FF9" w:rsidRDefault="00351235" w:rsidP="00C33FF9">
            <w:pPr>
              <w:spacing w:after="0"/>
              <w:jc w:val="center"/>
              <w:rPr>
                <w:b/>
                <w:lang w:val="en-AU"/>
              </w:rPr>
            </w:pPr>
            <w:r w:rsidRPr="00C33FF9">
              <w:rPr>
                <w:b/>
                <w:lang w:val="en-AU"/>
              </w:rPr>
              <w:t>Reported emissions</w:t>
            </w:r>
          </w:p>
        </w:tc>
      </w:tr>
      <w:tr w:rsidR="00351235" w:rsidRPr="00A23016" w14:paraId="2592AA38" w14:textId="77777777" w:rsidTr="00351235">
        <w:trPr>
          <w:trHeight w:val="320"/>
        </w:trPr>
        <w:tc>
          <w:tcPr>
            <w:tcW w:w="2603" w:type="dxa"/>
            <w:vMerge/>
            <w:tcBorders>
              <w:top w:val="single" w:sz="8" w:space="0" w:color="auto"/>
              <w:left w:val="single" w:sz="8" w:space="0" w:color="auto"/>
              <w:bottom w:val="single" w:sz="8" w:space="0" w:color="000000"/>
              <w:right w:val="single" w:sz="8" w:space="0" w:color="auto"/>
            </w:tcBorders>
            <w:vAlign w:val="center"/>
            <w:hideMark/>
          </w:tcPr>
          <w:p w14:paraId="404F453C" w14:textId="77777777" w:rsidR="00351235" w:rsidRPr="00C33FF9" w:rsidRDefault="00351235" w:rsidP="00C33FF9">
            <w:pPr>
              <w:spacing w:after="0"/>
              <w:rPr>
                <w:b/>
                <w:lang w:val="en-AU"/>
              </w:rPr>
            </w:pPr>
          </w:p>
        </w:tc>
        <w:tc>
          <w:tcPr>
            <w:tcW w:w="1493" w:type="dxa"/>
            <w:tcBorders>
              <w:top w:val="nil"/>
              <w:left w:val="nil"/>
              <w:bottom w:val="single" w:sz="8" w:space="0" w:color="auto"/>
              <w:right w:val="single" w:sz="8" w:space="0" w:color="auto"/>
            </w:tcBorders>
            <w:shd w:val="clear" w:color="auto" w:fill="auto"/>
            <w:vAlign w:val="center"/>
            <w:hideMark/>
          </w:tcPr>
          <w:p w14:paraId="3C1FDB00" w14:textId="77777777" w:rsidR="00351235" w:rsidRPr="00C33FF9" w:rsidRDefault="00351235" w:rsidP="00C33FF9">
            <w:pPr>
              <w:spacing w:after="0"/>
              <w:jc w:val="center"/>
              <w:rPr>
                <w:b/>
                <w:lang w:val="en-AU"/>
              </w:rPr>
            </w:pPr>
            <w:r w:rsidRPr="00C33FF9">
              <w:rPr>
                <w:b/>
                <w:lang w:val="en-AU"/>
              </w:rPr>
              <w:t>2009</w:t>
            </w:r>
          </w:p>
        </w:tc>
        <w:tc>
          <w:tcPr>
            <w:tcW w:w="1494" w:type="dxa"/>
            <w:tcBorders>
              <w:top w:val="nil"/>
              <w:left w:val="nil"/>
              <w:bottom w:val="single" w:sz="8" w:space="0" w:color="auto"/>
              <w:right w:val="single" w:sz="8" w:space="0" w:color="auto"/>
            </w:tcBorders>
            <w:shd w:val="clear" w:color="auto" w:fill="auto"/>
            <w:vAlign w:val="center"/>
            <w:hideMark/>
          </w:tcPr>
          <w:p w14:paraId="2D215E6D" w14:textId="77777777" w:rsidR="00351235" w:rsidRPr="00C33FF9" w:rsidRDefault="00351235" w:rsidP="00C33FF9">
            <w:pPr>
              <w:spacing w:after="0"/>
              <w:jc w:val="center"/>
              <w:rPr>
                <w:b/>
                <w:lang w:val="en-AU"/>
              </w:rPr>
            </w:pPr>
            <w:r w:rsidRPr="00C33FF9">
              <w:rPr>
                <w:b/>
                <w:lang w:val="en-AU"/>
              </w:rPr>
              <w:t>2010</w:t>
            </w:r>
          </w:p>
        </w:tc>
        <w:tc>
          <w:tcPr>
            <w:tcW w:w="1494" w:type="dxa"/>
            <w:tcBorders>
              <w:top w:val="nil"/>
              <w:left w:val="nil"/>
              <w:bottom w:val="single" w:sz="8" w:space="0" w:color="auto"/>
              <w:right w:val="single" w:sz="8" w:space="0" w:color="auto"/>
            </w:tcBorders>
            <w:shd w:val="clear" w:color="auto" w:fill="auto"/>
            <w:vAlign w:val="center"/>
            <w:hideMark/>
          </w:tcPr>
          <w:p w14:paraId="743043C0" w14:textId="77777777" w:rsidR="00351235" w:rsidRPr="00C33FF9" w:rsidRDefault="00351235" w:rsidP="00C33FF9">
            <w:pPr>
              <w:spacing w:after="0"/>
              <w:jc w:val="center"/>
              <w:rPr>
                <w:b/>
                <w:lang w:val="en-AU"/>
              </w:rPr>
            </w:pPr>
            <w:r w:rsidRPr="00C33FF9">
              <w:rPr>
                <w:b/>
                <w:lang w:val="en-AU"/>
              </w:rPr>
              <w:t>2011</w:t>
            </w:r>
          </w:p>
        </w:tc>
        <w:tc>
          <w:tcPr>
            <w:tcW w:w="1494" w:type="dxa"/>
            <w:tcBorders>
              <w:top w:val="nil"/>
              <w:left w:val="nil"/>
              <w:bottom w:val="single" w:sz="8" w:space="0" w:color="auto"/>
              <w:right w:val="single" w:sz="8" w:space="0" w:color="auto"/>
            </w:tcBorders>
            <w:shd w:val="clear" w:color="auto" w:fill="auto"/>
            <w:vAlign w:val="center"/>
            <w:hideMark/>
          </w:tcPr>
          <w:p w14:paraId="7AA419E1" w14:textId="77777777" w:rsidR="00351235" w:rsidRPr="00C33FF9" w:rsidRDefault="00351235" w:rsidP="00C33FF9">
            <w:pPr>
              <w:spacing w:after="0"/>
              <w:jc w:val="center"/>
              <w:rPr>
                <w:b/>
                <w:lang w:val="en-AU"/>
              </w:rPr>
            </w:pPr>
            <w:r w:rsidRPr="00C33FF9">
              <w:rPr>
                <w:b/>
                <w:lang w:val="en-AU"/>
              </w:rPr>
              <w:t>2012</w:t>
            </w:r>
          </w:p>
        </w:tc>
        <w:tc>
          <w:tcPr>
            <w:tcW w:w="1494" w:type="dxa"/>
            <w:tcBorders>
              <w:top w:val="nil"/>
              <w:left w:val="nil"/>
              <w:bottom w:val="single" w:sz="8" w:space="0" w:color="auto"/>
              <w:right w:val="single" w:sz="8" w:space="0" w:color="auto"/>
            </w:tcBorders>
            <w:shd w:val="clear" w:color="auto" w:fill="auto"/>
            <w:vAlign w:val="center"/>
            <w:hideMark/>
          </w:tcPr>
          <w:p w14:paraId="0481B3C5" w14:textId="77777777" w:rsidR="00351235" w:rsidRPr="00C33FF9" w:rsidRDefault="00351235" w:rsidP="00C33FF9">
            <w:pPr>
              <w:spacing w:after="0"/>
              <w:jc w:val="center"/>
              <w:rPr>
                <w:b/>
                <w:lang w:val="en-AU"/>
              </w:rPr>
            </w:pPr>
            <w:r w:rsidRPr="00C33FF9">
              <w:rPr>
                <w:b/>
                <w:lang w:val="en-AU"/>
              </w:rPr>
              <w:t>2013</w:t>
            </w:r>
          </w:p>
        </w:tc>
        <w:tc>
          <w:tcPr>
            <w:tcW w:w="1494" w:type="dxa"/>
            <w:tcBorders>
              <w:top w:val="nil"/>
              <w:left w:val="nil"/>
              <w:bottom w:val="single" w:sz="8" w:space="0" w:color="auto"/>
              <w:right w:val="single" w:sz="8" w:space="0" w:color="auto"/>
            </w:tcBorders>
            <w:shd w:val="clear" w:color="auto" w:fill="auto"/>
            <w:vAlign w:val="center"/>
            <w:hideMark/>
          </w:tcPr>
          <w:p w14:paraId="7EDA36BF" w14:textId="77777777" w:rsidR="00351235" w:rsidRPr="00C33FF9" w:rsidRDefault="00351235" w:rsidP="00C33FF9">
            <w:pPr>
              <w:spacing w:after="0"/>
              <w:jc w:val="center"/>
              <w:rPr>
                <w:b/>
                <w:lang w:val="en-AU"/>
              </w:rPr>
            </w:pPr>
            <w:r w:rsidRPr="00C33FF9">
              <w:rPr>
                <w:b/>
                <w:lang w:val="en-AU"/>
              </w:rPr>
              <w:t>2014</w:t>
            </w:r>
          </w:p>
        </w:tc>
        <w:tc>
          <w:tcPr>
            <w:tcW w:w="1494" w:type="dxa"/>
            <w:tcBorders>
              <w:top w:val="nil"/>
              <w:left w:val="nil"/>
              <w:bottom w:val="single" w:sz="8" w:space="0" w:color="auto"/>
              <w:right w:val="single" w:sz="8" w:space="0" w:color="auto"/>
            </w:tcBorders>
            <w:shd w:val="clear" w:color="auto" w:fill="auto"/>
            <w:vAlign w:val="center"/>
            <w:hideMark/>
          </w:tcPr>
          <w:p w14:paraId="147347B5" w14:textId="77777777" w:rsidR="00351235" w:rsidRPr="00C33FF9" w:rsidRDefault="00351235" w:rsidP="00C33FF9">
            <w:pPr>
              <w:spacing w:after="0"/>
              <w:jc w:val="center"/>
              <w:rPr>
                <w:b/>
                <w:lang w:val="en-AU"/>
              </w:rPr>
            </w:pPr>
            <w:r w:rsidRPr="00C33FF9">
              <w:rPr>
                <w:b/>
                <w:lang w:val="en-AU"/>
              </w:rPr>
              <w:t>2015</w:t>
            </w:r>
          </w:p>
        </w:tc>
      </w:tr>
      <w:tr w:rsidR="00351235" w:rsidRPr="00A23016" w14:paraId="19D16B8D" w14:textId="77777777" w:rsidTr="00351235">
        <w:trPr>
          <w:trHeight w:val="320"/>
        </w:trPr>
        <w:tc>
          <w:tcPr>
            <w:tcW w:w="2603" w:type="dxa"/>
            <w:tcBorders>
              <w:top w:val="nil"/>
              <w:left w:val="single" w:sz="8" w:space="0" w:color="auto"/>
              <w:bottom w:val="single" w:sz="8" w:space="0" w:color="auto"/>
              <w:right w:val="single" w:sz="8" w:space="0" w:color="auto"/>
            </w:tcBorders>
            <w:shd w:val="clear" w:color="auto" w:fill="auto"/>
            <w:vAlign w:val="center"/>
            <w:hideMark/>
          </w:tcPr>
          <w:p w14:paraId="0698FA6B" w14:textId="77777777" w:rsidR="00351235" w:rsidRPr="00C33FF9" w:rsidRDefault="00351235" w:rsidP="00351235">
            <w:pPr>
              <w:spacing w:after="0"/>
              <w:rPr>
                <w:lang w:val="en-AU"/>
              </w:rPr>
            </w:pPr>
            <w:r w:rsidRPr="00C33FF9">
              <w:rPr>
                <w:lang w:val="en-AU"/>
              </w:rPr>
              <w:t>Brazil</w:t>
            </w:r>
          </w:p>
        </w:tc>
        <w:tc>
          <w:tcPr>
            <w:tcW w:w="1493" w:type="dxa"/>
            <w:tcBorders>
              <w:top w:val="nil"/>
              <w:left w:val="nil"/>
              <w:bottom w:val="single" w:sz="8" w:space="0" w:color="auto"/>
              <w:right w:val="single" w:sz="8" w:space="0" w:color="auto"/>
            </w:tcBorders>
            <w:shd w:val="clear" w:color="auto" w:fill="auto"/>
            <w:vAlign w:val="center"/>
            <w:hideMark/>
          </w:tcPr>
          <w:p w14:paraId="35CB86B5" w14:textId="77777777" w:rsidR="00351235" w:rsidRPr="00C33FF9" w:rsidRDefault="00351235" w:rsidP="00C33FF9">
            <w:pPr>
              <w:tabs>
                <w:tab w:val="decimal" w:pos="706"/>
              </w:tabs>
              <w:spacing w:after="0"/>
              <w:ind w:right="194"/>
              <w:rPr>
                <w:lang w:val="en-AU"/>
              </w:rPr>
            </w:pPr>
            <w:r w:rsidRPr="00C33FF9">
              <w:rPr>
                <w:lang w:val="en-AU"/>
              </w:rPr>
              <w:t>0</w:t>
            </w:r>
          </w:p>
        </w:tc>
        <w:tc>
          <w:tcPr>
            <w:tcW w:w="1494" w:type="dxa"/>
            <w:tcBorders>
              <w:top w:val="nil"/>
              <w:left w:val="nil"/>
              <w:bottom w:val="single" w:sz="8" w:space="0" w:color="auto"/>
              <w:right w:val="single" w:sz="8" w:space="0" w:color="auto"/>
            </w:tcBorders>
            <w:shd w:val="clear" w:color="auto" w:fill="auto"/>
            <w:vAlign w:val="center"/>
            <w:hideMark/>
          </w:tcPr>
          <w:p w14:paraId="5BFB8B32" w14:textId="77777777" w:rsidR="00351235" w:rsidRPr="00C33FF9" w:rsidRDefault="00351235" w:rsidP="00C33FF9">
            <w:pPr>
              <w:tabs>
                <w:tab w:val="decimal" w:pos="489"/>
              </w:tabs>
              <w:spacing w:after="0"/>
              <w:ind w:right="121"/>
              <w:rPr>
                <w:lang w:val="en-AU"/>
              </w:rPr>
            </w:pPr>
            <w:r w:rsidRPr="00C33FF9">
              <w:rPr>
                <w:lang w:val="en-AU"/>
              </w:rPr>
              <w:t>-</w:t>
            </w:r>
          </w:p>
        </w:tc>
        <w:tc>
          <w:tcPr>
            <w:tcW w:w="1494" w:type="dxa"/>
            <w:tcBorders>
              <w:top w:val="nil"/>
              <w:left w:val="nil"/>
              <w:bottom w:val="single" w:sz="8" w:space="0" w:color="auto"/>
              <w:right w:val="single" w:sz="8" w:space="0" w:color="auto"/>
            </w:tcBorders>
            <w:shd w:val="clear" w:color="auto" w:fill="auto"/>
            <w:vAlign w:val="center"/>
            <w:hideMark/>
          </w:tcPr>
          <w:p w14:paraId="5C17D4E7" w14:textId="77777777" w:rsidR="00351235" w:rsidRPr="00C33FF9" w:rsidRDefault="00351235" w:rsidP="00C33FF9">
            <w:pPr>
              <w:tabs>
                <w:tab w:val="decimal" w:pos="696"/>
              </w:tabs>
              <w:spacing w:after="0"/>
              <w:ind w:right="190"/>
              <w:rPr>
                <w:lang w:val="en-AU"/>
              </w:rPr>
            </w:pPr>
            <w:r w:rsidRPr="00C33FF9">
              <w:rPr>
                <w:lang w:val="en-AU"/>
              </w:rPr>
              <w:t>-</w:t>
            </w:r>
          </w:p>
        </w:tc>
        <w:tc>
          <w:tcPr>
            <w:tcW w:w="1494" w:type="dxa"/>
            <w:tcBorders>
              <w:top w:val="nil"/>
              <w:left w:val="nil"/>
              <w:bottom w:val="single" w:sz="8" w:space="0" w:color="auto"/>
              <w:right w:val="single" w:sz="8" w:space="0" w:color="auto"/>
            </w:tcBorders>
            <w:shd w:val="clear" w:color="auto" w:fill="auto"/>
            <w:vAlign w:val="center"/>
            <w:hideMark/>
          </w:tcPr>
          <w:p w14:paraId="194F96A9" w14:textId="77777777" w:rsidR="00351235" w:rsidRPr="00C33FF9" w:rsidRDefault="00351235" w:rsidP="00C33FF9">
            <w:pPr>
              <w:tabs>
                <w:tab w:val="decimal" w:pos="620"/>
              </w:tabs>
              <w:spacing w:after="0"/>
              <w:ind w:right="257"/>
              <w:rPr>
                <w:lang w:val="en-AU"/>
              </w:rPr>
            </w:pPr>
            <w:r w:rsidRPr="00C33FF9">
              <w:rPr>
                <w:lang w:val="en-AU"/>
              </w:rPr>
              <w:t>-</w:t>
            </w:r>
          </w:p>
        </w:tc>
        <w:tc>
          <w:tcPr>
            <w:tcW w:w="1494" w:type="dxa"/>
            <w:tcBorders>
              <w:top w:val="nil"/>
              <w:left w:val="nil"/>
              <w:bottom w:val="single" w:sz="8" w:space="0" w:color="auto"/>
              <w:right w:val="single" w:sz="8" w:space="0" w:color="auto"/>
            </w:tcBorders>
            <w:shd w:val="clear" w:color="auto" w:fill="auto"/>
            <w:vAlign w:val="center"/>
            <w:hideMark/>
          </w:tcPr>
          <w:p w14:paraId="1D5384B9" w14:textId="77777777" w:rsidR="00351235" w:rsidRPr="00C33FF9" w:rsidRDefault="00351235" w:rsidP="00C33FF9">
            <w:pPr>
              <w:tabs>
                <w:tab w:val="decimal" w:pos="401"/>
              </w:tabs>
              <w:spacing w:after="0"/>
              <w:ind w:right="184"/>
              <w:rPr>
                <w:lang w:val="en-AU"/>
              </w:rPr>
            </w:pPr>
            <w:r w:rsidRPr="00C33FF9">
              <w:rPr>
                <w:lang w:val="en-AU"/>
              </w:rPr>
              <w:t>-</w:t>
            </w:r>
          </w:p>
        </w:tc>
        <w:tc>
          <w:tcPr>
            <w:tcW w:w="1494" w:type="dxa"/>
            <w:tcBorders>
              <w:top w:val="nil"/>
              <w:left w:val="nil"/>
              <w:bottom w:val="single" w:sz="8" w:space="0" w:color="auto"/>
              <w:right w:val="single" w:sz="8" w:space="0" w:color="auto"/>
            </w:tcBorders>
            <w:shd w:val="clear" w:color="auto" w:fill="auto"/>
            <w:vAlign w:val="center"/>
            <w:hideMark/>
          </w:tcPr>
          <w:p w14:paraId="281770F2" w14:textId="77777777" w:rsidR="00351235" w:rsidRPr="00C33FF9" w:rsidRDefault="00351235" w:rsidP="00C33FF9">
            <w:pPr>
              <w:tabs>
                <w:tab w:val="decimal" w:pos="467"/>
              </w:tabs>
              <w:spacing w:after="0"/>
              <w:ind w:right="252"/>
              <w:rPr>
                <w:lang w:val="en-AU"/>
              </w:rPr>
            </w:pPr>
            <w:r w:rsidRPr="00C33FF9">
              <w:rPr>
                <w:lang w:val="en-AU"/>
              </w:rPr>
              <w:t>-</w:t>
            </w:r>
          </w:p>
        </w:tc>
        <w:tc>
          <w:tcPr>
            <w:tcW w:w="1494" w:type="dxa"/>
            <w:tcBorders>
              <w:top w:val="nil"/>
              <w:left w:val="nil"/>
              <w:bottom w:val="single" w:sz="8" w:space="0" w:color="auto"/>
              <w:right w:val="single" w:sz="8" w:space="0" w:color="auto"/>
            </w:tcBorders>
            <w:shd w:val="clear" w:color="auto" w:fill="auto"/>
            <w:vAlign w:val="center"/>
            <w:hideMark/>
          </w:tcPr>
          <w:p w14:paraId="2654AF2F" w14:textId="77777777" w:rsidR="00351235" w:rsidRPr="00C33FF9" w:rsidRDefault="00351235" w:rsidP="00C33FF9">
            <w:pPr>
              <w:tabs>
                <w:tab w:val="decimal" w:pos="532"/>
              </w:tabs>
              <w:spacing w:after="0"/>
              <w:ind w:right="179"/>
              <w:rPr>
                <w:lang w:val="en-AU"/>
              </w:rPr>
            </w:pPr>
            <w:r w:rsidRPr="00C33FF9">
              <w:rPr>
                <w:lang w:val="en-AU"/>
              </w:rPr>
              <w:t>-</w:t>
            </w:r>
          </w:p>
        </w:tc>
      </w:tr>
      <w:tr w:rsidR="00351235" w:rsidRPr="00A23016" w14:paraId="3C7C077E" w14:textId="77777777" w:rsidTr="00351235">
        <w:trPr>
          <w:trHeight w:val="320"/>
        </w:trPr>
        <w:tc>
          <w:tcPr>
            <w:tcW w:w="2603" w:type="dxa"/>
            <w:tcBorders>
              <w:top w:val="nil"/>
              <w:left w:val="single" w:sz="8" w:space="0" w:color="auto"/>
              <w:bottom w:val="single" w:sz="8" w:space="0" w:color="auto"/>
              <w:right w:val="single" w:sz="8" w:space="0" w:color="auto"/>
            </w:tcBorders>
            <w:shd w:val="clear" w:color="auto" w:fill="auto"/>
            <w:vAlign w:val="center"/>
            <w:hideMark/>
          </w:tcPr>
          <w:p w14:paraId="1217D306" w14:textId="77777777" w:rsidR="00351235" w:rsidRPr="00C33FF9" w:rsidRDefault="00351235" w:rsidP="00351235">
            <w:pPr>
              <w:spacing w:after="0"/>
              <w:rPr>
                <w:lang w:val="en-AU"/>
              </w:rPr>
            </w:pPr>
            <w:r w:rsidRPr="00C33FF9">
              <w:rPr>
                <w:lang w:val="en-AU"/>
              </w:rPr>
              <w:t xml:space="preserve">China </w:t>
            </w:r>
          </w:p>
        </w:tc>
        <w:tc>
          <w:tcPr>
            <w:tcW w:w="1493" w:type="dxa"/>
            <w:tcBorders>
              <w:top w:val="nil"/>
              <w:left w:val="nil"/>
              <w:bottom w:val="single" w:sz="8" w:space="0" w:color="auto"/>
              <w:right w:val="single" w:sz="8" w:space="0" w:color="auto"/>
            </w:tcBorders>
            <w:shd w:val="clear" w:color="auto" w:fill="auto"/>
            <w:vAlign w:val="center"/>
            <w:hideMark/>
          </w:tcPr>
          <w:p w14:paraId="370735A4" w14:textId="77777777" w:rsidR="00351235" w:rsidRPr="00C33FF9" w:rsidRDefault="00351235" w:rsidP="00C33FF9">
            <w:pPr>
              <w:tabs>
                <w:tab w:val="decimal" w:pos="706"/>
              </w:tabs>
              <w:spacing w:after="0"/>
              <w:ind w:right="194"/>
              <w:rPr>
                <w:lang w:val="en-AU"/>
              </w:rPr>
            </w:pPr>
            <w:r w:rsidRPr="00C33FF9">
              <w:rPr>
                <w:lang w:val="en-AU"/>
              </w:rPr>
              <w:t>-</w:t>
            </w:r>
          </w:p>
        </w:tc>
        <w:tc>
          <w:tcPr>
            <w:tcW w:w="1494" w:type="dxa"/>
            <w:tcBorders>
              <w:top w:val="nil"/>
              <w:left w:val="nil"/>
              <w:bottom w:val="single" w:sz="8" w:space="0" w:color="auto"/>
              <w:right w:val="single" w:sz="8" w:space="0" w:color="auto"/>
            </w:tcBorders>
            <w:shd w:val="clear" w:color="auto" w:fill="auto"/>
            <w:vAlign w:val="center"/>
            <w:hideMark/>
          </w:tcPr>
          <w:p w14:paraId="2AA1B1B7" w14:textId="77777777" w:rsidR="00351235" w:rsidRPr="00C33FF9" w:rsidRDefault="00351235" w:rsidP="00C33FF9">
            <w:pPr>
              <w:tabs>
                <w:tab w:val="decimal" w:pos="489"/>
              </w:tabs>
              <w:spacing w:after="0"/>
              <w:ind w:right="121"/>
              <w:rPr>
                <w:lang w:val="en-AU"/>
              </w:rPr>
            </w:pPr>
            <w:r w:rsidRPr="00C33FF9">
              <w:rPr>
                <w:lang w:val="en-AU"/>
              </w:rPr>
              <w:t>179.3</w:t>
            </w:r>
          </w:p>
        </w:tc>
        <w:tc>
          <w:tcPr>
            <w:tcW w:w="1494" w:type="dxa"/>
            <w:tcBorders>
              <w:top w:val="nil"/>
              <w:left w:val="nil"/>
              <w:bottom w:val="single" w:sz="8" w:space="0" w:color="auto"/>
              <w:right w:val="single" w:sz="8" w:space="0" w:color="auto"/>
            </w:tcBorders>
            <w:shd w:val="clear" w:color="auto" w:fill="auto"/>
            <w:vAlign w:val="center"/>
            <w:hideMark/>
          </w:tcPr>
          <w:p w14:paraId="182B8ADB" w14:textId="77777777" w:rsidR="00351235" w:rsidRPr="00C33FF9" w:rsidRDefault="00351235" w:rsidP="00C33FF9">
            <w:pPr>
              <w:tabs>
                <w:tab w:val="decimal" w:pos="696"/>
              </w:tabs>
              <w:spacing w:after="0"/>
              <w:ind w:right="190"/>
              <w:rPr>
                <w:lang w:val="en-AU"/>
              </w:rPr>
            </w:pPr>
            <w:r w:rsidRPr="00C33FF9">
              <w:rPr>
                <w:lang w:val="en-AU"/>
              </w:rPr>
              <w:t>179.2</w:t>
            </w:r>
          </w:p>
        </w:tc>
        <w:tc>
          <w:tcPr>
            <w:tcW w:w="1494" w:type="dxa"/>
            <w:tcBorders>
              <w:top w:val="nil"/>
              <w:left w:val="nil"/>
              <w:bottom w:val="single" w:sz="8" w:space="0" w:color="auto"/>
              <w:right w:val="single" w:sz="8" w:space="0" w:color="auto"/>
            </w:tcBorders>
            <w:shd w:val="clear" w:color="auto" w:fill="auto"/>
            <w:vAlign w:val="center"/>
            <w:hideMark/>
          </w:tcPr>
          <w:p w14:paraId="597AB113" w14:textId="77777777" w:rsidR="00351235" w:rsidRPr="00C33FF9" w:rsidRDefault="00351235" w:rsidP="00C33FF9">
            <w:pPr>
              <w:tabs>
                <w:tab w:val="decimal" w:pos="620"/>
              </w:tabs>
              <w:spacing w:after="0"/>
              <w:ind w:right="257"/>
              <w:rPr>
                <w:lang w:val="en-AU"/>
              </w:rPr>
            </w:pPr>
            <w:r w:rsidRPr="00C33FF9">
              <w:rPr>
                <w:lang w:val="en-AU"/>
              </w:rPr>
              <w:t>179.24</w:t>
            </w:r>
          </w:p>
        </w:tc>
        <w:tc>
          <w:tcPr>
            <w:tcW w:w="1494" w:type="dxa"/>
            <w:tcBorders>
              <w:top w:val="nil"/>
              <w:left w:val="nil"/>
              <w:bottom w:val="single" w:sz="8" w:space="0" w:color="auto"/>
              <w:right w:val="single" w:sz="8" w:space="0" w:color="auto"/>
            </w:tcBorders>
            <w:shd w:val="clear" w:color="auto" w:fill="auto"/>
            <w:vAlign w:val="center"/>
            <w:hideMark/>
          </w:tcPr>
          <w:p w14:paraId="52E8049C" w14:textId="77777777" w:rsidR="00351235" w:rsidRPr="00C33FF9" w:rsidRDefault="00351235" w:rsidP="00C33FF9">
            <w:pPr>
              <w:tabs>
                <w:tab w:val="decimal" w:pos="401"/>
              </w:tabs>
              <w:spacing w:after="0"/>
              <w:ind w:right="184"/>
              <w:rPr>
                <w:lang w:val="en-AU"/>
              </w:rPr>
            </w:pPr>
            <w:r w:rsidRPr="00C33FF9">
              <w:rPr>
                <w:lang w:val="en-AU"/>
              </w:rPr>
              <w:t>52.64</w:t>
            </w:r>
          </w:p>
        </w:tc>
        <w:tc>
          <w:tcPr>
            <w:tcW w:w="1494" w:type="dxa"/>
            <w:tcBorders>
              <w:top w:val="nil"/>
              <w:left w:val="nil"/>
              <w:bottom w:val="single" w:sz="8" w:space="0" w:color="auto"/>
              <w:right w:val="single" w:sz="8" w:space="0" w:color="auto"/>
            </w:tcBorders>
            <w:shd w:val="clear" w:color="auto" w:fill="auto"/>
            <w:vAlign w:val="center"/>
            <w:hideMark/>
          </w:tcPr>
          <w:p w14:paraId="2A05C54A" w14:textId="77777777" w:rsidR="00351235" w:rsidRPr="00C33FF9" w:rsidRDefault="00351235" w:rsidP="00C33FF9">
            <w:pPr>
              <w:tabs>
                <w:tab w:val="decimal" w:pos="467"/>
              </w:tabs>
              <w:spacing w:after="0"/>
              <w:ind w:right="252"/>
              <w:rPr>
                <w:lang w:val="en-AU"/>
              </w:rPr>
            </w:pPr>
            <w:r w:rsidRPr="00C33FF9">
              <w:rPr>
                <w:lang w:val="en-AU"/>
              </w:rPr>
              <w:t>105.63</w:t>
            </w:r>
          </w:p>
        </w:tc>
        <w:tc>
          <w:tcPr>
            <w:tcW w:w="1494" w:type="dxa"/>
            <w:tcBorders>
              <w:top w:val="nil"/>
              <w:left w:val="nil"/>
              <w:bottom w:val="single" w:sz="8" w:space="0" w:color="auto"/>
              <w:right w:val="single" w:sz="8" w:space="0" w:color="auto"/>
            </w:tcBorders>
            <w:shd w:val="clear" w:color="auto" w:fill="auto"/>
            <w:vAlign w:val="center"/>
            <w:hideMark/>
          </w:tcPr>
          <w:p w14:paraId="3A6E81F3" w14:textId="77777777" w:rsidR="00351235" w:rsidRPr="00C33FF9" w:rsidRDefault="00351235" w:rsidP="00C33FF9">
            <w:pPr>
              <w:tabs>
                <w:tab w:val="decimal" w:pos="532"/>
              </w:tabs>
              <w:spacing w:after="0"/>
              <w:ind w:right="179"/>
              <w:rPr>
                <w:lang w:val="en-AU"/>
              </w:rPr>
            </w:pPr>
            <w:r w:rsidRPr="00C33FF9">
              <w:rPr>
                <w:lang w:val="en-AU"/>
              </w:rPr>
              <w:t>106.46</w:t>
            </w:r>
          </w:p>
        </w:tc>
      </w:tr>
      <w:tr w:rsidR="00351235" w:rsidRPr="00A23016" w14:paraId="370628CC" w14:textId="77777777" w:rsidTr="00351235">
        <w:trPr>
          <w:trHeight w:val="320"/>
        </w:trPr>
        <w:tc>
          <w:tcPr>
            <w:tcW w:w="2603" w:type="dxa"/>
            <w:tcBorders>
              <w:top w:val="nil"/>
              <w:left w:val="single" w:sz="8" w:space="0" w:color="auto"/>
              <w:bottom w:val="single" w:sz="8" w:space="0" w:color="auto"/>
              <w:right w:val="single" w:sz="8" w:space="0" w:color="auto"/>
            </w:tcBorders>
            <w:shd w:val="clear" w:color="auto" w:fill="auto"/>
            <w:vAlign w:val="center"/>
            <w:hideMark/>
          </w:tcPr>
          <w:p w14:paraId="7D3839CC" w14:textId="77777777" w:rsidR="00351235" w:rsidRPr="00C33FF9" w:rsidRDefault="00351235" w:rsidP="00351235">
            <w:pPr>
              <w:spacing w:after="0"/>
              <w:rPr>
                <w:lang w:val="en-AU"/>
              </w:rPr>
            </w:pPr>
            <w:r w:rsidRPr="00C33FF9">
              <w:rPr>
                <w:lang w:val="en-AU"/>
              </w:rPr>
              <w:t>Colombia</w:t>
            </w:r>
          </w:p>
        </w:tc>
        <w:tc>
          <w:tcPr>
            <w:tcW w:w="1493" w:type="dxa"/>
            <w:tcBorders>
              <w:top w:val="nil"/>
              <w:left w:val="nil"/>
              <w:bottom w:val="single" w:sz="8" w:space="0" w:color="auto"/>
              <w:right w:val="single" w:sz="8" w:space="0" w:color="auto"/>
            </w:tcBorders>
            <w:shd w:val="clear" w:color="auto" w:fill="auto"/>
            <w:vAlign w:val="center"/>
            <w:hideMark/>
          </w:tcPr>
          <w:p w14:paraId="710E3CD2" w14:textId="77777777" w:rsidR="00351235" w:rsidRPr="00C33FF9" w:rsidRDefault="00351235" w:rsidP="00C33FF9">
            <w:pPr>
              <w:tabs>
                <w:tab w:val="decimal" w:pos="706"/>
              </w:tabs>
              <w:spacing w:after="0"/>
              <w:ind w:right="194"/>
              <w:rPr>
                <w:lang w:val="en-AU"/>
              </w:rPr>
            </w:pPr>
            <w:r w:rsidRPr="00C33FF9">
              <w:rPr>
                <w:lang w:val="en-AU"/>
              </w:rPr>
              <w:t>-</w:t>
            </w:r>
          </w:p>
        </w:tc>
        <w:tc>
          <w:tcPr>
            <w:tcW w:w="1494" w:type="dxa"/>
            <w:tcBorders>
              <w:top w:val="nil"/>
              <w:left w:val="nil"/>
              <w:bottom w:val="single" w:sz="8" w:space="0" w:color="auto"/>
              <w:right w:val="single" w:sz="8" w:space="0" w:color="auto"/>
            </w:tcBorders>
            <w:shd w:val="clear" w:color="auto" w:fill="auto"/>
            <w:vAlign w:val="center"/>
            <w:hideMark/>
          </w:tcPr>
          <w:p w14:paraId="4A402BEA" w14:textId="77777777" w:rsidR="00351235" w:rsidRPr="00C33FF9" w:rsidRDefault="00351235" w:rsidP="00C33FF9">
            <w:pPr>
              <w:tabs>
                <w:tab w:val="decimal" w:pos="489"/>
              </w:tabs>
              <w:spacing w:after="0"/>
              <w:ind w:right="121"/>
              <w:rPr>
                <w:lang w:val="en-AU"/>
              </w:rPr>
            </w:pPr>
            <w:r w:rsidRPr="00C33FF9">
              <w:rPr>
                <w:lang w:val="en-AU"/>
              </w:rPr>
              <w:t>-</w:t>
            </w:r>
          </w:p>
        </w:tc>
        <w:tc>
          <w:tcPr>
            <w:tcW w:w="1494" w:type="dxa"/>
            <w:tcBorders>
              <w:top w:val="nil"/>
              <w:left w:val="nil"/>
              <w:bottom w:val="single" w:sz="8" w:space="0" w:color="auto"/>
              <w:right w:val="single" w:sz="8" w:space="0" w:color="auto"/>
            </w:tcBorders>
            <w:shd w:val="clear" w:color="auto" w:fill="auto"/>
            <w:vAlign w:val="center"/>
            <w:hideMark/>
          </w:tcPr>
          <w:p w14:paraId="1AE191F1" w14:textId="77777777" w:rsidR="00351235" w:rsidRPr="00C33FF9" w:rsidRDefault="00351235" w:rsidP="00C33FF9">
            <w:pPr>
              <w:tabs>
                <w:tab w:val="decimal" w:pos="696"/>
              </w:tabs>
              <w:spacing w:after="0"/>
              <w:ind w:right="190"/>
              <w:rPr>
                <w:lang w:val="en-AU"/>
              </w:rPr>
            </w:pPr>
            <w:r w:rsidRPr="00C33FF9">
              <w:rPr>
                <w:lang w:val="en-AU"/>
              </w:rPr>
              <w:t>-</w:t>
            </w:r>
          </w:p>
        </w:tc>
        <w:tc>
          <w:tcPr>
            <w:tcW w:w="1494" w:type="dxa"/>
            <w:tcBorders>
              <w:top w:val="nil"/>
              <w:left w:val="nil"/>
              <w:bottom w:val="single" w:sz="8" w:space="0" w:color="auto"/>
              <w:right w:val="single" w:sz="8" w:space="0" w:color="auto"/>
            </w:tcBorders>
            <w:shd w:val="clear" w:color="auto" w:fill="auto"/>
            <w:vAlign w:val="center"/>
            <w:hideMark/>
          </w:tcPr>
          <w:p w14:paraId="5AA88D89" w14:textId="77777777" w:rsidR="00351235" w:rsidRPr="00C33FF9" w:rsidRDefault="00351235" w:rsidP="00C33FF9">
            <w:pPr>
              <w:tabs>
                <w:tab w:val="decimal" w:pos="620"/>
              </w:tabs>
              <w:spacing w:after="0"/>
              <w:ind w:right="257"/>
              <w:rPr>
                <w:lang w:val="en-AU"/>
              </w:rPr>
            </w:pPr>
            <w:r w:rsidRPr="00C33FF9">
              <w:rPr>
                <w:lang w:val="en-AU"/>
              </w:rPr>
              <w:t>-</w:t>
            </w:r>
          </w:p>
        </w:tc>
        <w:tc>
          <w:tcPr>
            <w:tcW w:w="1494" w:type="dxa"/>
            <w:tcBorders>
              <w:top w:val="nil"/>
              <w:left w:val="nil"/>
              <w:bottom w:val="single" w:sz="8" w:space="0" w:color="auto"/>
              <w:right w:val="single" w:sz="8" w:space="0" w:color="auto"/>
            </w:tcBorders>
            <w:shd w:val="clear" w:color="auto" w:fill="auto"/>
            <w:vAlign w:val="center"/>
            <w:hideMark/>
          </w:tcPr>
          <w:p w14:paraId="0F4AA973" w14:textId="77777777" w:rsidR="00351235" w:rsidRPr="00C33FF9" w:rsidRDefault="00351235" w:rsidP="00C33FF9">
            <w:pPr>
              <w:tabs>
                <w:tab w:val="decimal" w:pos="401"/>
              </w:tabs>
              <w:spacing w:after="0"/>
              <w:ind w:right="184"/>
              <w:rPr>
                <w:lang w:val="en-AU"/>
              </w:rPr>
            </w:pPr>
            <w:r w:rsidRPr="00C33FF9">
              <w:rPr>
                <w:lang w:val="en-AU"/>
              </w:rPr>
              <w:t>-</w:t>
            </w:r>
          </w:p>
        </w:tc>
        <w:tc>
          <w:tcPr>
            <w:tcW w:w="1494" w:type="dxa"/>
            <w:tcBorders>
              <w:top w:val="nil"/>
              <w:left w:val="nil"/>
              <w:bottom w:val="single" w:sz="8" w:space="0" w:color="auto"/>
              <w:right w:val="single" w:sz="8" w:space="0" w:color="auto"/>
            </w:tcBorders>
            <w:shd w:val="clear" w:color="auto" w:fill="auto"/>
            <w:vAlign w:val="center"/>
            <w:hideMark/>
          </w:tcPr>
          <w:p w14:paraId="3E534ABD" w14:textId="77777777" w:rsidR="00351235" w:rsidRPr="00C33FF9" w:rsidRDefault="00351235" w:rsidP="00C33FF9">
            <w:pPr>
              <w:tabs>
                <w:tab w:val="decimal" w:pos="467"/>
              </w:tabs>
              <w:spacing w:after="0"/>
              <w:ind w:right="252"/>
              <w:rPr>
                <w:lang w:val="en-AU"/>
              </w:rPr>
            </w:pPr>
            <w:r w:rsidRPr="00C33FF9">
              <w:rPr>
                <w:lang w:val="en-AU"/>
              </w:rPr>
              <w:t>-</w:t>
            </w:r>
          </w:p>
        </w:tc>
        <w:tc>
          <w:tcPr>
            <w:tcW w:w="1494" w:type="dxa"/>
            <w:tcBorders>
              <w:top w:val="nil"/>
              <w:left w:val="nil"/>
              <w:bottom w:val="single" w:sz="8" w:space="0" w:color="auto"/>
              <w:right w:val="single" w:sz="8" w:space="0" w:color="auto"/>
            </w:tcBorders>
            <w:shd w:val="clear" w:color="auto" w:fill="auto"/>
            <w:vAlign w:val="center"/>
            <w:hideMark/>
          </w:tcPr>
          <w:p w14:paraId="1C6703B6" w14:textId="77777777" w:rsidR="00351235" w:rsidRPr="00C33FF9" w:rsidRDefault="00351235" w:rsidP="00C33FF9">
            <w:pPr>
              <w:tabs>
                <w:tab w:val="decimal" w:pos="532"/>
              </w:tabs>
              <w:spacing w:after="0"/>
              <w:ind w:right="179"/>
              <w:rPr>
                <w:lang w:val="en-AU"/>
              </w:rPr>
            </w:pPr>
            <w:r w:rsidRPr="00C33FF9">
              <w:rPr>
                <w:lang w:val="en-AU"/>
              </w:rPr>
              <w:t>-</w:t>
            </w:r>
          </w:p>
        </w:tc>
      </w:tr>
      <w:tr w:rsidR="00351235" w:rsidRPr="00A23016" w14:paraId="485B30DE" w14:textId="77777777" w:rsidTr="00351235">
        <w:trPr>
          <w:trHeight w:val="320"/>
        </w:trPr>
        <w:tc>
          <w:tcPr>
            <w:tcW w:w="2603" w:type="dxa"/>
            <w:tcBorders>
              <w:top w:val="nil"/>
              <w:left w:val="single" w:sz="8" w:space="0" w:color="auto"/>
              <w:bottom w:val="single" w:sz="8" w:space="0" w:color="auto"/>
              <w:right w:val="single" w:sz="8" w:space="0" w:color="auto"/>
            </w:tcBorders>
            <w:shd w:val="clear" w:color="auto" w:fill="auto"/>
            <w:vAlign w:val="center"/>
            <w:hideMark/>
          </w:tcPr>
          <w:p w14:paraId="0257DF1F" w14:textId="77777777" w:rsidR="00351235" w:rsidRPr="00C33FF9" w:rsidRDefault="00351235" w:rsidP="00351235">
            <w:pPr>
              <w:spacing w:after="0"/>
              <w:rPr>
                <w:lang w:val="en-AU"/>
              </w:rPr>
            </w:pPr>
            <w:r w:rsidRPr="00C33FF9">
              <w:rPr>
                <w:lang w:val="en-AU"/>
              </w:rPr>
              <w:t xml:space="preserve">European Union </w:t>
            </w:r>
          </w:p>
        </w:tc>
        <w:tc>
          <w:tcPr>
            <w:tcW w:w="1493" w:type="dxa"/>
            <w:tcBorders>
              <w:top w:val="nil"/>
              <w:left w:val="nil"/>
              <w:bottom w:val="single" w:sz="8" w:space="0" w:color="auto"/>
              <w:right w:val="single" w:sz="8" w:space="0" w:color="auto"/>
            </w:tcBorders>
            <w:shd w:val="clear" w:color="auto" w:fill="auto"/>
            <w:vAlign w:val="center"/>
            <w:hideMark/>
          </w:tcPr>
          <w:p w14:paraId="001766E8" w14:textId="77777777" w:rsidR="00351235" w:rsidRPr="00C33FF9" w:rsidRDefault="00351235" w:rsidP="00C33FF9">
            <w:pPr>
              <w:tabs>
                <w:tab w:val="decimal" w:pos="706"/>
              </w:tabs>
              <w:spacing w:after="0"/>
              <w:ind w:right="194"/>
              <w:rPr>
                <w:lang w:val="en-AU"/>
              </w:rPr>
            </w:pPr>
            <w:r w:rsidRPr="00C33FF9">
              <w:rPr>
                <w:lang w:val="en-AU"/>
              </w:rPr>
              <w:t>1.6</w:t>
            </w:r>
          </w:p>
        </w:tc>
        <w:tc>
          <w:tcPr>
            <w:tcW w:w="1494" w:type="dxa"/>
            <w:tcBorders>
              <w:top w:val="nil"/>
              <w:left w:val="nil"/>
              <w:bottom w:val="single" w:sz="8" w:space="0" w:color="auto"/>
              <w:right w:val="single" w:sz="8" w:space="0" w:color="auto"/>
            </w:tcBorders>
            <w:shd w:val="clear" w:color="auto" w:fill="auto"/>
            <w:vAlign w:val="center"/>
            <w:hideMark/>
          </w:tcPr>
          <w:p w14:paraId="1CD38011" w14:textId="77777777" w:rsidR="00351235" w:rsidRPr="00C33FF9" w:rsidRDefault="00351235" w:rsidP="00C33FF9">
            <w:pPr>
              <w:tabs>
                <w:tab w:val="decimal" w:pos="489"/>
              </w:tabs>
              <w:spacing w:after="0"/>
              <w:ind w:right="121"/>
              <w:rPr>
                <w:lang w:val="en-AU"/>
              </w:rPr>
            </w:pPr>
            <w:r w:rsidRPr="00C33FF9">
              <w:rPr>
                <w:lang w:val="en-AU"/>
              </w:rPr>
              <w:t>1.287</w:t>
            </w:r>
          </w:p>
        </w:tc>
        <w:tc>
          <w:tcPr>
            <w:tcW w:w="1494" w:type="dxa"/>
            <w:tcBorders>
              <w:top w:val="nil"/>
              <w:left w:val="nil"/>
              <w:bottom w:val="single" w:sz="8" w:space="0" w:color="auto"/>
              <w:right w:val="single" w:sz="8" w:space="0" w:color="auto"/>
            </w:tcBorders>
            <w:shd w:val="clear" w:color="auto" w:fill="auto"/>
            <w:vAlign w:val="center"/>
            <w:hideMark/>
          </w:tcPr>
          <w:p w14:paraId="78E4D5F9" w14:textId="77777777" w:rsidR="00351235" w:rsidRPr="00C33FF9" w:rsidRDefault="00351235" w:rsidP="00C33FF9">
            <w:pPr>
              <w:tabs>
                <w:tab w:val="decimal" w:pos="696"/>
              </w:tabs>
              <w:spacing w:after="0"/>
              <w:ind w:right="190"/>
              <w:rPr>
                <w:lang w:val="en-AU"/>
              </w:rPr>
            </w:pPr>
            <w:r w:rsidRPr="00C33FF9">
              <w:rPr>
                <w:lang w:val="en-AU"/>
              </w:rPr>
              <w:t>116.428</w:t>
            </w:r>
          </w:p>
        </w:tc>
        <w:tc>
          <w:tcPr>
            <w:tcW w:w="1494" w:type="dxa"/>
            <w:tcBorders>
              <w:top w:val="nil"/>
              <w:left w:val="nil"/>
              <w:bottom w:val="single" w:sz="8" w:space="0" w:color="auto"/>
              <w:right w:val="single" w:sz="8" w:space="0" w:color="auto"/>
            </w:tcBorders>
            <w:shd w:val="clear" w:color="auto" w:fill="auto"/>
            <w:vAlign w:val="center"/>
            <w:hideMark/>
          </w:tcPr>
          <w:p w14:paraId="7DF19D76" w14:textId="77777777" w:rsidR="00351235" w:rsidRPr="00C33FF9" w:rsidRDefault="00351235" w:rsidP="00C33FF9">
            <w:pPr>
              <w:tabs>
                <w:tab w:val="decimal" w:pos="620"/>
              </w:tabs>
              <w:spacing w:after="0"/>
              <w:ind w:right="257"/>
              <w:rPr>
                <w:lang w:val="en-AU"/>
              </w:rPr>
            </w:pPr>
            <w:r w:rsidRPr="00C33FF9">
              <w:rPr>
                <w:lang w:val="en-AU"/>
              </w:rPr>
              <w:t>27.192</w:t>
            </w:r>
          </w:p>
        </w:tc>
        <w:tc>
          <w:tcPr>
            <w:tcW w:w="1494" w:type="dxa"/>
            <w:tcBorders>
              <w:top w:val="nil"/>
              <w:left w:val="nil"/>
              <w:bottom w:val="single" w:sz="8" w:space="0" w:color="auto"/>
              <w:right w:val="single" w:sz="8" w:space="0" w:color="auto"/>
            </w:tcBorders>
            <w:shd w:val="clear" w:color="auto" w:fill="auto"/>
            <w:vAlign w:val="center"/>
            <w:hideMark/>
          </w:tcPr>
          <w:p w14:paraId="3932C4F5" w14:textId="77777777" w:rsidR="00351235" w:rsidRPr="00C33FF9" w:rsidRDefault="00351235" w:rsidP="00C33FF9">
            <w:pPr>
              <w:tabs>
                <w:tab w:val="decimal" w:pos="401"/>
              </w:tabs>
              <w:spacing w:after="0"/>
              <w:ind w:right="184"/>
              <w:rPr>
                <w:lang w:val="en-AU"/>
              </w:rPr>
            </w:pPr>
            <w:r w:rsidRPr="00C33FF9">
              <w:rPr>
                <w:lang w:val="en-AU"/>
              </w:rPr>
              <w:t>15.808</w:t>
            </w:r>
          </w:p>
        </w:tc>
        <w:tc>
          <w:tcPr>
            <w:tcW w:w="1494" w:type="dxa"/>
            <w:tcBorders>
              <w:top w:val="nil"/>
              <w:left w:val="nil"/>
              <w:bottom w:val="single" w:sz="8" w:space="0" w:color="auto"/>
              <w:right w:val="single" w:sz="8" w:space="0" w:color="auto"/>
            </w:tcBorders>
            <w:shd w:val="clear" w:color="auto" w:fill="auto"/>
            <w:vAlign w:val="center"/>
            <w:hideMark/>
          </w:tcPr>
          <w:p w14:paraId="6BBAC60A" w14:textId="77777777" w:rsidR="00351235" w:rsidRPr="00C33FF9" w:rsidRDefault="00351235" w:rsidP="00C33FF9">
            <w:pPr>
              <w:tabs>
                <w:tab w:val="decimal" w:pos="467"/>
              </w:tabs>
              <w:spacing w:after="0"/>
              <w:ind w:right="252"/>
              <w:rPr>
                <w:lang w:val="en-AU"/>
              </w:rPr>
            </w:pPr>
            <w:r w:rsidRPr="00C33FF9">
              <w:rPr>
                <w:lang w:val="en-AU"/>
              </w:rPr>
              <w:t>7.338</w:t>
            </w:r>
          </w:p>
        </w:tc>
        <w:tc>
          <w:tcPr>
            <w:tcW w:w="1494" w:type="dxa"/>
            <w:tcBorders>
              <w:top w:val="nil"/>
              <w:left w:val="nil"/>
              <w:bottom w:val="single" w:sz="8" w:space="0" w:color="auto"/>
              <w:right w:val="single" w:sz="8" w:space="0" w:color="auto"/>
            </w:tcBorders>
            <w:shd w:val="clear" w:color="auto" w:fill="auto"/>
            <w:vAlign w:val="center"/>
            <w:hideMark/>
          </w:tcPr>
          <w:p w14:paraId="774C6211" w14:textId="77777777" w:rsidR="00351235" w:rsidRPr="00C33FF9" w:rsidRDefault="00351235" w:rsidP="00C33FF9">
            <w:pPr>
              <w:tabs>
                <w:tab w:val="decimal" w:pos="532"/>
              </w:tabs>
              <w:spacing w:after="0"/>
              <w:ind w:right="179"/>
              <w:rPr>
                <w:lang w:val="en-AU"/>
              </w:rPr>
            </w:pPr>
            <w:r w:rsidRPr="00C33FF9">
              <w:rPr>
                <w:lang w:val="en-AU"/>
              </w:rPr>
              <w:t>6.414</w:t>
            </w:r>
          </w:p>
        </w:tc>
      </w:tr>
      <w:tr w:rsidR="00351235" w:rsidRPr="00A23016" w14:paraId="540EE2B4" w14:textId="77777777" w:rsidTr="00351235">
        <w:trPr>
          <w:trHeight w:val="320"/>
        </w:trPr>
        <w:tc>
          <w:tcPr>
            <w:tcW w:w="2603" w:type="dxa"/>
            <w:tcBorders>
              <w:top w:val="nil"/>
              <w:left w:val="single" w:sz="8" w:space="0" w:color="auto"/>
              <w:bottom w:val="single" w:sz="8" w:space="0" w:color="auto"/>
              <w:right w:val="single" w:sz="8" w:space="0" w:color="auto"/>
            </w:tcBorders>
            <w:shd w:val="clear" w:color="auto" w:fill="auto"/>
            <w:vAlign w:val="center"/>
            <w:hideMark/>
          </w:tcPr>
          <w:p w14:paraId="6D6E96E1" w14:textId="77777777" w:rsidR="00351235" w:rsidRPr="00C33FF9" w:rsidRDefault="00351235" w:rsidP="00351235">
            <w:pPr>
              <w:spacing w:after="0"/>
              <w:rPr>
                <w:color w:val="auto"/>
                <w:lang w:val="en-AU"/>
              </w:rPr>
            </w:pPr>
            <w:r w:rsidRPr="00C33FF9">
              <w:rPr>
                <w:color w:val="auto"/>
                <w:lang w:val="en-AU"/>
              </w:rPr>
              <w:t xml:space="preserve">Israel </w:t>
            </w:r>
          </w:p>
        </w:tc>
        <w:tc>
          <w:tcPr>
            <w:tcW w:w="1493" w:type="dxa"/>
            <w:tcBorders>
              <w:top w:val="nil"/>
              <w:left w:val="nil"/>
              <w:bottom w:val="single" w:sz="8" w:space="0" w:color="auto"/>
              <w:right w:val="single" w:sz="8" w:space="0" w:color="auto"/>
            </w:tcBorders>
            <w:shd w:val="clear" w:color="auto" w:fill="auto"/>
            <w:vAlign w:val="center"/>
            <w:hideMark/>
          </w:tcPr>
          <w:p w14:paraId="469F1499" w14:textId="77777777" w:rsidR="00351235" w:rsidRPr="00C33FF9" w:rsidRDefault="00351235" w:rsidP="00C33FF9">
            <w:pPr>
              <w:tabs>
                <w:tab w:val="decimal" w:pos="706"/>
              </w:tabs>
              <w:spacing w:after="0"/>
              <w:ind w:right="194"/>
              <w:rPr>
                <w:color w:val="auto"/>
                <w:lang w:val="en-AU"/>
              </w:rPr>
            </w:pPr>
            <w:r w:rsidRPr="00C33FF9">
              <w:rPr>
                <w:color w:val="auto"/>
                <w:lang w:val="en-AU"/>
              </w:rPr>
              <w:t>0</w:t>
            </w:r>
          </w:p>
        </w:tc>
        <w:tc>
          <w:tcPr>
            <w:tcW w:w="1494" w:type="dxa"/>
            <w:tcBorders>
              <w:top w:val="nil"/>
              <w:left w:val="nil"/>
              <w:bottom w:val="single" w:sz="8" w:space="0" w:color="auto"/>
              <w:right w:val="single" w:sz="8" w:space="0" w:color="auto"/>
            </w:tcBorders>
            <w:shd w:val="clear" w:color="auto" w:fill="auto"/>
            <w:vAlign w:val="center"/>
            <w:hideMark/>
          </w:tcPr>
          <w:p w14:paraId="5FE609EC" w14:textId="77777777" w:rsidR="00351235" w:rsidRPr="00C33FF9" w:rsidRDefault="00351235" w:rsidP="00C33FF9">
            <w:pPr>
              <w:tabs>
                <w:tab w:val="decimal" w:pos="489"/>
              </w:tabs>
              <w:spacing w:after="0"/>
              <w:ind w:right="121"/>
              <w:rPr>
                <w:color w:val="auto"/>
                <w:lang w:val="en-AU"/>
              </w:rPr>
            </w:pPr>
            <w:r w:rsidRPr="00C33FF9">
              <w:rPr>
                <w:color w:val="auto"/>
                <w:lang w:val="en-AU"/>
              </w:rPr>
              <w:t>-</w:t>
            </w:r>
          </w:p>
        </w:tc>
        <w:tc>
          <w:tcPr>
            <w:tcW w:w="1494" w:type="dxa"/>
            <w:tcBorders>
              <w:top w:val="nil"/>
              <w:left w:val="nil"/>
              <w:bottom w:val="single" w:sz="8" w:space="0" w:color="auto"/>
              <w:right w:val="single" w:sz="8" w:space="0" w:color="auto"/>
            </w:tcBorders>
            <w:shd w:val="clear" w:color="auto" w:fill="auto"/>
            <w:vAlign w:val="center"/>
            <w:hideMark/>
          </w:tcPr>
          <w:p w14:paraId="1717827F" w14:textId="77777777" w:rsidR="00351235" w:rsidRPr="00C33FF9" w:rsidRDefault="00351235" w:rsidP="00C33FF9">
            <w:pPr>
              <w:tabs>
                <w:tab w:val="decimal" w:pos="696"/>
              </w:tabs>
              <w:spacing w:after="0"/>
              <w:ind w:right="190"/>
              <w:rPr>
                <w:color w:val="auto"/>
                <w:lang w:val="en-AU"/>
              </w:rPr>
            </w:pPr>
            <w:r w:rsidRPr="00C33FF9">
              <w:rPr>
                <w:color w:val="auto"/>
                <w:lang w:val="en-AU"/>
              </w:rPr>
              <w:t>-</w:t>
            </w:r>
          </w:p>
        </w:tc>
        <w:tc>
          <w:tcPr>
            <w:tcW w:w="1494" w:type="dxa"/>
            <w:tcBorders>
              <w:top w:val="nil"/>
              <w:left w:val="nil"/>
              <w:bottom w:val="single" w:sz="8" w:space="0" w:color="auto"/>
              <w:right w:val="single" w:sz="8" w:space="0" w:color="auto"/>
            </w:tcBorders>
            <w:shd w:val="clear" w:color="auto" w:fill="auto"/>
            <w:vAlign w:val="center"/>
            <w:hideMark/>
          </w:tcPr>
          <w:p w14:paraId="7BF5FADB" w14:textId="77777777" w:rsidR="00351235" w:rsidRPr="00C33FF9" w:rsidRDefault="00351235" w:rsidP="00C33FF9">
            <w:pPr>
              <w:tabs>
                <w:tab w:val="decimal" w:pos="620"/>
              </w:tabs>
              <w:spacing w:after="0"/>
              <w:ind w:right="257"/>
              <w:rPr>
                <w:color w:val="auto"/>
                <w:lang w:val="en-AU"/>
              </w:rPr>
            </w:pPr>
            <w:r w:rsidRPr="00C33FF9">
              <w:rPr>
                <w:color w:val="auto"/>
                <w:lang w:val="en-AU"/>
              </w:rPr>
              <w:t> -</w:t>
            </w:r>
          </w:p>
        </w:tc>
        <w:tc>
          <w:tcPr>
            <w:tcW w:w="1494" w:type="dxa"/>
            <w:tcBorders>
              <w:top w:val="nil"/>
              <w:left w:val="nil"/>
              <w:bottom w:val="single" w:sz="8" w:space="0" w:color="auto"/>
              <w:right w:val="single" w:sz="8" w:space="0" w:color="auto"/>
            </w:tcBorders>
            <w:shd w:val="clear" w:color="auto" w:fill="auto"/>
            <w:vAlign w:val="center"/>
            <w:hideMark/>
          </w:tcPr>
          <w:p w14:paraId="26A590A8" w14:textId="77777777" w:rsidR="00351235" w:rsidRPr="00C33FF9" w:rsidRDefault="00351235" w:rsidP="00C33FF9">
            <w:pPr>
              <w:tabs>
                <w:tab w:val="decimal" w:pos="401"/>
              </w:tabs>
              <w:spacing w:after="0"/>
              <w:ind w:right="184"/>
              <w:rPr>
                <w:color w:val="auto"/>
                <w:lang w:val="en-AU"/>
              </w:rPr>
            </w:pPr>
            <w:r w:rsidRPr="00C33FF9">
              <w:rPr>
                <w:color w:val="auto"/>
                <w:lang w:val="en-AU"/>
              </w:rPr>
              <w:t>0.000038</w:t>
            </w:r>
          </w:p>
        </w:tc>
        <w:tc>
          <w:tcPr>
            <w:tcW w:w="1494" w:type="dxa"/>
            <w:tcBorders>
              <w:top w:val="nil"/>
              <w:left w:val="nil"/>
              <w:bottom w:val="single" w:sz="8" w:space="0" w:color="auto"/>
              <w:right w:val="single" w:sz="8" w:space="0" w:color="auto"/>
            </w:tcBorders>
            <w:shd w:val="clear" w:color="auto" w:fill="auto"/>
            <w:vAlign w:val="center"/>
            <w:hideMark/>
          </w:tcPr>
          <w:p w14:paraId="38AB427E" w14:textId="77777777" w:rsidR="00351235" w:rsidRPr="00C33FF9" w:rsidRDefault="00351235" w:rsidP="00C33FF9">
            <w:pPr>
              <w:tabs>
                <w:tab w:val="decimal" w:pos="467"/>
              </w:tabs>
              <w:spacing w:after="0"/>
              <w:ind w:right="252"/>
              <w:rPr>
                <w:color w:val="auto"/>
                <w:lang w:val="en-AU"/>
              </w:rPr>
            </w:pPr>
            <w:r w:rsidRPr="00C33FF9">
              <w:rPr>
                <w:color w:val="auto"/>
                <w:lang w:val="en-AU"/>
              </w:rPr>
              <w:t>0.1794</w:t>
            </w:r>
          </w:p>
        </w:tc>
        <w:tc>
          <w:tcPr>
            <w:tcW w:w="1494" w:type="dxa"/>
            <w:tcBorders>
              <w:top w:val="nil"/>
              <w:left w:val="nil"/>
              <w:bottom w:val="single" w:sz="8" w:space="0" w:color="auto"/>
              <w:right w:val="single" w:sz="8" w:space="0" w:color="auto"/>
            </w:tcBorders>
            <w:shd w:val="clear" w:color="auto" w:fill="auto"/>
            <w:vAlign w:val="center"/>
            <w:hideMark/>
          </w:tcPr>
          <w:p w14:paraId="1D229DDD" w14:textId="77777777" w:rsidR="00351235" w:rsidRPr="00C33FF9" w:rsidRDefault="00351235" w:rsidP="00C33FF9">
            <w:pPr>
              <w:tabs>
                <w:tab w:val="decimal" w:pos="532"/>
              </w:tabs>
              <w:spacing w:after="0"/>
              <w:ind w:right="179"/>
              <w:rPr>
                <w:color w:val="auto"/>
                <w:lang w:val="en-AU"/>
              </w:rPr>
            </w:pPr>
            <w:r w:rsidRPr="00C33FF9">
              <w:rPr>
                <w:color w:val="auto"/>
                <w:lang w:val="en-AU"/>
              </w:rPr>
              <w:t>0.0617</w:t>
            </w:r>
          </w:p>
        </w:tc>
      </w:tr>
      <w:tr w:rsidR="00351235" w:rsidRPr="00A23016" w14:paraId="5F4BBE80" w14:textId="77777777" w:rsidTr="00351235">
        <w:trPr>
          <w:trHeight w:val="320"/>
        </w:trPr>
        <w:tc>
          <w:tcPr>
            <w:tcW w:w="2603" w:type="dxa"/>
            <w:tcBorders>
              <w:top w:val="nil"/>
              <w:left w:val="single" w:sz="8" w:space="0" w:color="auto"/>
              <w:bottom w:val="single" w:sz="8" w:space="0" w:color="auto"/>
              <w:right w:val="single" w:sz="8" w:space="0" w:color="auto"/>
            </w:tcBorders>
            <w:shd w:val="clear" w:color="auto" w:fill="auto"/>
            <w:vAlign w:val="center"/>
            <w:hideMark/>
          </w:tcPr>
          <w:p w14:paraId="5A1BEECD" w14:textId="77777777" w:rsidR="00351235" w:rsidRPr="00C33FF9" w:rsidRDefault="00351235" w:rsidP="00351235">
            <w:pPr>
              <w:spacing w:after="0"/>
              <w:rPr>
                <w:color w:val="auto"/>
                <w:lang w:val="en-AU"/>
              </w:rPr>
            </w:pPr>
            <w:r w:rsidRPr="00C33FF9">
              <w:rPr>
                <w:color w:val="auto"/>
                <w:lang w:val="en-AU"/>
              </w:rPr>
              <w:t>Mexico</w:t>
            </w:r>
          </w:p>
        </w:tc>
        <w:tc>
          <w:tcPr>
            <w:tcW w:w="1493" w:type="dxa"/>
            <w:tcBorders>
              <w:top w:val="nil"/>
              <w:left w:val="nil"/>
              <w:bottom w:val="single" w:sz="8" w:space="0" w:color="auto"/>
              <w:right w:val="single" w:sz="8" w:space="0" w:color="auto"/>
            </w:tcBorders>
            <w:shd w:val="clear" w:color="auto" w:fill="auto"/>
            <w:vAlign w:val="center"/>
            <w:hideMark/>
          </w:tcPr>
          <w:p w14:paraId="7CA51F63" w14:textId="77777777" w:rsidR="00351235" w:rsidRPr="00C33FF9" w:rsidRDefault="00351235" w:rsidP="00C33FF9">
            <w:pPr>
              <w:tabs>
                <w:tab w:val="decimal" w:pos="706"/>
              </w:tabs>
              <w:spacing w:after="0"/>
              <w:ind w:right="194"/>
              <w:rPr>
                <w:color w:val="auto"/>
                <w:lang w:val="en-AU"/>
              </w:rPr>
            </w:pPr>
            <w:r w:rsidRPr="00C33FF9">
              <w:rPr>
                <w:color w:val="auto"/>
                <w:lang w:val="en-AU"/>
              </w:rPr>
              <w:t>-</w:t>
            </w:r>
          </w:p>
        </w:tc>
        <w:tc>
          <w:tcPr>
            <w:tcW w:w="1494" w:type="dxa"/>
            <w:tcBorders>
              <w:top w:val="nil"/>
              <w:left w:val="nil"/>
              <w:bottom w:val="single" w:sz="8" w:space="0" w:color="auto"/>
              <w:right w:val="single" w:sz="8" w:space="0" w:color="auto"/>
            </w:tcBorders>
            <w:shd w:val="clear" w:color="auto" w:fill="auto"/>
            <w:vAlign w:val="center"/>
            <w:hideMark/>
          </w:tcPr>
          <w:p w14:paraId="65B20EE6" w14:textId="77777777" w:rsidR="00351235" w:rsidRPr="00C33FF9" w:rsidRDefault="00351235" w:rsidP="00C33FF9">
            <w:pPr>
              <w:tabs>
                <w:tab w:val="decimal" w:pos="489"/>
              </w:tabs>
              <w:spacing w:after="0"/>
              <w:ind w:right="121"/>
              <w:rPr>
                <w:color w:val="auto"/>
                <w:lang w:val="en-AU"/>
              </w:rPr>
            </w:pPr>
            <w:r w:rsidRPr="00C33FF9">
              <w:rPr>
                <w:color w:val="auto"/>
                <w:lang w:val="en-AU"/>
              </w:rPr>
              <w:t>40.9954</w:t>
            </w:r>
          </w:p>
        </w:tc>
        <w:tc>
          <w:tcPr>
            <w:tcW w:w="1494" w:type="dxa"/>
            <w:tcBorders>
              <w:top w:val="nil"/>
              <w:left w:val="nil"/>
              <w:bottom w:val="single" w:sz="8" w:space="0" w:color="auto"/>
              <w:right w:val="single" w:sz="8" w:space="0" w:color="auto"/>
            </w:tcBorders>
            <w:shd w:val="clear" w:color="auto" w:fill="auto"/>
            <w:vAlign w:val="center"/>
            <w:hideMark/>
          </w:tcPr>
          <w:p w14:paraId="7AF28A28" w14:textId="77777777" w:rsidR="00351235" w:rsidRPr="00C33FF9" w:rsidRDefault="00351235" w:rsidP="00C33FF9">
            <w:pPr>
              <w:tabs>
                <w:tab w:val="decimal" w:pos="696"/>
              </w:tabs>
              <w:spacing w:after="0"/>
              <w:ind w:right="190"/>
              <w:rPr>
                <w:color w:val="auto"/>
                <w:lang w:val="en-AU"/>
              </w:rPr>
            </w:pPr>
            <w:r w:rsidRPr="00C33FF9">
              <w:rPr>
                <w:color w:val="auto"/>
                <w:lang w:val="en-AU"/>
              </w:rPr>
              <w:t>-</w:t>
            </w:r>
          </w:p>
        </w:tc>
        <w:tc>
          <w:tcPr>
            <w:tcW w:w="1494" w:type="dxa"/>
            <w:tcBorders>
              <w:top w:val="nil"/>
              <w:left w:val="nil"/>
              <w:bottom w:val="single" w:sz="8" w:space="0" w:color="auto"/>
              <w:right w:val="single" w:sz="8" w:space="0" w:color="auto"/>
            </w:tcBorders>
            <w:shd w:val="clear" w:color="auto" w:fill="auto"/>
            <w:vAlign w:val="center"/>
            <w:hideMark/>
          </w:tcPr>
          <w:p w14:paraId="45AB235B" w14:textId="77777777" w:rsidR="00351235" w:rsidRPr="00C33FF9" w:rsidRDefault="00351235" w:rsidP="00C33FF9">
            <w:pPr>
              <w:tabs>
                <w:tab w:val="decimal" w:pos="620"/>
              </w:tabs>
              <w:spacing w:after="0"/>
              <w:ind w:right="257"/>
              <w:rPr>
                <w:color w:val="auto"/>
                <w:lang w:val="en-AU"/>
              </w:rPr>
            </w:pPr>
            <w:r w:rsidRPr="00C33FF9">
              <w:rPr>
                <w:color w:val="auto"/>
                <w:lang w:val="en-AU"/>
              </w:rPr>
              <w:t>-</w:t>
            </w:r>
          </w:p>
        </w:tc>
        <w:tc>
          <w:tcPr>
            <w:tcW w:w="1494" w:type="dxa"/>
            <w:tcBorders>
              <w:top w:val="nil"/>
              <w:left w:val="nil"/>
              <w:bottom w:val="single" w:sz="8" w:space="0" w:color="auto"/>
              <w:right w:val="single" w:sz="8" w:space="0" w:color="auto"/>
            </w:tcBorders>
            <w:shd w:val="clear" w:color="auto" w:fill="auto"/>
            <w:vAlign w:val="center"/>
            <w:hideMark/>
          </w:tcPr>
          <w:p w14:paraId="51783997" w14:textId="77777777" w:rsidR="00351235" w:rsidRPr="00C33FF9" w:rsidRDefault="00351235" w:rsidP="00C33FF9">
            <w:pPr>
              <w:tabs>
                <w:tab w:val="decimal" w:pos="401"/>
              </w:tabs>
              <w:spacing w:after="0"/>
              <w:ind w:right="184"/>
              <w:rPr>
                <w:color w:val="auto"/>
                <w:lang w:val="en-AU"/>
              </w:rPr>
            </w:pPr>
            <w:r w:rsidRPr="00C33FF9">
              <w:rPr>
                <w:color w:val="auto"/>
                <w:lang w:val="en-AU"/>
              </w:rPr>
              <w:t>-</w:t>
            </w:r>
          </w:p>
        </w:tc>
        <w:tc>
          <w:tcPr>
            <w:tcW w:w="1494" w:type="dxa"/>
            <w:tcBorders>
              <w:top w:val="nil"/>
              <w:left w:val="nil"/>
              <w:bottom w:val="single" w:sz="8" w:space="0" w:color="auto"/>
              <w:right w:val="single" w:sz="8" w:space="0" w:color="auto"/>
            </w:tcBorders>
            <w:shd w:val="clear" w:color="auto" w:fill="auto"/>
            <w:vAlign w:val="center"/>
            <w:hideMark/>
          </w:tcPr>
          <w:p w14:paraId="0C464667" w14:textId="77777777" w:rsidR="00351235" w:rsidRPr="00C33FF9" w:rsidRDefault="00351235" w:rsidP="00C33FF9">
            <w:pPr>
              <w:tabs>
                <w:tab w:val="decimal" w:pos="467"/>
              </w:tabs>
              <w:spacing w:after="0"/>
              <w:ind w:right="252"/>
              <w:rPr>
                <w:color w:val="auto"/>
                <w:lang w:val="en-AU"/>
              </w:rPr>
            </w:pPr>
            <w:r w:rsidRPr="00C33FF9">
              <w:rPr>
                <w:color w:val="auto"/>
                <w:lang w:val="en-AU"/>
              </w:rPr>
              <w:t>-</w:t>
            </w:r>
          </w:p>
        </w:tc>
        <w:tc>
          <w:tcPr>
            <w:tcW w:w="1494" w:type="dxa"/>
            <w:tcBorders>
              <w:top w:val="nil"/>
              <w:left w:val="nil"/>
              <w:bottom w:val="single" w:sz="8" w:space="0" w:color="auto"/>
              <w:right w:val="single" w:sz="8" w:space="0" w:color="auto"/>
            </w:tcBorders>
            <w:shd w:val="clear" w:color="auto" w:fill="auto"/>
            <w:vAlign w:val="center"/>
            <w:hideMark/>
          </w:tcPr>
          <w:p w14:paraId="7F078A26" w14:textId="77777777" w:rsidR="00351235" w:rsidRPr="00C33FF9" w:rsidRDefault="00351235" w:rsidP="00C33FF9">
            <w:pPr>
              <w:tabs>
                <w:tab w:val="decimal" w:pos="532"/>
              </w:tabs>
              <w:spacing w:after="0"/>
              <w:ind w:right="179"/>
              <w:rPr>
                <w:color w:val="auto"/>
                <w:lang w:val="en-AU"/>
              </w:rPr>
            </w:pPr>
            <w:r w:rsidRPr="00C33FF9">
              <w:rPr>
                <w:color w:val="auto"/>
                <w:lang w:val="en-AU"/>
              </w:rPr>
              <w:t>-</w:t>
            </w:r>
          </w:p>
        </w:tc>
      </w:tr>
      <w:tr w:rsidR="00351235" w:rsidRPr="00A23016" w14:paraId="0E5B4D86" w14:textId="77777777" w:rsidTr="00351235">
        <w:trPr>
          <w:trHeight w:val="320"/>
        </w:trPr>
        <w:tc>
          <w:tcPr>
            <w:tcW w:w="2603" w:type="dxa"/>
            <w:tcBorders>
              <w:top w:val="nil"/>
              <w:left w:val="single" w:sz="8" w:space="0" w:color="auto"/>
              <w:bottom w:val="single" w:sz="8" w:space="0" w:color="auto"/>
              <w:right w:val="single" w:sz="8" w:space="0" w:color="auto"/>
            </w:tcBorders>
            <w:shd w:val="clear" w:color="auto" w:fill="auto"/>
            <w:vAlign w:val="center"/>
            <w:hideMark/>
          </w:tcPr>
          <w:p w14:paraId="77D82783" w14:textId="77777777" w:rsidR="00351235" w:rsidRPr="00C33FF9" w:rsidRDefault="00351235" w:rsidP="00351235">
            <w:pPr>
              <w:spacing w:after="0"/>
              <w:rPr>
                <w:lang w:val="en-AU"/>
              </w:rPr>
            </w:pPr>
            <w:r w:rsidRPr="00C33FF9">
              <w:rPr>
                <w:lang w:val="en-AU"/>
              </w:rPr>
              <w:t xml:space="preserve">United States of America </w:t>
            </w:r>
          </w:p>
        </w:tc>
        <w:tc>
          <w:tcPr>
            <w:tcW w:w="1493" w:type="dxa"/>
            <w:tcBorders>
              <w:top w:val="nil"/>
              <w:left w:val="nil"/>
              <w:bottom w:val="single" w:sz="8" w:space="0" w:color="auto"/>
              <w:right w:val="single" w:sz="8" w:space="0" w:color="auto"/>
            </w:tcBorders>
            <w:shd w:val="clear" w:color="auto" w:fill="auto"/>
            <w:vAlign w:val="center"/>
            <w:hideMark/>
          </w:tcPr>
          <w:p w14:paraId="3A70C5D3" w14:textId="77777777" w:rsidR="00351235" w:rsidRPr="00C33FF9" w:rsidRDefault="00351235" w:rsidP="00C33FF9">
            <w:pPr>
              <w:tabs>
                <w:tab w:val="decimal" w:pos="706"/>
              </w:tabs>
              <w:spacing w:after="0"/>
              <w:ind w:right="194"/>
              <w:rPr>
                <w:lang w:val="en-AU"/>
              </w:rPr>
            </w:pPr>
            <w:r w:rsidRPr="00C33FF9">
              <w:rPr>
                <w:lang w:val="en-AU"/>
              </w:rPr>
              <w:t>47.1</w:t>
            </w:r>
          </w:p>
        </w:tc>
        <w:tc>
          <w:tcPr>
            <w:tcW w:w="1494" w:type="dxa"/>
            <w:tcBorders>
              <w:top w:val="nil"/>
              <w:left w:val="nil"/>
              <w:bottom w:val="single" w:sz="8" w:space="0" w:color="auto"/>
              <w:right w:val="single" w:sz="8" w:space="0" w:color="auto"/>
            </w:tcBorders>
            <w:shd w:val="clear" w:color="auto" w:fill="auto"/>
            <w:vAlign w:val="center"/>
            <w:hideMark/>
          </w:tcPr>
          <w:p w14:paraId="13620599" w14:textId="77777777" w:rsidR="00351235" w:rsidRPr="00C33FF9" w:rsidRDefault="00351235" w:rsidP="00C33FF9">
            <w:pPr>
              <w:tabs>
                <w:tab w:val="decimal" w:pos="489"/>
              </w:tabs>
              <w:spacing w:after="0"/>
              <w:ind w:right="121"/>
              <w:rPr>
                <w:lang w:val="en-AU"/>
              </w:rPr>
            </w:pPr>
            <w:r w:rsidRPr="00C33FF9">
              <w:rPr>
                <w:lang w:val="en-AU"/>
              </w:rPr>
              <w:t>59.79</w:t>
            </w:r>
          </w:p>
        </w:tc>
        <w:tc>
          <w:tcPr>
            <w:tcW w:w="1494" w:type="dxa"/>
            <w:tcBorders>
              <w:top w:val="nil"/>
              <w:left w:val="nil"/>
              <w:bottom w:val="single" w:sz="8" w:space="0" w:color="auto"/>
              <w:right w:val="single" w:sz="8" w:space="0" w:color="auto"/>
            </w:tcBorders>
            <w:shd w:val="clear" w:color="auto" w:fill="auto"/>
            <w:vAlign w:val="center"/>
            <w:hideMark/>
          </w:tcPr>
          <w:p w14:paraId="327D7F2C" w14:textId="77777777" w:rsidR="00351235" w:rsidRPr="00C33FF9" w:rsidRDefault="00351235" w:rsidP="00C33FF9">
            <w:pPr>
              <w:tabs>
                <w:tab w:val="decimal" w:pos="696"/>
              </w:tabs>
              <w:spacing w:after="0"/>
              <w:ind w:right="190"/>
              <w:rPr>
                <w:lang w:val="en-AU"/>
              </w:rPr>
            </w:pPr>
            <w:r w:rsidRPr="00C33FF9">
              <w:rPr>
                <w:lang w:val="en-AU"/>
              </w:rPr>
              <w:t>44.35</w:t>
            </w:r>
          </w:p>
        </w:tc>
        <w:tc>
          <w:tcPr>
            <w:tcW w:w="1494" w:type="dxa"/>
            <w:tcBorders>
              <w:top w:val="nil"/>
              <w:left w:val="nil"/>
              <w:bottom w:val="single" w:sz="8" w:space="0" w:color="auto"/>
              <w:right w:val="single" w:sz="8" w:space="0" w:color="auto"/>
            </w:tcBorders>
            <w:shd w:val="clear" w:color="auto" w:fill="auto"/>
            <w:vAlign w:val="center"/>
            <w:hideMark/>
          </w:tcPr>
          <w:p w14:paraId="1384847E" w14:textId="77777777" w:rsidR="00351235" w:rsidRPr="00C33FF9" w:rsidRDefault="00351235" w:rsidP="00C33FF9">
            <w:pPr>
              <w:tabs>
                <w:tab w:val="decimal" w:pos="620"/>
              </w:tabs>
              <w:spacing w:after="0"/>
              <w:ind w:right="257"/>
              <w:rPr>
                <w:lang w:val="en-AU"/>
              </w:rPr>
            </w:pPr>
            <w:r w:rsidRPr="00C33FF9">
              <w:rPr>
                <w:lang w:val="en-AU"/>
              </w:rPr>
              <w:t>34.63</w:t>
            </w:r>
          </w:p>
        </w:tc>
        <w:tc>
          <w:tcPr>
            <w:tcW w:w="1494" w:type="dxa"/>
            <w:tcBorders>
              <w:top w:val="nil"/>
              <w:left w:val="nil"/>
              <w:bottom w:val="single" w:sz="8" w:space="0" w:color="auto"/>
              <w:right w:val="single" w:sz="8" w:space="0" w:color="auto"/>
            </w:tcBorders>
            <w:shd w:val="clear" w:color="auto" w:fill="auto"/>
            <w:vAlign w:val="center"/>
            <w:hideMark/>
          </w:tcPr>
          <w:p w14:paraId="5DDB9084" w14:textId="77777777" w:rsidR="00351235" w:rsidRPr="00C33FF9" w:rsidRDefault="00351235" w:rsidP="00C33FF9">
            <w:pPr>
              <w:tabs>
                <w:tab w:val="decimal" w:pos="401"/>
              </w:tabs>
              <w:spacing w:after="0"/>
              <w:ind w:right="184"/>
              <w:rPr>
                <w:lang w:val="en-AU"/>
              </w:rPr>
            </w:pPr>
            <w:r w:rsidRPr="00C33FF9">
              <w:rPr>
                <w:lang w:val="en-AU"/>
              </w:rPr>
              <w:t>34.5</w:t>
            </w:r>
          </w:p>
        </w:tc>
        <w:tc>
          <w:tcPr>
            <w:tcW w:w="1494" w:type="dxa"/>
            <w:tcBorders>
              <w:top w:val="nil"/>
              <w:left w:val="nil"/>
              <w:bottom w:val="single" w:sz="8" w:space="0" w:color="auto"/>
              <w:right w:val="single" w:sz="8" w:space="0" w:color="auto"/>
            </w:tcBorders>
            <w:shd w:val="clear" w:color="auto" w:fill="auto"/>
            <w:vAlign w:val="center"/>
            <w:hideMark/>
          </w:tcPr>
          <w:p w14:paraId="4B440160" w14:textId="77777777" w:rsidR="00351235" w:rsidRPr="00C33FF9" w:rsidRDefault="00351235" w:rsidP="00C33FF9">
            <w:pPr>
              <w:tabs>
                <w:tab w:val="decimal" w:pos="467"/>
              </w:tabs>
              <w:spacing w:after="0"/>
              <w:ind w:right="252"/>
              <w:rPr>
                <w:lang w:val="en-AU"/>
              </w:rPr>
            </w:pPr>
            <w:r w:rsidRPr="00C33FF9">
              <w:rPr>
                <w:lang w:val="en-AU"/>
              </w:rPr>
              <w:t>34.1</w:t>
            </w:r>
          </w:p>
        </w:tc>
        <w:tc>
          <w:tcPr>
            <w:tcW w:w="1494" w:type="dxa"/>
            <w:tcBorders>
              <w:top w:val="nil"/>
              <w:left w:val="nil"/>
              <w:bottom w:val="single" w:sz="8" w:space="0" w:color="auto"/>
              <w:right w:val="single" w:sz="8" w:space="0" w:color="auto"/>
            </w:tcBorders>
            <w:shd w:val="clear" w:color="auto" w:fill="auto"/>
            <w:vAlign w:val="center"/>
            <w:hideMark/>
          </w:tcPr>
          <w:p w14:paraId="0AF5AF86" w14:textId="77777777" w:rsidR="00351235" w:rsidRPr="00C33FF9" w:rsidRDefault="00351235" w:rsidP="00C33FF9">
            <w:pPr>
              <w:tabs>
                <w:tab w:val="decimal" w:pos="532"/>
              </w:tabs>
              <w:spacing w:after="0"/>
              <w:ind w:right="179"/>
              <w:rPr>
                <w:lang w:val="en-AU"/>
              </w:rPr>
            </w:pPr>
            <w:r w:rsidRPr="00C33FF9">
              <w:rPr>
                <w:lang w:val="en-AU"/>
              </w:rPr>
              <w:t>33.2</w:t>
            </w:r>
          </w:p>
        </w:tc>
      </w:tr>
      <w:tr w:rsidR="00351235" w:rsidRPr="00A23016" w14:paraId="321ABE7F" w14:textId="77777777" w:rsidTr="00351235">
        <w:trPr>
          <w:trHeight w:val="320"/>
        </w:trPr>
        <w:tc>
          <w:tcPr>
            <w:tcW w:w="2603" w:type="dxa"/>
            <w:tcBorders>
              <w:top w:val="nil"/>
              <w:left w:val="single" w:sz="8" w:space="0" w:color="auto"/>
              <w:bottom w:val="single" w:sz="8" w:space="0" w:color="auto"/>
              <w:right w:val="single" w:sz="8" w:space="0" w:color="auto"/>
            </w:tcBorders>
            <w:shd w:val="clear" w:color="auto" w:fill="auto"/>
            <w:vAlign w:val="center"/>
            <w:hideMark/>
          </w:tcPr>
          <w:p w14:paraId="5FB9B6BD" w14:textId="77777777" w:rsidR="00351235" w:rsidRPr="00C33FF9" w:rsidRDefault="00351235" w:rsidP="00351235">
            <w:pPr>
              <w:spacing w:after="0"/>
              <w:rPr>
                <w:b/>
                <w:lang w:val="en-AU"/>
              </w:rPr>
            </w:pPr>
            <w:r w:rsidRPr="00C33FF9">
              <w:rPr>
                <w:b/>
                <w:lang w:val="en-AU"/>
              </w:rPr>
              <w:t xml:space="preserve">Total </w:t>
            </w:r>
          </w:p>
        </w:tc>
        <w:tc>
          <w:tcPr>
            <w:tcW w:w="1493" w:type="dxa"/>
            <w:tcBorders>
              <w:top w:val="nil"/>
              <w:left w:val="nil"/>
              <w:bottom w:val="single" w:sz="8" w:space="0" w:color="auto"/>
              <w:right w:val="single" w:sz="8" w:space="0" w:color="auto"/>
            </w:tcBorders>
            <w:shd w:val="clear" w:color="auto" w:fill="auto"/>
            <w:vAlign w:val="center"/>
            <w:hideMark/>
          </w:tcPr>
          <w:p w14:paraId="72A45F2D" w14:textId="77777777" w:rsidR="00351235" w:rsidRPr="00C33FF9" w:rsidRDefault="00351235" w:rsidP="00C33FF9">
            <w:pPr>
              <w:tabs>
                <w:tab w:val="decimal" w:pos="706"/>
              </w:tabs>
              <w:spacing w:after="0"/>
              <w:ind w:right="194"/>
              <w:rPr>
                <w:lang w:val="en-AU"/>
              </w:rPr>
            </w:pPr>
            <w:r w:rsidRPr="00C33FF9">
              <w:rPr>
                <w:lang w:val="en-AU"/>
              </w:rPr>
              <w:t>48.7</w:t>
            </w:r>
          </w:p>
        </w:tc>
        <w:tc>
          <w:tcPr>
            <w:tcW w:w="1494" w:type="dxa"/>
            <w:tcBorders>
              <w:top w:val="nil"/>
              <w:left w:val="nil"/>
              <w:bottom w:val="single" w:sz="8" w:space="0" w:color="auto"/>
              <w:right w:val="single" w:sz="8" w:space="0" w:color="auto"/>
            </w:tcBorders>
            <w:shd w:val="clear" w:color="auto" w:fill="auto"/>
            <w:vAlign w:val="center"/>
            <w:hideMark/>
          </w:tcPr>
          <w:p w14:paraId="26E43E7B" w14:textId="77777777" w:rsidR="00351235" w:rsidRPr="00C33FF9" w:rsidRDefault="00351235" w:rsidP="00C33FF9">
            <w:pPr>
              <w:tabs>
                <w:tab w:val="decimal" w:pos="489"/>
              </w:tabs>
              <w:spacing w:after="0"/>
              <w:ind w:right="121"/>
              <w:rPr>
                <w:lang w:val="en-AU"/>
              </w:rPr>
            </w:pPr>
            <w:r w:rsidRPr="00C33FF9">
              <w:rPr>
                <w:lang w:val="en-AU"/>
              </w:rPr>
              <w:t>281.3724</w:t>
            </w:r>
          </w:p>
        </w:tc>
        <w:tc>
          <w:tcPr>
            <w:tcW w:w="1494" w:type="dxa"/>
            <w:tcBorders>
              <w:top w:val="nil"/>
              <w:left w:val="nil"/>
              <w:bottom w:val="single" w:sz="8" w:space="0" w:color="auto"/>
              <w:right w:val="single" w:sz="8" w:space="0" w:color="auto"/>
            </w:tcBorders>
            <w:shd w:val="clear" w:color="auto" w:fill="auto"/>
            <w:vAlign w:val="center"/>
            <w:hideMark/>
          </w:tcPr>
          <w:p w14:paraId="1D3DB559" w14:textId="77777777" w:rsidR="00351235" w:rsidRPr="00C33FF9" w:rsidRDefault="00351235" w:rsidP="00C33FF9">
            <w:pPr>
              <w:tabs>
                <w:tab w:val="decimal" w:pos="696"/>
              </w:tabs>
              <w:spacing w:after="0"/>
              <w:ind w:right="190"/>
              <w:rPr>
                <w:lang w:val="en-AU"/>
              </w:rPr>
            </w:pPr>
            <w:r w:rsidRPr="00C33FF9">
              <w:rPr>
                <w:lang w:val="en-AU"/>
              </w:rPr>
              <w:t>339.978</w:t>
            </w:r>
          </w:p>
        </w:tc>
        <w:tc>
          <w:tcPr>
            <w:tcW w:w="1494" w:type="dxa"/>
            <w:tcBorders>
              <w:top w:val="nil"/>
              <w:left w:val="nil"/>
              <w:bottom w:val="single" w:sz="8" w:space="0" w:color="auto"/>
              <w:right w:val="single" w:sz="8" w:space="0" w:color="auto"/>
            </w:tcBorders>
            <w:shd w:val="clear" w:color="auto" w:fill="auto"/>
            <w:vAlign w:val="center"/>
            <w:hideMark/>
          </w:tcPr>
          <w:p w14:paraId="6362E7CE" w14:textId="77777777" w:rsidR="00351235" w:rsidRPr="00C33FF9" w:rsidRDefault="00351235" w:rsidP="00C33FF9">
            <w:pPr>
              <w:tabs>
                <w:tab w:val="decimal" w:pos="620"/>
              </w:tabs>
              <w:spacing w:after="0"/>
              <w:ind w:right="257"/>
              <w:rPr>
                <w:lang w:val="en-AU"/>
              </w:rPr>
            </w:pPr>
            <w:r w:rsidRPr="00C33FF9">
              <w:rPr>
                <w:lang w:val="en-AU"/>
              </w:rPr>
              <w:t>241.062</w:t>
            </w:r>
          </w:p>
        </w:tc>
        <w:tc>
          <w:tcPr>
            <w:tcW w:w="1494" w:type="dxa"/>
            <w:tcBorders>
              <w:top w:val="nil"/>
              <w:left w:val="nil"/>
              <w:bottom w:val="single" w:sz="8" w:space="0" w:color="auto"/>
              <w:right w:val="single" w:sz="8" w:space="0" w:color="auto"/>
            </w:tcBorders>
            <w:shd w:val="clear" w:color="auto" w:fill="auto"/>
            <w:vAlign w:val="center"/>
            <w:hideMark/>
          </w:tcPr>
          <w:p w14:paraId="6463A6D2" w14:textId="77777777" w:rsidR="00351235" w:rsidRPr="00C33FF9" w:rsidRDefault="00351235" w:rsidP="00C33FF9">
            <w:pPr>
              <w:tabs>
                <w:tab w:val="decimal" w:pos="401"/>
              </w:tabs>
              <w:spacing w:after="0"/>
              <w:ind w:right="184"/>
              <w:rPr>
                <w:lang w:val="en-AU"/>
              </w:rPr>
            </w:pPr>
            <w:r w:rsidRPr="00C33FF9">
              <w:rPr>
                <w:lang w:val="en-AU"/>
              </w:rPr>
              <w:t>102.9480</w:t>
            </w:r>
          </w:p>
        </w:tc>
        <w:tc>
          <w:tcPr>
            <w:tcW w:w="1494" w:type="dxa"/>
            <w:tcBorders>
              <w:top w:val="nil"/>
              <w:left w:val="nil"/>
              <w:bottom w:val="single" w:sz="8" w:space="0" w:color="auto"/>
              <w:right w:val="single" w:sz="8" w:space="0" w:color="auto"/>
            </w:tcBorders>
            <w:shd w:val="clear" w:color="auto" w:fill="auto"/>
            <w:vAlign w:val="center"/>
            <w:hideMark/>
          </w:tcPr>
          <w:p w14:paraId="5E03B016" w14:textId="77777777" w:rsidR="00351235" w:rsidRPr="00C33FF9" w:rsidRDefault="00351235" w:rsidP="00C33FF9">
            <w:pPr>
              <w:tabs>
                <w:tab w:val="decimal" w:pos="467"/>
              </w:tabs>
              <w:spacing w:after="0"/>
              <w:ind w:right="252"/>
              <w:rPr>
                <w:lang w:val="en-AU"/>
              </w:rPr>
            </w:pPr>
            <w:r w:rsidRPr="00C33FF9">
              <w:rPr>
                <w:lang w:val="en-AU"/>
              </w:rPr>
              <w:t>147.2474</w:t>
            </w:r>
          </w:p>
        </w:tc>
        <w:tc>
          <w:tcPr>
            <w:tcW w:w="1494" w:type="dxa"/>
            <w:tcBorders>
              <w:top w:val="nil"/>
              <w:left w:val="nil"/>
              <w:bottom w:val="single" w:sz="8" w:space="0" w:color="auto"/>
              <w:right w:val="single" w:sz="8" w:space="0" w:color="auto"/>
            </w:tcBorders>
            <w:shd w:val="clear" w:color="auto" w:fill="auto"/>
            <w:vAlign w:val="center"/>
            <w:hideMark/>
          </w:tcPr>
          <w:p w14:paraId="4E87281D" w14:textId="77777777" w:rsidR="00351235" w:rsidRPr="00C33FF9" w:rsidRDefault="00351235" w:rsidP="00C33FF9">
            <w:pPr>
              <w:tabs>
                <w:tab w:val="decimal" w:pos="532"/>
              </w:tabs>
              <w:spacing w:after="0"/>
              <w:ind w:right="179"/>
              <w:rPr>
                <w:lang w:val="en-AU"/>
              </w:rPr>
            </w:pPr>
            <w:r w:rsidRPr="00C33FF9">
              <w:rPr>
                <w:lang w:val="en-AU"/>
              </w:rPr>
              <w:t>146.1357</w:t>
            </w:r>
          </w:p>
        </w:tc>
      </w:tr>
    </w:tbl>
    <w:p w14:paraId="03CE5D13" w14:textId="77777777" w:rsidR="00B81731" w:rsidRDefault="00B81731" w:rsidP="00656E7D">
      <w:pPr>
        <w:rPr>
          <w:sz w:val="20"/>
        </w:rPr>
      </w:pPr>
    </w:p>
    <w:p w14:paraId="35B6E3C5" w14:textId="77777777" w:rsidR="00656E7D" w:rsidRPr="00656E7D" w:rsidRDefault="00656E7D" w:rsidP="00656E7D">
      <w:pPr>
        <w:sectPr w:rsidR="00656E7D" w:rsidRPr="00656E7D" w:rsidSect="0015746F">
          <w:footnotePr>
            <w:numRestart w:val="eachSect"/>
          </w:footnotePr>
          <w:pgSz w:w="16839" w:h="11907" w:orient="landscape" w:code="9"/>
          <w:pgMar w:top="1797" w:right="1525" w:bottom="1797" w:left="1440" w:header="720" w:footer="794" w:gutter="0"/>
          <w:cols w:space="720"/>
          <w:docGrid w:linePitch="299"/>
        </w:sectPr>
      </w:pPr>
    </w:p>
    <w:p w14:paraId="444CC459" w14:textId="77777777" w:rsidR="00656E7D" w:rsidRPr="00656E7D" w:rsidRDefault="00656E7D" w:rsidP="00413E4A">
      <w:pPr>
        <w:pStyle w:val="Heading4"/>
      </w:pPr>
      <w:bookmarkStart w:id="148" w:name="_Toc483916038"/>
      <w:r w:rsidRPr="00656E7D">
        <w:lastRenderedPageBreak/>
        <w:t>5.2.3.1</w:t>
      </w:r>
      <w:r w:rsidRPr="00656E7D">
        <w:tab/>
        <w:t>Progress made in reducing emissions from process agent uses</w:t>
      </w:r>
      <w:bookmarkEnd w:id="148"/>
    </w:p>
    <w:p w14:paraId="5015649F" w14:textId="77777777" w:rsidR="00656E7D" w:rsidRPr="00656E7D" w:rsidRDefault="00656E7D" w:rsidP="00A140B1">
      <w:r w:rsidRPr="00656E7D">
        <w:t>The information reported in Table 5.1 demonstrates that the quantities of ozone depleting substances emitted from the reported processes have stabilised over the past two years and are significantly less than the maximum quantity of emissions contained in Decision XXIII/7 (511 tonnes). This downward trend can be a result of a reduction in the number of processes using ozone-depleting substances as process agents or implementation of improvements in the processes to further reduce emissions.</w:t>
      </w:r>
    </w:p>
    <w:p w14:paraId="5FC1FCE1" w14:textId="77777777" w:rsidR="00656E7D" w:rsidRPr="00656E7D" w:rsidRDefault="00656E7D" w:rsidP="00413E4A">
      <w:pPr>
        <w:pStyle w:val="Heading4"/>
      </w:pPr>
      <w:bookmarkStart w:id="149" w:name="_Toc483916039"/>
      <w:r w:rsidRPr="00656E7D">
        <w:t>5.2.3.2</w:t>
      </w:r>
      <w:r w:rsidRPr="00656E7D">
        <w:tab/>
        <w:t>Associated make-up quantity of controlled substances</w:t>
      </w:r>
      <w:bookmarkEnd w:id="149"/>
    </w:p>
    <w:p w14:paraId="300F2AC4" w14:textId="1217EEC9" w:rsidR="00656E7D" w:rsidRPr="00656E7D" w:rsidRDefault="00656E7D" w:rsidP="00A140B1">
      <w:r w:rsidRPr="00656E7D">
        <w:t>The information reported in Table 5.1 demonstrates that the total reported make-up or consumption quantities of ozone depleting substances used for the reported processes decreased from 2014 to 2015. This excludes information on make-up or consumption in the United States, which is not rep</w:t>
      </w:r>
      <w:r w:rsidR="00BF2381">
        <w:t>orted for these years. For the p</w:t>
      </w:r>
      <w:r w:rsidRPr="00656E7D">
        <w:t>arties reporting (China, the EU and Israel), the quantities of make-up/consumption of controlled substances reported for 2015 (464.953 tonnes) are significantly less than the maximum quantity of make-up/consumption contained</w:t>
      </w:r>
      <w:r w:rsidR="00BF2381">
        <w:t xml:space="preserve"> in Decision XXIII/7 for those p</w:t>
      </w:r>
      <w:r w:rsidRPr="00656E7D">
        <w:t>arties (2,189.5 tonnes). This downward trend can be a result of a reduction in the number of processes using ozone-depleting substances as process agents or implementation of improvements in the processes.</w:t>
      </w:r>
    </w:p>
    <w:p w14:paraId="50E871AD" w14:textId="77777777" w:rsidR="00656E7D" w:rsidRPr="00656E7D" w:rsidRDefault="00656E7D" w:rsidP="00413E4A">
      <w:pPr>
        <w:pStyle w:val="Heading4"/>
      </w:pPr>
      <w:bookmarkStart w:id="150" w:name="_Toc483916040"/>
      <w:r w:rsidRPr="00656E7D">
        <w:t>5.2.3.3</w:t>
      </w:r>
      <w:r w:rsidRPr="00656E7D">
        <w:tab/>
        <w:t>Implementation and development of emissions-reduction techniques</w:t>
      </w:r>
      <w:bookmarkEnd w:id="150"/>
    </w:p>
    <w:p w14:paraId="778AA7E3" w14:textId="5F56C35B" w:rsidR="00497F61" w:rsidRPr="00C33FF9" w:rsidRDefault="00497F61" w:rsidP="00A140B1">
      <w:pPr>
        <w:rPr>
          <w:lang w:val="en-AU"/>
        </w:rPr>
      </w:pPr>
      <w:r w:rsidRPr="00C33FF9">
        <w:rPr>
          <w:lang w:val="en-AU"/>
        </w:rPr>
        <w:t>For the process of removing NCl</w:t>
      </w:r>
      <w:r w:rsidRPr="00C33FF9">
        <w:rPr>
          <w:vertAlign w:val="subscript"/>
          <w:lang w:val="en-AU"/>
        </w:rPr>
        <w:t>3</w:t>
      </w:r>
      <w:r w:rsidRPr="00C33FF9">
        <w:rPr>
          <w:lang w:val="en-AU"/>
        </w:rPr>
        <w:t xml:space="preserve"> from chlorine, Israel has noted in its submission that it uses compression and purification systems obtained from Krebs Swiss and has continuous chlorine analysers that activate the safety interlockers system when the chlorine concentration in the air is 0.5 ppmv. China has noted that it uses a CTC/chloroform mixture in its CSM process. MCTOC notes that under certain conditions this procedure can also generate CTC </w:t>
      </w:r>
      <w:r w:rsidRPr="00C33FF9">
        <w:rPr>
          <w:i/>
          <w:lang w:val="en-AU"/>
        </w:rPr>
        <w:t>in situ</w:t>
      </w:r>
      <w:r w:rsidRPr="00C33FF9">
        <w:rPr>
          <w:lang w:val="en-AU"/>
        </w:rPr>
        <w:t>. The United States has provided a list of technologies used to control emissions of ODS</w:t>
      </w:r>
      <w:r>
        <w:rPr>
          <w:rStyle w:val="FootnoteReference"/>
          <w:lang w:val="en-AU"/>
        </w:rPr>
        <w:footnoteReference w:id="5"/>
      </w:r>
      <w:r w:rsidRPr="00C33FF9">
        <w:rPr>
          <w:lang w:val="en-AU"/>
        </w:rPr>
        <w:t xml:space="preserve">. No information has yet been received from the European Union on the implementation of emissions-reduction technologies in 2015. </w:t>
      </w:r>
    </w:p>
    <w:p w14:paraId="2B07932E" w14:textId="77777777" w:rsidR="00656E7D" w:rsidRPr="00656E7D" w:rsidRDefault="00656E7D" w:rsidP="00413E4A">
      <w:pPr>
        <w:pStyle w:val="Heading4"/>
      </w:pPr>
      <w:bookmarkStart w:id="151" w:name="_Toc483916041"/>
      <w:r w:rsidRPr="00656E7D">
        <w:t>5.2.3.4</w:t>
      </w:r>
      <w:r w:rsidRPr="00656E7D">
        <w:tab/>
        <w:t>Alternative processes and products not using ozone-depleting substances</w:t>
      </w:r>
      <w:bookmarkEnd w:id="151"/>
    </w:p>
    <w:p w14:paraId="5CA61178" w14:textId="4667650D" w:rsidR="00656E7D" w:rsidRPr="00656E7D" w:rsidRDefault="00656E7D" w:rsidP="00A140B1">
      <w:r w:rsidRPr="00656E7D">
        <w:t>No information has be</w:t>
      </w:r>
      <w:r w:rsidR="00BF2381">
        <w:t>en received from the reporting p</w:t>
      </w:r>
      <w:r w:rsidRPr="00656E7D">
        <w:t>arties on the implementation of alternative processes and products not using ozone-depleting substances. MCTOC is not aware of any new information and wo</w:t>
      </w:r>
      <w:r w:rsidR="00BF2381">
        <w:t>uld welcome further input from p</w:t>
      </w:r>
      <w:r w:rsidRPr="00656E7D">
        <w:t>arties if ava</w:t>
      </w:r>
      <w:r w:rsidR="00BF2381">
        <w:t>ilable. For example, for those p</w:t>
      </w:r>
      <w:r w:rsidRPr="00656E7D">
        <w:t xml:space="preserve">arties no longer reporting the use of a controlled substance as a process agent, MCTOC would welcome information on how this was accomplished in those specific cases.  </w:t>
      </w:r>
    </w:p>
    <w:p w14:paraId="69F914F0" w14:textId="77777777" w:rsidR="00656E7D" w:rsidRPr="00656E7D" w:rsidRDefault="00656E7D" w:rsidP="00413E4A">
      <w:pPr>
        <w:pStyle w:val="Heading4"/>
      </w:pPr>
      <w:bookmarkStart w:id="152" w:name="_Toc483916042"/>
      <w:r w:rsidRPr="00656E7D">
        <w:lastRenderedPageBreak/>
        <w:t>5.2.3.5</w:t>
      </w:r>
      <w:r w:rsidRPr="00656E7D">
        <w:tab/>
        <w:t>Recommendations on Process Agents</w:t>
      </w:r>
      <w:bookmarkEnd w:id="152"/>
    </w:p>
    <w:p w14:paraId="13A52E0E" w14:textId="7C7604D5" w:rsidR="00656E7D" w:rsidRPr="00656E7D" w:rsidRDefault="00656E7D" w:rsidP="00A140B1">
      <w:r w:rsidRPr="00656E7D">
        <w:t xml:space="preserve">In response to the following decisions, the </w:t>
      </w:r>
      <w:r w:rsidR="005403D7">
        <w:t xml:space="preserve">TEAP has prepared the following </w:t>
      </w:r>
      <w:r w:rsidRPr="00656E7D">
        <w:t>recommendations.</w:t>
      </w:r>
    </w:p>
    <w:p w14:paraId="42E49405" w14:textId="77777777" w:rsidR="00656E7D" w:rsidRPr="00656E7D" w:rsidRDefault="00656E7D" w:rsidP="00656E7D">
      <w:r w:rsidRPr="00656E7D">
        <w:t>Decision XVII/6(6) requests,</w:t>
      </w:r>
    </w:p>
    <w:p w14:paraId="560F61DA" w14:textId="4D70FA74" w:rsidR="00656E7D" w:rsidRPr="00656E7D" w:rsidRDefault="00656E7D" w:rsidP="008F4CB1">
      <w:pPr>
        <w:ind w:left="851"/>
      </w:pPr>
      <w:r w:rsidRPr="005403D7">
        <w:rPr>
          <w:i/>
        </w:rPr>
        <w:t>“...the TEAP and the Executive Committee to report to the Open-ended Working Group at its twenty-seventh meeting in 2007, and every other year thereafter, unless the Parties decide otherwise, on the progress made in reducing emissions of controlled substances from process-agent uses; the associated make-up quantity of controlled substances; on the implementation and development of emissions-reduction techniques and alternative processes and products not using ozone-depleting substances</w:t>
      </w:r>
      <w:r w:rsidRPr="00656E7D">
        <w:t>;” and</w:t>
      </w:r>
    </w:p>
    <w:p w14:paraId="2729C076" w14:textId="77777777" w:rsidR="00656E7D" w:rsidRPr="00656E7D" w:rsidRDefault="00656E7D" w:rsidP="00656E7D">
      <w:r w:rsidRPr="00656E7D">
        <w:t>Decision XXII/8(5) requests,</w:t>
      </w:r>
    </w:p>
    <w:p w14:paraId="07C947A9" w14:textId="77777777" w:rsidR="00656E7D" w:rsidRPr="005403D7" w:rsidRDefault="00656E7D" w:rsidP="005403D7">
      <w:pPr>
        <w:ind w:left="851"/>
        <w:rPr>
          <w:i/>
        </w:rPr>
      </w:pPr>
      <w:r w:rsidRPr="005403D7">
        <w:rPr>
          <w:i/>
        </w:rPr>
        <w:t>“...the TEAP, beyond the reporting and assessment in respect of process agent uses requested for 2011, to review in 2013, and every second year thereafter, progress made in reducing process agent uses and to make any additional recommendations to parties on further actions to reduce uses and emissions of process agents;”</w:t>
      </w:r>
    </w:p>
    <w:p w14:paraId="4FCEDB3C" w14:textId="77777777" w:rsidR="00656E7D" w:rsidRPr="00656E7D" w:rsidRDefault="00656E7D" w:rsidP="00656E7D">
      <w:r w:rsidRPr="005403D7">
        <w:rPr>
          <w:b/>
        </w:rPr>
        <w:t>Recommendations</w:t>
      </w:r>
      <w:r w:rsidRPr="00656E7D">
        <w:t>:</w:t>
      </w:r>
    </w:p>
    <w:p w14:paraId="4DBD7984" w14:textId="77777777" w:rsidR="00656E7D" w:rsidRPr="008D06EA" w:rsidRDefault="00656E7D" w:rsidP="00656E7D">
      <w:pPr>
        <w:rPr>
          <w:b/>
        </w:rPr>
      </w:pPr>
      <w:r w:rsidRPr="008D06EA">
        <w:rPr>
          <w:b/>
        </w:rPr>
        <w:t xml:space="preserve">Based on the information reported, Parties may wish to consider: </w:t>
      </w:r>
    </w:p>
    <w:p w14:paraId="78EBAC4B" w14:textId="77777777" w:rsidR="00656E7D" w:rsidRPr="008D06EA" w:rsidRDefault="00656E7D" w:rsidP="008F4CB1">
      <w:pPr>
        <w:pStyle w:val="ListParagraph"/>
        <w:numPr>
          <w:ilvl w:val="0"/>
          <w:numId w:val="68"/>
        </w:numPr>
        <w:ind w:firstLineChars="0"/>
        <w:rPr>
          <w:rFonts w:ascii="Times New Roman" w:hAnsi="Times New Roman"/>
          <w:b/>
          <w:sz w:val="22"/>
        </w:rPr>
      </w:pPr>
      <w:r w:rsidRPr="008D06EA">
        <w:rPr>
          <w:rFonts w:ascii="Times New Roman" w:hAnsi="Times New Roman"/>
          <w:b/>
          <w:sz w:val="22"/>
        </w:rPr>
        <w:t>Removing the following process agent uses from Table A of Decision XXII/7:</w:t>
      </w:r>
    </w:p>
    <w:p w14:paraId="27C9C421" w14:textId="77777777" w:rsidR="008F4CB1" w:rsidRPr="008D06EA" w:rsidRDefault="008F4CB1" w:rsidP="008F4CB1">
      <w:pPr>
        <w:pStyle w:val="ListParagraph"/>
        <w:ind w:left="720" w:firstLineChars="0" w:firstLine="0"/>
        <w:rPr>
          <w:rFonts w:ascii="Times New Roman" w:hAnsi="Times New Roman"/>
          <w:b/>
          <w:sz w:val="22"/>
        </w:rPr>
      </w:pPr>
    </w:p>
    <w:p w14:paraId="043DB64E" w14:textId="77777777" w:rsidR="00656E7D" w:rsidRPr="008D06EA" w:rsidRDefault="00656E7D" w:rsidP="008F4CB1">
      <w:pPr>
        <w:pStyle w:val="ListParagraph"/>
        <w:numPr>
          <w:ilvl w:val="1"/>
          <w:numId w:val="69"/>
        </w:numPr>
        <w:ind w:firstLineChars="0"/>
        <w:rPr>
          <w:rFonts w:ascii="Times New Roman" w:hAnsi="Times New Roman"/>
          <w:b/>
          <w:sz w:val="22"/>
        </w:rPr>
      </w:pPr>
      <w:r w:rsidRPr="008D06EA">
        <w:rPr>
          <w:rFonts w:ascii="Times New Roman" w:hAnsi="Times New Roman"/>
          <w:b/>
          <w:sz w:val="22"/>
        </w:rPr>
        <w:t>Production of chlorinated polypropene</w:t>
      </w:r>
    </w:p>
    <w:p w14:paraId="4E8787F5" w14:textId="77777777" w:rsidR="00656E7D" w:rsidRPr="008D06EA" w:rsidRDefault="00656E7D" w:rsidP="008F4CB1">
      <w:pPr>
        <w:pStyle w:val="ListParagraph"/>
        <w:numPr>
          <w:ilvl w:val="1"/>
          <w:numId w:val="69"/>
        </w:numPr>
        <w:ind w:firstLineChars="0"/>
        <w:rPr>
          <w:rFonts w:ascii="Times New Roman" w:hAnsi="Times New Roman"/>
          <w:b/>
          <w:sz w:val="22"/>
        </w:rPr>
      </w:pPr>
      <w:r w:rsidRPr="008D06EA">
        <w:rPr>
          <w:rFonts w:ascii="Times New Roman" w:hAnsi="Times New Roman"/>
          <w:b/>
          <w:sz w:val="22"/>
        </w:rPr>
        <w:t>Production of chlorinated ethylene vinyl acetate (CEVA)</w:t>
      </w:r>
    </w:p>
    <w:p w14:paraId="40778FA1" w14:textId="77777777" w:rsidR="00656E7D" w:rsidRPr="008D06EA" w:rsidRDefault="00656E7D" w:rsidP="008D06EA">
      <w:pPr>
        <w:pStyle w:val="ListParagraph"/>
        <w:numPr>
          <w:ilvl w:val="1"/>
          <w:numId w:val="69"/>
        </w:numPr>
        <w:spacing w:after="240"/>
        <w:ind w:left="714" w:firstLineChars="0" w:hanging="357"/>
        <w:rPr>
          <w:b/>
          <w:sz w:val="22"/>
        </w:rPr>
      </w:pPr>
      <w:r w:rsidRPr="008D06EA">
        <w:rPr>
          <w:rFonts w:ascii="Times New Roman" w:hAnsi="Times New Roman"/>
          <w:b/>
          <w:sz w:val="22"/>
        </w:rPr>
        <w:t>Production methyl isocyanate derivatives</w:t>
      </w:r>
    </w:p>
    <w:p w14:paraId="1B132DAF" w14:textId="49CC54F6" w:rsidR="00D675A4" w:rsidRPr="00AE0605" w:rsidRDefault="00656E7D" w:rsidP="00D675A4">
      <w:pPr>
        <w:pStyle w:val="ListParagraph"/>
        <w:numPr>
          <w:ilvl w:val="0"/>
          <w:numId w:val="68"/>
        </w:numPr>
        <w:ind w:firstLineChars="0"/>
        <w:rPr>
          <w:rFonts w:ascii="Times New Roman" w:hAnsi="Times New Roman"/>
          <w:b/>
          <w:sz w:val="22"/>
        </w:rPr>
      </w:pPr>
      <w:r w:rsidRPr="008F4CB1">
        <w:rPr>
          <w:rFonts w:ascii="Times New Roman" w:hAnsi="Times New Roman"/>
          <w:b/>
          <w:sz w:val="22"/>
        </w:rPr>
        <w:t>Updating and removing previously permitted uses of controlled substances as process agents in certain Parties from Table A of Decision XXVII/7, as indicated by information no longer reported for 2014 and 2015:</w:t>
      </w:r>
      <w:r w:rsidR="00D675A4" w:rsidRPr="00D675A4">
        <w:rPr>
          <w:rFonts w:ascii="Times New Roman" w:hAnsi="Times New Roman"/>
          <w:b/>
          <w:sz w:val="22"/>
        </w:rPr>
        <w:t xml:space="preserve"> </w:t>
      </w:r>
    </w:p>
    <w:p w14:paraId="091EF54B" w14:textId="77777777" w:rsidR="00656E7D" w:rsidRPr="008F4CB1" w:rsidRDefault="00656E7D" w:rsidP="008D06EA">
      <w:pPr>
        <w:pStyle w:val="ListParagraph"/>
        <w:numPr>
          <w:ilvl w:val="0"/>
          <w:numId w:val="70"/>
        </w:numPr>
        <w:spacing w:before="240"/>
        <w:ind w:left="714" w:firstLineChars="0" w:hanging="357"/>
        <w:rPr>
          <w:rFonts w:ascii="Times New Roman" w:hAnsi="Times New Roman"/>
          <w:b/>
          <w:sz w:val="22"/>
        </w:rPr>
      </w:pPr>
      <w:r w:rsidRPr="008F4CB1">
        <w:rPr>
          <w:rFonts w:ascii="Times New Roman" w:hAnsi="Times New Roman"/>
          <w:b/>
          <w:sz w:val="22"/>
        </w:rPr>
        <w:t>United States of America for production of chlorosulfonated polyolefin (CSM)</w:t>
      </w:r>
    </w:p>
    <w:p w14:paraId="5EBCB9C6" w14:textId="77777777" w:rsidR="008F4CB1" w:rsidRPr="008F4CB1" w:rsidRDefault="008F4CB1" w:rsidP="008F4CB1">
      <w:pPr>
        <w:pStyle w:val="ListParagraph"/>
        <w:ind w:left="720" w:firstLineChars="0" w:firstLine="0"/>
        <w:rPr>
          <w:rFonts w:ascii="Times New Roman" w:hAnsi="Times New Roman"/>
          <w:b/>
          <w:sz w:val="22"/>
        </w:rPr>
      </w:pPr>
    </w:p>
    <w:p w14:paraId="2A121F97" w14:textId="77777777" w:rsidR="00D675A4" w:rsidRPr="00AE0605" w:rsidRDefault="00656E7D" w:rsidP="00D675A4">
      <w:pPr>
        <w:pStyle w:val="ListParagraph"/>
        <w:numPr>
          <w:ilvl w:val="0"/>
          <w:numId w:val="68"/>
        </w:numPr>
        <w:ind w:firstLineChars="0"/>
        <w:rPr>
          <w:rFonts w:ascii="Times New Roman" w:hAnsi="Times New Roman"/>
          <w:b/>
          <w:sz w:val="22"/>
        </w:rPr>
      </w:pPr>
      <w:r w:rsidRPr="008F4CB1">
        <w:rPr>
          <w:rFonts w:ascii="Times New Roman" w:hAnsi="Times New Roman"/>
          <w:b/>
          <w:sz w:val="22"/>
        </w:rPr>
        <w:t xml:space="preserve">Reducing the quantities of make-up/consumption and maximum emissions levels contained in Table B of Decision XXIII/7 to take into account the currently reported process agent uses and emissions, noting that the United States of America has not reported make-up/consumption. </w:t>
      </w:r>
    </w:p>
    <w:p w14:paraId="133BE508" w14:textId="77777777" w:rsidR="008F4CB1" w:rsidRDefault="008F4CB1" w:rsidP="0015746F">
      <w:pPr>
        <w:spacing w:after="0"/>
      </w:pPr>
    </w:p>
    <w:p w14:paraId="1452B9A7" w14:textId="44A8EE52" w:rsidR="00D675A4" w:rsidRPr="008D06EA" w:rsidRDefault="00656E7D" w:rsidP="008D06EA">
      <w:pPr>
        <w:rPr>
          <w:b/>
        </w:rPr>
      </w:pPr>
      <w:r w:rsidRPr="008D06EA">
        <w:rPr>
          <w:b/>
        </w:rPr>
        <w:t>Furthermore, in order to understand better the remaining eleven process agent applications, Parties may wish to consider revisiting and updating their information on the use of controlled substances as process agents and by the end of 2017, in time for MCTOC to report next under Decision XVII/6 in early 2018, provide the Secretariat with information on:</w:t>
      </w:r>
      <w:r w:rsidR="00D675A4" w:rsidRPr="008D06EA">
        <w:rPr>
          <w:b/>
        </w:rPr>
        <w:t xml:space="preserve"> </w:t>
      </w:r>
    </w:p>
    <w:p w14:paraId="0E3D423A" w14:textId="77777777" w:rsidR="00656E7D" w:rsidRPr="008D06EA" w:rsidRDefault="00656E7D" w:rsidP="008F4CB1">
      <w:pPr>
        <w:pStyle w:val="ListParagraph"/>
        <w:numPr>
          <w:ilvl w:val="0"/>
          <w:numId w:val="70"/>
        </w:numPr>
        <w:ind w:firstLineChars="0"/>
        <w:rPr>
          <w:rFonts w:ascii="Times New Roman" w:hAnsi="Times New Roman"/>
          <w:b/>
          <w:sz w:val="22"/>
        </w:rPr>
      </w:pPr>
      <w:r w:rsidRPr="008D06EA">
        <w:rPr>
          <w:rFonts w:ascii="Times New Roman" w:hAnsi="Times New Roman"/>
          <w:b/>
          <w:sz w:val="22"/>
        </w:rPr>
        <w:t>Current technology used</w:t>
      </w:r>
    </w:p>
    <w:p w14:paraId="5F226729" w14:textId="77777777" w:rsidR="00656E7D" w:rsidRPr="008D06EA" w:rsidRDefault="00656E7D" w:rsidP="008F4CB1">
      <w:pPr>
        <w:pStyle w:val="ListParagraph"/>
        <w:numPr>
          <w:ilvl w:val="0"/>
          <w:numId w:val="70"/>
        </w:numPr>
        <w:ind w:firstLineChars="0"/>
        <w:rPr>
          <w:rFonts w:ascii="Times New Roman" w:hAnsi="Times New Roman"/>
          <w:b/>
          <w:sz w:val="22"/>
        </w:rPr>
      </w:pPr>
      <w:r w:rsidRPr="008D06EA">
        <w:rPr>
          <w:rFonts w:ascii="Times New Roman" w:hAnsi="Times New Roman"/>
          <w:b/>
          <w:sz w:val="22"/>
        </w:rPr>
        <w:t>Technology used for reducing emissions</w:t>
      </w:r>
    </w:p>
    <w:p w14:paraId="45DC83A9" w14:textId="77777777" w:rsidR="00656E7D" w:rsidRPr="008D06EA" w:rsidRDefault="00656E7D" w:rsidP="008F4CB1">
      <w:pPr>
        <w:pStyle w:val="ListParagraph"/>
        <w:numPr>
          <w:ilvl w:val="0"/>
          <w:numId w:val="70"/>
        </w:numPr>
        <w:ind w:firstLineChars="0"/>
        <w:rPr>
          <w:rFonts w:ascii="Times New Roman" w:hAnsi="Times New Roman"/>
          <w:b/>
          <w:sz w:val="22"/>
        </w:rPr>
      </w:pPr>
      <w:r w:rsidRPr="008D06EA">
        <w:rPr>
          <w:rFonts w:ascii="Times New Roman" w:hAnsi="Times New Roman"/>
          <w:b/>
          <w:sz w:val="22"/>
        </w:rPr>
        <w:t>Actual emissions</w:t>
      </w:r>
    </w:p>
    <w:p w14:paraId="37B3B639" w14:textId="77777777" w:rsidR="00656E7D" w:rsidRPr="008D06EA" w:rsidRDefault="00656E7D" w:rsidP="008D06EA">
      <w:pPr>
        <w:pStyle w:val="ListParagraph"/>
        <w:numPr>
          <w:ilvl w:val="0"/>
          <w:numId w:val="70"/>
        </w:numPr>
        <w:spacing w:after="240"/>
        <w:ind w:left="714" w:firstLineChars="0" w:hanging="357"/>
        <w:rPr>
          <w:rFonts w:ascii="Times New Roman" w:hAnsi="Times New Roman"/>
          <w:b/>
          <w:sz w:val="22"/>
        </w:rPr>
      </w:pPr>
      <w:r w:rsidRPr="008D06EA">
        <w:rPr>
          <w:rFonts w:ascii="Times New Roman" w:hAnsi="Times New Roman"/>
          <w:b/>
          <w:sz w:val="22"/>
        </w:rPr>
        <w:t>Alternatives available for replacing controlled substances in these processes.</w:t>
      </w:r>
    </w:p>
    <w:p w14:paraId="512E926E" w14:textId="77777777" w:rsidR="00656E7D" w:rsidRPr="00656E7D" w:rsidRDefault="00656E7D" w:rsidP="00413E4A">
      <w:pPr>
        <w:pStyle w:val="Heading3"/>
      </w:pPr>
      <w:bookmarkStart w:id="153" w:name="_Toc356240460"/>
      <w:bookmarkStart w:id="154" w:name="_Toc484164359"/>
      <w:r w:rsidRPr="00656E7D">
        <w:lastRenderedPageBreak/>
        <w:t>5.2.4</w:t>
      </w:r>
      <w:r w:rsidRPr="00656E7D">
        <w:tab/>
        <w:t>Decision XVII/6(4): Assessment of any new plant using controlled substances as process agents</w:t>
      </w:r>
      <w:bookmarkEnd w:id="153"/>
      <w:bookmarkEnd w:id="154"/>
    </w:p>
    <w:p w14:paraId="02B45ADC" w14:textId="77777777" w:rsidR="00656E7D" w:rsidRPr="00656E7D" w:rsidRDefault="00656E7D" w:rsidP="00A140B1">
      <w:r w:rsidRPr="00656E7D">
        <w:t xml:space="preserve">Decision XVII/6(4) states, </w:t>
      </w:r>
      <w:r w:rsidRPr="008F4CB1">
        <w:rPr>
          <w:i/>
        </w:rPr>
        <w:t>“Where Parties install or commission new plant after 30 June 1999, using controlled substances as process agents, to request Parties to submit their applications to the Ozone Secretariat and the TEAP by 31 December 2006, and by 31 December every subsequent year or otherwise in a timely manner that allows the TEAP to conduct an appropriate analysis, for consideration subject to the criteria for essential uses under decision IV/25, in accordance with paragraph 7 of decision X/14;</w:t>
      </w:r>
      <w:r w:rsidRPr="00656E7D">
        <w:t>”</w:t>
      </w:r>
    </w:p>
    <w:p w14:paraId="5C0E55AE" w14:textId="77777777" w:rsidR="00656E7D" w:rsidRPr="00656E7D" w:rsidRDefault="00656E7D" w:rsidP="00A140B1">
      <w:r w:rsidRPr="00656E7D">
        <w:t>No applications were submitted under this decision for TEAP assessment.</w:t>
      </w:r>
    </w:p>
    <w:p w14:paraId="2CF9D10D" w14:textId="77777777" w:rsidR="00656E7D" w:rsidRPr="00656E7D" w:rsidRDefault="00656E7D" w:rsidP="00413E4A">
      <w:pPr>
        <w:pStyle w:val="Heading3"/>
      </w:pPr>
      <w:bookmarkStart w:id="155" w:name="_Toc356240461"/>
      <w:bookmarkStart w:id="156" w:name="_Toc484164360"/>
      <w:r w:rsidRPr="00656E7D">
        <w:t>5.2.5</w:t>
      </w:r>
      <w:r w:rsidRPr="00656E7D">
        <w:tab/>
        <w:t>Use of controlled substances for chemical feedstock</w:t>
      </w:r>
      <w:bookmarkEnd w:id="155"/>
      <w:bookmarkEnd w:id="156"/>
    </w:p>
    <w:p w14:paraId="06D5AC3A" w14:textId="452D9C5B" w:rsidR="00656E7D" w:rsidRPr="00656E7D" w:rsidRDefault="00656E7D" w:rsidP="00A140B1">
      <w:r w:rsidRPr="00656E7D">
        <w:t>Feedstock</w:t>
      </w:r>
      <w:r w:rsidR="00BF2381">
        <w:t xml:space="preserve"> is the chemical building block</w:t>
      </w:r>
      <w:r w:rsidRPr="00656E7D">
        <w:t xml:space="preserve"> that allow</w:t>
      </w:r>
      <w:r w:rsidR="00D675A4">
        <w:t>s</w:t>
      </w:r>
      <w:r w:rsidRPr="00656E7D">
        <w:t xml:space="preserve"> the cost-effective commercial synthesis of other chemicals. The use of ODS, such as CTC, 1</w:t>
      </w:r>
      <w:proofErr w:type="gramStart"/>
      <w:r w:rsidRPr="00656E7D">
        <w:t>,1,1</w:t>
      </w:r>
      <w:proofErr w:type="gramEnd"/>
      <w:r w:rsidRPr="00656E7D">
        <w:t xml:space="preserve">-trichloroethane (TCA) (also referred to as methyl chloroform), CFCs, HCFCs and several others, as feedstock allows incorporation of chlorine and fluorine atoms into molecular structures. The resulting products find important uses such as refrigerants, blowing agents, solvents, polymers, pharmaceuticals and agricultural chemicals. Emissions from feedstock use consist of residual levels in the ultimate products and fugitive leaks during production, storage and/or transport processes. </w:t>
      </w:r>
    </w:p>
    <w:p w14:paraId="4E3CF201" w14:textId="77777777" w:rsidR="00656E7D" w:rsidRPr="00656E7D" w:rsidRDefault="00656E7D" w:rsidP="00A140B1">
      <w:r w:rsidRPr="00656E7D">
        <w:t>Feedstock is carefully selected by commercial producers to be the most technologically and economically viable at the time to yield the final products. These facilities can require large initial capital investments over US$100 million, not including the supporting and required infrastructure. Properly designed and maintained chemical manufacturing facilities using ODS feedstock can operate for as long as 50 years.</w:t>
      </w:r>
    </w:p>
    <w:p w14:paraId="131CEE67" w14:textId="5461DED4" w:rsidR="00656E7D" w:rsidRPr="005403D7" w:rsidRDefault="00656E7D" w:rsidP="00A140B1">
      <w:pPr>
        <w:rPr>
          <w:i/>
        </w:rPr>
      </w:pPr>
      <w:r w:rsidRPr="00656E7D">
        <w:t xml:space="preserve">The Montreal Protocol specifies those ODS that are controlled substances, including those that are also used for chemical feedstock, according to Article 1, clause 4, which states: </w:t>
      </w:r>
      <w:r w:rsidRPr="005403D7">
        <w:rPr>
          <w:i/>
        </w:rPr>
        <w:t xml:space="preserve"> "Controlled substance" means a substance in Annex A, Annex B, Annex C or Annex E to this Protocol, whether existing alone or in a mixture. It includes the isomers of any such substance, except as specified in the relevant Annex, but excludes any controlled substance or mixture which is in a manufactured product other than a container used for the transportation or storage of that substance.” </w:t>
      </w:r>
    </w:p>
    <w:p w14:paraId="57F29752" w14:textId="77777777" w:rsidR="00656E7D" w:rsidRPr="00656E7D" w:rsidRDefault="00656E7D" w:rsidP="00A140B1">
      <w:r w:rsidRPr="00656E7D">
        <w:t xml:space="preserve">The definition of production under the Montreal Protocol excludes the amount of controlled substances used as feedstock, according to Article 1, clause 5: </w:t>
      </w:r>
      <w:r w:rsidRPr="005403D7">
        <w:rPr>
          <w:i/>
        </w:rPr>
        <w:t>“Production means the amount of controlled substances produced, minus the amount destroyed by technologies to be approved by the Parties and minus the amount entirely used as feedstock in the manufacture of other chemicals.  The amount recycled and reused is not to be considered as Production.”</w:t>
      </w:r>
    </w:p>
    <w:p w14:paraId="10A3FD95" w14:textId="77777777" w:rsidR="00656E7D" w:rsidRPr="00656E7D" w:rsidRDefault="00656E7D" w:rsidP="00413E4A">
      <w:pPr>
        <w:pStyle w:val="Heading4"/>
      </w:pPr>
      <w:bookmarkStart w:id="157" w:name="_Toc483916045"/>
      <w:r w:rsidRPr="00656E7D">
        <w:t>5.2.5.1</w:t>
      </w:r>
      <w:r w:rsidRPr="00656E7D">
        <w:tab/>
        <w:t>How the ODS feedstock is used</w:t>
      </w:r>
      <w:bookmarkEnd w:id="157"/>
    </w:p>
    <w:p w14:paraId="7E43F9F8" w14:textId="77777777" w:rsidR="00656E7D" w:rsidRPr="00656E7D" w:rsidRDefault="00656E7D" w:rsidP="00A140B1">
      <w:r w:rsidRPr="00656E7D">
        <w:t>When used as feedstock, ODS are fed directly into the process as a raw material stream or as an intermediate in the synthesis of another product. Emissive losses can occur during production, storage, transport, if necessary, and transfers. Intermediates are normally stored and used at the same site thereby reducing fugitive leaks. Efforts are made to minimize such losses for both environmental and economic reasons.</w:t>
      </w:r>
    </w:p>
    <w:p w14:paraId="10D98BD1" w14:textId="6BFB1E45" w:rsidR="00656E7D" w:rsidRPr="00656E7D" w:rsidRDefault="00656E7D" w:rsidP="00A140B1">
      <w:r w:rsidRPr="00656E7D">
        <w:t>Table 5.</w:t>
      </w:r>
      <w:r w:rsidR="00BF2381">
        <w:t>2</w:t>
      </w:r>
      <w:r w:rsidRPr="00656E7D">
        <w:t xml:space="preserve"> shows common feedstock applications, although the list is not exhaustive. Parties report amounts of ODS used as feedstock to the Secretariat but not how they are used. Processes are proprietary and there is no official source to define the manufacturing routes followed and their efficacy. The table provides some examples and is the product of the </w:t>
      </w:r>
      <w:r w:rsidRPr="00656E7D">
        <w:lastRenderedPageBreak/>
        <w:t xml:space="preserve">collective experience and knowledge of MCTOC members. Products included are both intermediates as well as final products, including fluoropolymers. </w:t>
      </w:r>
    </w:p>
    <w:p w14:paraId="04D599FC" w14:textId="77456366" w:rsidR="00656E7D" w:rsidRPr="00656E7D" w:rsidRDefault="00656E7D" w:rsidP="00A140B1">
      <w:r w:rsidRPr="00656E7D">
        <w:t xml:space="preserve">The original fluorochemicals used for refrigerants, aerosols and blowing agents were CFC-11 and CFC-12.  It is of great significance to note that production of these CFCs from CTC is now zero, reflecting the success of Montreal Protocol efforts in the total phase-out of their production.  The fluorochemical industry is now producing a fourth generation of products as they transitioned from CFCs to HCFCs to HFCs, and now to </w:t>
      </w:r>
      <w:r w:rsidR="00BF2381">
        <w:t>hydrofluoroolefins (</w:t>
      </w:r>
      <w:r w:rsidRPr="00656E7D">
        <w:t>HFOs</w:t>
      </w:r>
      <w:r w:rsidR="00BF2381">
        <w:t>)</w:t>
      </w:r>
      <w:r w:rsidRPr="00656E7D">
        <w:t>. Some HFOs utilise CTC as a starting material: these new products are short-lived (days of atmospheric lifetimes rather than decades or centuries), have zero ODP, and GWPs in single digits.</w:t>
      </w:r>
    </w:p>
    <w:p w14:paraId="11810FD9" w14:textId="77777777" w:rsidR="00656E7D" w:rsidRPr="00656E7D" w:rsidRDefault="00656E7D" w:rsidP="00A140B1"/>
    <w:p w14:paraId="1F49AD42" w14:textId="77777777" w:rsidR="00656E7D" w:rsidRPr="00656E7D" w:rsidRDefault="00656E7D" w:rsidP="00656E7D">
      <w:pPr>
        <w:sectPr w:rsidR="00656E7D" w:rsidRPr="00656E7D" w:rsidSect="00C271CA">
          <w:footnotePr>
            <w:numRestart w:val="eachSect"/>
          </w:footnotePr>
          <w:pgSz w:w="11907" w:h="16839" w:code="9"/>
          <w:pgMar w:top="1440" w:right="1797" w:bottom="1525" w:left="1797" w:header="720" w:footer="794" w:gutter="0"/>
          <w:cols w:space="720"/>
          <w:docGrid w:linePitch="299"/>
        </w:sectPr>
      </w:pPr>
    </w:p>
    <w:p w14:paraId="0C8B1B57" w14:textId="12CD526A" w:rsidR="00192CD6" w:rsidRPr="00084DD9" w:rsidRDefault="00192CD6" w:rsidP="0015746F">
      <w:pPr>
        <w:ind w:left="1170" w:hanging="1170"/>
        <w:rPr>
          <w:b/>
          <w:i/>
          <w:sz w:val="24"/>
          <w:szCs w:val="24"/>
        </w:rPr>
      </w:pPr>
      <w:r w:rsidRPr="00084DD9">
        <w:rPr>
          <w:b/>
          <w:i/>
          <w:sz w:val="24"/>
          <w:szCs w:val="24"/>
        </w:rPr>
        <w:lastRenderedPageBreak/>
        <w:t>Table 5.</w:t>
      </w:r>
      <w:r w:rsidR="00497F61" w:rsidRPr="00084DD9">
        <w:rPr>
          <w:b/>
          <w:i/>
          <w:sz w:val="24"/>
          <w:szCs w:val="24"/>
        </w:rPr>
        <w:t>2</w:t>
      </w:r>
      <w:r w:rsidRPr="00084DD9">
        <w:rPr>
          <w:b/>
          <w:i/>
          <w:sz w:val="24"/>
          <w:szCs w:val="24"/>
        </w:rPr>
        <w:tab/>
        <w:t>Common feedstock applications of ozone-depleting substances (this list is not exhaustive)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9"/>
        <w:gridCol w:w="2299"/>
        <w:gridCol w:w="2160"/>
        <w:gridCol w:w="2385"/>
      </w:tblGrid>
      <w:tr w:rsidR="00192CD6" w:rsidRPr="00816DDC" w14:paraId="7E3E2F91" w14:textId="77777777" w:rsidTr="0015746F">
        <w:trPr>
          <w:trHeight w:val="344"/>
        </w:trPr>
        <w:tc>
          <w:tcPr>
            <w:tcW w:w="2489" w:type="dxa"/>
          </w:tcPr>
          <w:p w14:paraId="4FA48DE1" w14:textId="77777777" w:rsidR="00192CD6" w:rsidRPr="00C33FF9" w:rsidRDefault="00192CD6" w:rsidP="00C33FF9">
            <w:pPr>
              <w:spacing w:before="60" w:after="60"/>
              <w:rPr>
                <w:b/>
                <w:sz w:val="18"/>
              </w:rPr>
            </w:pPr>
            <w:r w:rsidRPr="00C33FF9">
              <w:rPr>
                <w:b/>
                <w:sz w:val="18"/>
              </w:rPr>
              <w:t>Feedstock ODS</w:t>
            </w:r>
          </w:p>
        </w:tc>
        <w:tc>
          <w:tcPr>
            <w:tcW w:w="2299" w:type="dxa"/>
          </w:tcPr>
          <w:p w14:paraId="76E3D032" w14:textId="77777777" w:rsidR="00192CD6" w:rsidRPr="00C33FF9" w:rsidRDefault="00192CD6" w:rsidP="00C33FF9">
            <w:pPr>
              <w:spacing w:before="60" w:after="60"/>
              <w:rPr>
                <w:b/>
                <w:sz w:val="18"/>
              </w:rPr>
            </w:pPr>
            <w:r w:rsidRPr="00C33FF9">
              <w:rPr>
                <w:b/>
                <w:sz w:val="18"/>
              </w:rPr>
              <w:t>Product</w:t>
            </w:r>
          </w:p>
        </w:tc>
        <w:tc>
          <w:tcPr>
            <w:tcW w:w="2160" w:type="dxa"/>
          </w:tcPr>
          <w:p w14:paraId="1CB6F7BE" w14:textId="77777777" w:rsidR="00192CD6" w:rsidRPr="00C33FF9" w:rsidRDefault="00192CD6" w:rsidP="00C33FF9">
            <w:pPr>
              <w:spacing w:before="60" w:after="60"/>
              <w:rPr>
                <w:b/>
                <w:sz w:val="18"/>
              </w:rPr>
            </w:pPr>
            <w:r w:rsidRPr="00C33FF9">
              <w:rPr>
                <w:b/>
                <w:sz w:val="18"/>
              </w:rPr>
              <w:t>Further conversion</w:t>
            </w:r>
          </w:p>
        </w:tc>
        <w:tc>
          <w:tcPr>
            <w:tcW w:w="2385" w:type="dxa"/>
          </w:tcPr>
          <w:p w14:paraId="324AE4F4" w14:textId="77777777" w:rsidR="00192CD6" w:rsidRPr="00C33FF9" w:rsidRDefault="00192CD6" w:rsidP="00C33FF9">
            <w:pPr>
              <w:spacing w:before="60" w:after="60"/>
              <w:rPr>
                <w:b/>
                <w:sz w:val="18"/>
              </w:rPr>
            </w:pPr>
            <w:r w:rsidRPr="00C33FF9">
              <w:rPr>
                <w:b/>
                <w:sz w:val="18"/>
              </w:rPr>
              <w:t>Comments</w:t>
            </w:r>
          </w:p>
        </w:tc>
      </w:tr>
      <w:tr w:rsidR="00192CD6" w:rsidRPr="00816DDC" w14:paraId="61466EB2" w14:textId="77777777" w:rsidTr="0015746F">
        <w:trPr>
          <w:trHeight w:val="450"/>
        </w:trPr>
        <w:tc>
          <w:tcPr>
            <w:tcW w:w="2489" w:type="dxa"/>
          </w:tcPr>
          <w:p w14:paraId="32B3C018" w14:textId="77777777" w:rsidR="00192CD6" w:rsidRPr="00C33FF9" w:rsidRDefault="00192CD6" w:rsidP="00C33FF9">
            <w:pPr>
              <w:spacing w:before="100" w:beforeAutospacing="1" w:after="100" w:afterAutospacing="1"/>
              <w:rPr>
                <w:sz w:val="18"/>
              </w:rPr>
            </w:pPr>
            <w:r w:rsidRPr="00C33FF9">
              <w:rPr>
                <w:sz w:val="18"/>
              </w:rPr>
              <w:t>CFC-113</w:t>
            </w:r>
          </w:p>
        </w:tc>
        <w:tc>
          <w:tcPr>
            <w:tcW w:w="2299" w:type="dxa"/>
          </w:tcPr>
          <w:p w14:paraId="34DD1A48" w14:textId="77777777" w:rsidR="00192CD6" w:rsidRPr="00C33FF9" w:rsidRDefault="00192CD6" w:rsidP="00C33FF9">
            <w:pPr>
              <w:spacing w:before="100" w:beforeAutospacing="1" w:after="100" w:afterAutospacing="1"/>
              <w:rPr>
                <w:sz w:val="18"/>
              </w:rPr>
            </w:pPr>
            <w:r w:rsidRPr="00C33FF9">
              <w:rPr>
                <w:sz w:val="18"/>
              </w:rPr>
              <w:t>Chlorotrifluoroethylene</w:t>
            </w:r>
          </w:p>
        </w:tc>
        <w:tc>
          <w:tcPr>
            <w:tcW w:w="2160" w:type="dxa"/>
          </w:tcPr>
          <w:p w14:paraId="21461386" w14:textId="77777777" w:rsidR="00192CD6" w:rsidRPr="00C33FF9" w:rsidRDefault="00192CD6" w:rsidP="00C33FF9">
            <w:pPr>
              <w:keepNext/>
              <w:tabs>
                <w:tab w:val="left" w:pos="230"/>
                <w:tab w:val="left" w:pos="1877"/>
              </w:tabs>
              <w:spacing w:before="100" w:beforeAutospacing="1" w:after="100" w:afterAutospacing="1"/>
              <w:outlineLvl w:val="5"/>
              <w:rPr>
                <w:sz w:val="18"/>
              </w:rPr>
            </w:pPr>
            <w:r w:rsidRPr="00C33FF9">
              <w:rPr>
                <w:sz w:val="18"/>
              </w:rPr>
              <w:t>Chlorotrifluoroethylene based polymers</w:t>
            </w:r>
          </w:p>
        </w:tc>
        <w:tc>
          <w:tcPr>
            <w:tcW w:w="2385" w:type="dxa"/>
          </w:tcPr>
          <w:p w14:paraId="1867CD94" w14:textId="77777777" w:rsidR="00192CD6" w:rsidRPr="00C33FF9" w:rsidRDefault="00192CD6" w:rsidP="00192CD6">
            <w:pPr>
              <w:spacing w:after="0"/>
              <w:rPr>
                <w:sz w:val="18"/>
              </w:rPr>
            </w:pPr>
            <w:r w:rsidRPr="00C33FF9">
              <w:rPr>
                <w:sz w:val="18"/>
              </w:rPr>
              <w:t>Polymers include poly-chlorotrifluoroethylene (PCTFE), and poly-fluoroethylenevinyl ether (PFEVE).</w:t>
            </w:r>
          </w:p>
        </w:tc>
      </w:tr>
      <w:tr w:rsidR="00192CD6" w:rsidRPr="00816DDC" w14:paraId="5EF461DC" w14:textId="77777777" w:rsidTr="0015746F">
        <w:trPr>
          <w:trHeight w:val="286"/>
        </w:trPr>
        <w:tc>
          <w:tcPr>
            <w:tcW w:w="2489" w:type="dxa"/>
          </w:tcPr>
          <w:p w14:paraId="66118AE3" w14:textId="77777777" w:rsidR="00192CD6" w:rsidRPr="00C33FF9" w:rsidRDefault="00192CD6" w:rsidP="00C33FF9">
            <w:pPr>
              <w:spacing w:before="100" w:beforeAutospacing="1" w:after="100" w:afterAutospacing="1"/>
              <w:rPr>
                <w:sz w:val="18"/>
              </w:rPr>
            </w:pPr>
            <w:r w:rsidRPr="00C33FF9">
              <w:rPr>
                <w:sz w:val="18"/>
              </w:rPr>
              <w:t>CFC-113</w:t>
            </w:r>
          </w:p>
        </w:tc>
        <w:tc>
          <w:tcPr>
            <w:tcW w:w="2299" w:type="dxa"/>
          </w:tcPr>
          <w:p w14:paraId="4A0A19B4" w14:textId="77777777" w:rsidR="00192CD6" w:rsidRPr="00C33FF9" w:rsidRDefault="00192CD6" w:rsidP="00C33FF9">
            <w:pPr>
              <w:keepNext/>
              <w:tabs>
                <w:tab w:val="left" w:pos="230"/>
                <w:tab w:val="left" w:pos="1877"/>
                <w:tab w:val="center" w:pos="4320"/>
                <w:tab w:val="right" w:pos="8640"/>
              </w:tabs>
              <w:spacing w:before="100" w:beforeAutospacing="1" w:after="100" w:afterAutospacing="1"/>
              <w:outlineLvl w:val="5"/>
              <w:rPr>
                <w:sz w:val="18"/>
                <w:highlight w:val="yellow"/>
              </w:rPr>
            </w:pPr>
            <w:r w:rsidRPr="00C33FF9">
              <w:rPr>
                <w:sz w:val="18"/>
              </w:rPr>
              <w:t>Trifluoroacetic acid and pesticides</w:t>
            </w:r>
          </w:p>
        </w:tc>
        <w:tc>
          <w:tcPr>
            <w:tcW w:w="2160" w:type="dxa"/>
          </w:tcPr>
          <w:p w14:paraId="0088F62C" w14:textId="77777777" w:rsidR="00192CD6" w:rsidRPr="00C33FF9" w:rsidRDefault="00192CD6" w:rsidP="00C33FF9">
            <w:pPr>
              <w:keepNext/>
              <w:tabs>
                <w:tab w:val="left" w:pos="230"/>
                <w:tab w:val="left" w:pos="1877"/>
                <w:tab w:val="center" w:pos="4320"/>
                <w:tab w:val="right" w:pos="8640"/>
              </w:tabs>
              <w:spacing w:before="100" w:beforeAutospacing="1" w:after="100" w:afterAutospacing="1"/>
              <w:outlineLvl w:val="5"/>
              <w:rPr>
                <w:sz w:val="18"/>
                <w:highlight w:val="yellow"/>
              </w:rPr>
            </w:pPr>
          </w:p>
        </w:tc>
        <w:tc>
          <w:tcPr>
            <w:tcW w:w="2385" w:type="dxa"/>
          </w:tcPr>
          <w:p w14:paraId="2158990E" w14:textId="77777777" w:rsidR="00192CD6" w:rsidRPr="00C33FF9" w:rsidRDefault="00192CD6" w:rsidP="00C33FF9">
            <w:pPr>
              <w:spacing w:before="100" w:beforeAutospacing="1" w:after="100" w:afterAutospacing="1"/>
              <w:rPr>
                <w:sz w:val="18"/>
              </w:rPr>
            </w:pPr>
            <w:r w:rsidRPr="00C33FF9">
              <w:rPr>
                <w:sz w:val="18"/>
              </w:rPr>
              <w:t>Production processes in China and India. CFC-113a is as an intermediate in this process.</w:t>
            </w:r>
          </w:p>
        </w:tc>
      </w:tr>
      <w:tr w:rsidR="00192CD6" w:rsidRPr="00816DDC" w14:paraId="76840E21" w14:textId="77777777" w:rsidTr="0015746F">
        <w:trPr>
          <w:trHeight w:val="286"/>
        </w:trPr>
        <w:tc>
          <w:tcPr>
            <w:tcW w:w="2489" w:type="dxa"/>
          </w:tcPr>
          <w:p w14:paraId="605B2DF8" w14:textId="77777777" w:rsidR="00192CD6" w:rsidRPr="00C33FF9" w:rsidRDefault="00192CD6" w:rsidP="00C33FF9">
            <w:pPr>
              <w:spacing w:before="100" w:beforeAutospacing="1" w:after="100" w:afterAutospacing="1"/>
              <w:rPr>
                <w:sz w:val="18"/>
              </w:rPr>
            </w:pPr>
            <w:r w:rsidRPr="00C33FF9">
              <w:rPr>
                <w:sz w:val="18"/>
              </w:rPr>
              <w:t>CFC-113</w:t>
            </w:r>
          </w:p>
        </w:tc>
        <w:tc>
          <w:tcPr>
            <w:tcW w:w="2299" w:type="dxa"/>
          </w:tcPr>
          <w:p w14:paraId="24FF5A9D" w14:textId="77777777" w:rsidR="00192CD6" w:rsidRPr="00C33FF9" w:rsidRDefault="00192CD6" w:rsidP="00C33FF9">
            <w:pPr>
              <w:spacing w:before="100" w:beforeAutospacing="1" w:after="100" w:afterAutospacing="1"/>
              <w:rPr>
                <w:sz w:val="18"/>
              </w:rPr>
            </w:pPr>
            <w:r w:rsidRPr="00C33FF9">
              <w:rPr>
                <w:sz w:val="18"/>
              </w:rPr>
              <w:t>HFC-134a and HFC-125</w:t>
            </w:r>
          </w:p>
        </w:tc>
        <w:tc>
          <w:tcPr>
            <w:tcW w:w="2160" w:type="dxa"/>
          </w:tcPr>
          <w:p w14:paraId="7343F281" w14:textId="77777777" w:rsidR="00192CD6" w:rsidRPr="00C33FF9" w:rsidRDefault="00192CD6" w:rsidP="00C33FF9">
            <w:pPr>
              <w:spacing w:before="100" w:beforeAutospacing="1" w:after="100" w:afterAutospacing="1"/>
              <w:rPr>
                <w:i/>
                <w:sz w:val="18"/>
              </w:rPr>
            </w:pPr>
          </w:p>
        </w:tc>
        <w:tc>
          <w:tcPr>
            <w:tcW w:w="2385" w:type="dxa"/>
          </w:tcPr>
          <w:p w14:paraId="10BB24EB" w14:textId="77777777" w:rsidR="00192CD6" w:rsidRPr="00C33FF9" w:rsidRDefault="00192CD6" w:rsidP="00C33FF9">
            <w:pPr>
              <w:keepNext/>
              <w:tabs>
                <w:tab w:val="left" w:pos="230"/>
                <w:tab w:val="left" w:pos="1877"/>
              </w:tabs>
              <w:spacing w:before="100" w:beforeAutospacing="1" w:after="100" w:afterAutospacing="1"/>
              <w:outlineLvl w:val="5"/>
              <w:rPr>
                <w:sz w:val="18"/>
              </w:rPr>
            </w:pPr>
            <w:r w:rsidRPr="00C33FF9">
              <w:rPr>
                <w:sz w:val="18"/>
              </w:rPr>
              <w:t>High-volume use. The sequence for production of this refrigerant may begin with CFC-113, which is converted to CFC-113a and then to CFC-114a.</w:t>
            </w:r>
          </w:p>
        </w:tc>
      </w:tr>
      <w:tr w:rsidR="00192CD6" w:rsidRPr="00816DDC" w14:paraId="0D4A3139" w14:textId="77777777" w:rsidTr="0015746F">
        <w:trPr>
          <w:trHeight w:val="404"/>
        </w:trPr>
        <w:tc>
          <w:tcPr>
            <w:tcW w:w="2489" w:type="dxa"/>
          </w:tcPr>
          <w:p w14:paraId="431F021F" w14:textId="77777777" w:rsidR="00192CD6" w:rsidRPr="00C33FF9" w:rsidRDefault="00192CD6" w:rsidP="00C33FF9">
            <w:pPr>
              <w:spacing w:before="100" w:beforeAutospacing="1" w:after="100" w:afterAutospacing="1"/>
              <w:rPr>
                <w:sz w:val="18"/>
              </w:rPr>
            </w:pPr>
            <w:r w:rsidRPr="00C33FF9">
              <w:rPr>
                <w:sz w:val="18"/>
              </w:rPr>
              <w:t>CFC-114, -114a</w:t>
            </w:r>
          </w:p>
        </w:tc>
        <w:tc>
          <w:tcPr>
            <w:tcW w:w="2299" w:type="dxa"/>
          </w:tcPr>
          <w:p w14:paraId="17A13C1A" w14:textId="77777777" w:rsidR="00192CD6" w:rsidRPr="00C33FF9" w:rsidRDefault="00192CD6" w:rsidP="00C33FF9">
            <w:pPr>
              <w:spacing w:before="100" w:beforeAutospacing="1" w:after="100" w:afterAutospacing="1"/>
              <w:rPr>
                <w:sz w:val="18"/>
              </w:rPr>
            </w:pPr>
            <w:r w:rsidRPr="00C33FF9">
              <w:rPr>
                <w:sz w:val="18"/>
              </w:rPr>
              <w:t>HFC-134a</w:t>
            </w:r>
          </w:p>
        </w:tc>
        <w:tc>
          <w:tcPr>
            <w:tcW w:w="2160" w:type="dxa"/>
          </w:tcPr>
          <w:p w14:paraId="1F8B66F2" w14:textId="77777777" w:rsidR="00192CD6" w:rsidRPr="00C33FF9" w:rsidRDefault="00192CD6" w:rsidP="00C33FF9">
            <w:pPr>
              <w:spacing w:before="100" w:beforeAutospacing="1" w:after="100" w:afterAutospacing="1"/>
              <w:rPr>
                <w:sz w:val="18"/>
              </w:rPr>
            </w:pPr>
          </w:p>
        </w:tc>
        <w:tc>
          <w:tcPr>
            <w:tcW w:w="2385" w:type="dxa"/>
          </w:tcPr>
          <w:p w14:paraId="41F91FEA" w14:textId="77777777" w:rsidR="00192CD6" w:rsidRPr="00C33FF9" w:rsidRDefault="00192CD6" w:rsidP="00C33FF9">
            <w:pPr>
              <w:spacing w:before="100" w:beforeAutospacing="1" w:after="100" w:afterAutospacing="1"/>
              <w:rPr>
                <w:sz w:val="18"/>
              </w:rPr>
            </w:pPr>
            <w:r w:rsidRPr="00C33FF9">
              <w:rPr>
                <w:sz w:val="18"/>
              </w:rPr>
              <w:t>The sequence for production of this refrigerant gas may begin with CFC-113, which is converted to CFC-113a and then to CFC-114a.</w:t>
            </w:r>
          </w:p>
        </w:tc>
      </w:tr>
      <w:tr w:rsidR="00192CD6" w:rsidRPr="00816DDC" w14:paraId="7DB85978" w14:textId="77777777" w:rsidTr="0015746F">
        <w:trPr>
          <w:trHeight w:val="423"/>
        </w:trPr>
        <w:tc>
          <w:tcPr>
            <w:tcW w:w="2489" w:type="dxa"/>
          </w:tcPr>
          <w:p w14:paraId="724F09AE" w14:textId="77777777" w:rsidR="00192CD6" w:rsidRPr="00C33FF9" w:rsidRDefault="00192CD6" w:rsidP="00C33FF9">
            <w:pPr>
              <w:spacing w:before="100" w:beforeAutospacing="1" w:after="100" w:afterAutospacing="1"/>
              <w:rPr>
                <w:sz w:val="18"/>
              </w:rPr>
            </w:pPr>
            <w:r w:rsidRPr="00C33FF9">
              <w:rPr>
                <w:sz w:val="18"/>
              </w:rPr>
              <w:t>CTC</w:t>
            </w:r>
          </w:p>
        </w:tc>
        <w:tc>
          <w:tcPr>
            <w:tcW w:w="2299" w:type="dxa"/>
          </w:tcPr>
          <w:p w14:paraId="5D335E55" w14:textId="77777777" w:rsidR="00192CD6" w:rsidRPr="00C33FF9" w:rsidRDefault="00192CD6" w:rsidP="00C33FF9">
            <w:pPr>
              <w:spacing w:before="100" w:beforeAutospacing="1" w:after="100" w:afterAutospacing="1"/>
              <w:rPr>
                <w:sz w:val="18"/>
              </w:rPr>
            </w:pPr>
            <w:r w:rsidRPr="00C33FF9">
              <w:rPr>
                <w:sz w:val="18"/>
              </w:rPr>
              <w:t>CFC-11 and CFC-12</w:t>
            </w:r>
          </w:p>
        </w:tc>
        <w:tc>
          <w:tcPr>
            <w:tcW w:w="2160" w:type="dxa"/>
          </w:tcPr>
          <w:p w14:paraId="16B6C21E" w14:textId="77777777" w:rsidR="00192CD6" w:rsidRPr="00C33FF9" w:rsidRDefault="00192CD6" w:rsidP="00C33FF9">
            <w:pPr>
              <w:spacing w:before="100" w:beforeAutospacing="1" w:after="100" w:afterAutospacing="1"/>
              <w:rPr>
                <w:sz w:val="18"/>
              </w:rPr>
            </w:pPr>
          </w:p>
        </w:tc>
        <w:tc>
          <w:tcPr>
            <w:tcW w:w="2385" w:type="dxa"/>
          </w:tcPr>
          <w:p w14:paraId="7C41A733" w14:textId="77777777" w:rsidR="00192CD6" w:rsidRPr="00C33FF9" w:rsidRDefault="00192CD6" w:rsidP="00C33FF9">
            <w:pPr>
              <w:spacing w:before="100" w:beforeAutospacing="1" w:after="100" w:afterAutospacing="1"/>
              <w:rPr>
                <w:sz w:val="18"/>
              </w:rPr>
            </w:pPr>
            <w:r w:rsidRPr="00C33FF9">
              <w:rPr>
                <w:sz w:val="18"/>
              </w:rPr>
              <w:t>Production and consumption of these CFCs have fallen to zero.</w:t>
            </w:r>
          </w:p>
        </w:tc>
      </w:tr>
      <w:tr w:rsidR="00192CD6" w:rsidRPr="00816DDC" w14:paraId="15803A8A" w14:textId="77777777" w:rsidTr="0015746F">
        <w:trPr>
          <w:trHeight w:val="305"/>
        </w:trPr>
        <w:tc>
          <w:tcPr>
            <w:tcW w:w="2489" w:type="dxa"/>
          </w:tcPr>
          <w:p w14:paraId="244D39DF" w14:textId="77777777" w:rsidR="00192CD6" w:rsidRPr="00C33FF9" w:rsidRDefault="00192CD6" w:rsidP="00C33FF9">
            <w:pPr>
              <w:spacing w:before="100" w:beforeAutospacing="1" w:after="100" w:afterAutospacing="1"/>
              <w:rPr>
                <w:sz w:val="18"/>
              </w:rPr>
            </w:pPr>
            <w:r w:rsidRPr="00C33FF9">
              <w:rPr>
                <w:sz w:val="18"/>
              </w:rPr>
              <w:t>CTC</w:t>
            </w:r>
          </w:p>
        </w:tc>
        <w:tc>
          <w:tcPr>
            <w:tcW w:w="2299" w:type="dxa"/>
          </w:tcPr>
          <w:p w14:paraId="41B1DB6E" w14:textId="77777777" w:rsidR="00192CD6" w:rsidRPr="00C33FF9" w:rsidRDefault="00192CD6" w:rsidP="00C33FF9">
            <w:pPr>
              <w:spacing w:before="100" w:beforeAutospacing="1" w:after="100" w:afterAutospacing="1"/>
              <w:rPr>
                <w:sz w:val="18"/>
              </w:rPr>
            </w:pPr>
            <w:r w:rsidRPr="00C33FF9">
              <w:rPr>
                <w:sz w:val="18"/>
              </w:rPr>
              <w:t>Perchloroethylene</w:t>
            </w:r>
          </w:p>
        </w:tc>
        <w:tc>
          <w:tcPr>
            <w:tcW w:w="2160" w:type="dxa"/>
          </w:tcPr>
          <w:p w14:paraId="5F3BE65F" w14:textId="77777777" w:rsidR="00192CD6" w:rsidRPr="00C33FF9" w:rsidRDefault="00192CD6" w:rsidP="00C33FF9">
            <w:pPr>
              <w:spacing w:before="100" w:beforeAutospacing="1" w:after="100" w:afterAutospacing="1"/>
              <w:rPr>
                <w:sz w:val="18"/>
              </w:rPr>
            </w:pPr>
          </w:p>
        </w:tc>
        <w:tc>
          <w:tcPr>
            <w:tcW w:w="2385" w:type="dxa"/>
          </w:tcPr>
          <w:p w14:paraId="1801BB6E" w14:textId="77777777" w:rsidR="00192CD6" w:rsidRPr="00C33FF9" w:rsidRDefault="00192CD6" w:rsidP="00C33FF9">
            <w:pPr>
              <w:keepNext/>
              <w:tabs>
                <w:tab w:val="left" w:pos="230"/>
                <w:tab w:val="left" w:pos="1877"/>
              </w:tabs>
              <w:spacing w:before="100" w:beforeAutospacing="1" w:after="100" w:afterAutospacing="1"/>
              <w:outlineLvl w:val="5"/>
              <w:rPr>
                <w:sz w:val="18"/>
              </w:rPr>
            </w:pPr>
            <w:r w:rsidRPr="00C33FF9">
              <w:rPr>
                <w:sz w:val="18"/>
              </w:rPr>
              <w:t>High volume use.</w:t>
            </w:r>
          </w:p>
        </w:tc>
      </w:tr>
      <w:tr w:rsidR="00192CD6" w:rsidRPr="00816DDC" w14:paraId="093E649C" w14:textId="77777777" w:rsidTr="0015746F">
        <w:trPr>
          <w:trHeight w:val="401"/>
        </w:trPr>
        <w:tc>
          <w:tcPr>
            <w:tcW w:w="2489" w:type="dxa"/>
          </w:tcPr>
          <w:p w14:paraId="73526FDC" w14:textId="77777777" w:rsidR="00192CD6" w:rsidRPr="00C33FF9" w:rsidRDefault="00192CD6" w:rsidP="00C33FF9">
            <w:pPr>
              <w:spacing w:before="100" w:beforeAutospacing="1" w:after="100" w:afterAutospacing="1"/>
              <w:rPr>
                <w:sz w:val="18"/>
              </w:rPr>
            </w:pPr>
            <w:r w:rsidRPr="00C33FF9">
              <w:rPr>
                <w:sz w:val="18"/>
              </w:rPr>
              <w:t>CTC</w:t>
            </w:r>
          </w:p>
        </w:tc>
        <w:tc>
          <w:tcPr>
            <w:tcW w:w="2299" w:type="dxa"/>
          </w:tcPr>
          <w:p w14:paraId="3C9A3FCF" w14:textId="77777777" w:rsidR="00192CD6" w:rsidRPr="00C33FF9" w:rsidRDefault="00192CD6" w:rsidP="00C33FF9">
            <w:pPr>
              <w:spacing w:before="100" w:beforeAutospacing="1" w:after="100" w:afterAutospacing="1"/>
              <w:rPr>
                <w:sz w:val="18"/>
              </w:rPr>
            </w:pPr>
            <w:r w:rsidRPr="00C33FF9">
              <w:rPr>
                <w:sz w:val="18"/>
              </w:rPr>
              <w:t>Chlorocarbons</w:t>
            </w:r>
          </w:p>
        </w:tc>
        <w:tc>
          <w:tcPr>
            <w:tcW w:w="2160" w:type="dxa"/>
          </w:tcPr>
          <w:p w14:paraId="048ECFD4" w14:textId="77777777" w:rsidR="00192CD6" w:rsidRPr="00C33FF9" w:rsidRDefault="00192CD6" w:rsidP="00C33FF9">
            <w:pPr>
              <w:spacing w:before="100" w:beforeAutospacing="1" w:after="100" w:afterAutospacing="1"/>
              <w:rPr>
                <w:sz w:val="18"/>
              </w:rPr>
            </w:pPr>
            <w:r w:rsidRPr="00C33FF9">
              <w:rPr>
                <w:sz w:val="18"/>
              </w:rPr>
              <w:t>Feedstocks for production of HFC-245fa and some new HFOs.</w:t>
            </w:r>
          </w:p>
        </w:tc>
        <w:tc>
          <w:tcPr>
            <w:tcW w:w="2385" w:type="dxa"/>
          </w:tcPr>
          <w:p w14:paraId="75C7B381" w14:textId="77777777" w:rsidR="00192CD6" w:rsidRPr="00C33FF9" w:rsidRDefault="00192CD6" w:rsidP="00C33FF9">
            <w:pPr>
              <w:spacing w:before="100" w:beforeAutospacing="1" w:after="100" w:afterAutospacing="1"/>
              <w:rPr>
                <w:sz w:val="18"/>
              </w:rPr>
            </w:pPr>
            <w:r w:rsidRPr="00C33FF9">
              <w:rPr>
                <w:sz w:val="18"/>
              </w:rPr>
              <w:t xml:space="preserve">HFOs are low-GWP fluorocarbons used in refrigeration, air conditioning and insulation. </w:t>
            </w:r>
          </w:p>
        </w:tc>
      </w:tr>
      <w:tr w:rsidR="00192CD6" w:rsidRPr="00816DDC" w14:paraId="606C4F72" w14:textId="77777777" w:rsidTr="0015746F">
        <w:trPr>
          <w:trHeight w:val="411"/>
        </w:trPr>
        <w:tc>
          <w:tcPr>
            <w:tcW w:w="2489" w:type="dxa"/>
          </w:tcPr>
          <w:p w14:paraId="39A67B2E" w14:textId="77777777" w:rsidR="00192CD6" w:rsidRPr="00C33FF9" w:rsidRDefault="00192CD6" w:rsidP="00C33FF9">
            <w:pPr>
              <w:spacing w:before="100" w:beforeAutospacing="1" w:after="100" w:afterAutospacing="1"/>
              <w:rPr>
                <w:sz w:val="18"/>
              </w:rPr>
            </w:pPr>
            <w:r w:rsidRPr="00C33FF9">
              <w:rPr>
                <w:sz w:val="18"/>
              </w:rPr>
              <w:t>CTC</w:t>
            </w:r>
          </w:p>
        </w:tc>
        <w:tc>
          <w:tcPr>
            <w:tcW w:w="2299" w:type="dxa"/>
          </w:tcPr>
          <w:p w14:paraId="42D06AA1" w14:textId="77777777" w:rsidR="00192CD6" w:rsidRPr="00C33FF9" w:rsidRDefault="00192CD6" w:rsidP="00192CD6">
            <w:pPr>
              <w:spacing w:after="0"/>
              <w:rPr>
                <w:sz w:val="18"/>
              </w:rPr>
            </w:pPr>
            <w:r w:rsidRPr="00C33FF9">
              <w:rPr>
                <w:sz w:val="18"/>
              </w:rPr>
              <w:t>Intermediates</w:t>
            </w:r>
          </w:p>
        </w:tc>
        <w:tc>
          <w:tcPr>
            <w:tcW w:w="2160" w:type="dxa"/>
          </w:tcPr>
          <w:p w14:paraId="509770F0" w14:textId="77777777" w:rsidR="00192CD6" w:rsidRPr="00C33FF9" w:rsidRDefault="00192CD6" w:rsidP="00192CD6">
            <w:pPr>
              <w:spacing w:after="0"/>
              <w:rPr>
                <w:sz w:val="18"/>
              </w:rPr>
            </w:pPr>
            <w:r w:rsidRPr="00C33FF9">
              <w:rPr>
                <w:sz w:val="18"/>
              </w:rPr>
              <w:t>Pyrethroid pesticides.</w:t>
            </w:r>
          </w:p>
        </w:tc>
        <w:tc>
          <w:tcPr>
            <w:tcW w:w="2385" w:type="dxa"/>
          </w:tcPr>
          <w:p w14:paraId="5CD487D8" w14:textId="77777777" w:rsidR="00192CD6" w:rsidRPr="00C33FF9" w:rsidRDefault="00192CD6" w:rsidP="00C33FF9">
            <w:pPr>
              <w:spacing w:after="0"/>
              <w:rPr>
                <w:sz w:val="18"/>
              </w:rPr>
            </w:pPr>
            <w:r w:rsidRPr="00C33FF9">
              <w:rPr>
                <w:sz w:val="18"/>
              </w:rPr>
              <w:t>CCl</w:t>
            </w:r>
            <w:r w:rsidRPr="00C33FF9">
              <w:rPr>
                <w:sz w:val="18"/>
                <w:vertAlign w:val="subscript"/>
              </w:rPr>
              <w:t>3</w:t>
            </w:r>
            <w:r w:rsidRPr="00C33FF9">
              <w:rPr>
                <w:sz w:val="18"/>
              </w:rPr>
              <w:t xml:space="preserve"> groups in molecules of intermediates become =CCl</w:t>
            </w:r>
            <w:r w:rsidRPr="00C33FF9">
              <w:rPr>
                <w:sz w:val="18"/>
                <w:vertAlign w:val="subscript"/>
              </w:rPr>
              <w:t>2</w:t>
            </w:r>
            <w:r w:rsidRPr="00C33FF9">
              <w:rPr>
                <w:sz w:val="18"/>
              </w:rPr>
              <w:t xml:space="preserve"> groups in pyrethroids.</w:t>
            </w:r>
          </w:p>
        </w:tc>
      </w:tr>
      <w:tr w:rsidR="00192CD6" w:rsidRPr="00816DDC" w14:paraId="426C9FFC" w14:textId="77777777" w:rsidTr="0015746F">
        <w:trPr>
          <w:trHeight w:val="219"/>
        </w:trPr>
        <w:tc>
          <w:tcPr>
            <w:tcW w:w="2489" w:type="dxa"/>
          </w:tcPr>
          <w:p w14:paraId="3630AA6C" w14:textId="77777777" w:rsidR="00192CD6" w:rsidRPr="00C33FF9" w:rsidRDefault="00192CD6" w:rsidP="00C33FF9">
            <w:pPr>
              <w:spacing w:before="100" w:beforeAutospacing="1" w:after="100" w:afterAutospacing="1"/>
              <w:rPr>
                <w:sz w:val="18"/>
              </w:rPr>
            </w:pPr>
            <w:r w:rsidRPr="00C33FF9">
              <w:rPr>
                <w:sz w:val="18"/>
              </w:rPr>
              <w:t>CTC (with 2-chloropropene)</w:t>
            </w:r>
          </w:p>
        </w:tc>
        <w:tc>
          <w:tcPr>
            <w:tcW w:w="2299" w:type="dxa"/>
          </w:tcPr>
          <w:p w14:paraId="0406BB31" w14:textId="77777777" w:rsidR="00192CD6" w:rsidRPr="00C33FF9" w:rsidRDefault="00192CD6" w:rsidP="00C33FF9">
            <w:pPr>
              <w:spacing w:before="100" w:beforeAutospacing="1" w:after="100" w:afterAutospacing="1"/>
              <w:rPr>
                <w:sz w:val="18"/>
              </w:rPr>
            </w:pPr>
            <w:r w:rsidRPr="00C33FF9">
              <w:rPr>
                <w:sz w:val="18"/>
              </w:rPr>
              <w:t>Intermediates</w:t>
            </w:r>
          </w:p>
        </w:tc>
        <w:tc>
          <w:tcPr>
            <w:tcW w:w="2160" w:type="dxa"/>
          </w:tcPr>
          <w:p w14:paraId="114804FF" w14:textId="77777777" w:rsidR="00192CD6" w:rsidRPr="00C33FF9" w:rsidRDefault="00192CD6" w:rsidP="00C33FF9">
            <w:pPr>
              <w:spacing w:before="100" w:beforeAutospacing="1" w:after="100" w:afterAutospacing="1"/>
              <w:rPr>
                <w:sz w:val="18"/>
              </w:rPr>
            </w:pPr>
            <w:r w:rsidRPr="00C33FF9">
              <w:rPr>
                <w:sz w:val="18"/>
              </w:rPr>
              <w:t>Production of HFC-365mfc</w:t>
            </w:r>
          </w:p>
        </w:tc>
        <w:tc>
          <w:tcPr>
            <w:tcW w:w="2385" w:type="dxa"/>
          </w:tcPr>
          <w:p w14:paraId="12F454F9" w14:textId="77777777" w:rsidR="00192CD6" w:rsidRPr="00C33FF9" w:rsidRDefault="00192CD6" w:rsidP="00C33FF9">
            <w:pPr>
              <w:spacing w:before="100" w:beforeAutospacing="1" w:after="100" w:afterAutospacing="1"/>
              <w:rPr>
                <w:sz w:val="18"/>
              </w:rPr>
            </w:pPr>
          </w:p>
        </w:tc>
      </w:tr>
      <w:tr w:rsidR="00192CD6" w:rsidRPr="00816DDC" w14:paraId="6B58161A" w14:textId="77777777" w:rsidTr="0015746F">
        <w:trPr>
          <w:trHeight w:val="279"/>
        </w:trPr>
        <w:tc>
          <w:tcPr>
            <w:tcW w:w="2489" w:type="dxa"/>
          </w:tcPr>
          <w:p w14:paraId="5C4263FB" w14:textId="77777777" w:rsidR="00192CD6" w:rsidRPr="00C33FF9" w:rsidRDefault="00192CD6" w:rsidP="00C33FF9">
            <w:pPr>
              <w:spacing w:before="100" w:beforeAutospacing="1" w:after="100" w:afterAutospacing="1"/>
              <w:rPr>
                <w:sz w:val="18"/>
              </w:rPr>
            </w:pPr>
            <w:r w:rsidRPr="00C33FF9">
              <w:rPr>
                <w:sz w:val="18"/>
              </w:rPr>
              <w:t>CTC (with vinylidene chloride or fluoride)</w:t>
            </w:r>
          </w:p>
        </w:tc>
        <w:tc>
          <w:tcPr>
            <w:tcW w:w="2299" w:type="dxa"/>
          </w:tcPr>
          <w:p w14:paraId="7A02816D" w14:textId="77777777" w:rsidR="00192CD6" w:rsidRPr="00C33FF9" w:rsidRDefault="00192CD6" w:rsidP="00C33FF9">
            <w:pPr>
              <w:spacing w:before="100" w:beforeAutospacing="1" w:after="100" w:afterAutospacing="1"/>
              <w:rPr>
                <w:sz w:val="18"/>
              </w:rPr>
            </w:pPr>
            <w:r w:rsidRPr="00C33FF9">
              <w:rPr>
                <w:sz w:val="18"/>
              </w:rPr>
              <w:t>HFC-236fa</w:t>
            </w:r>
          </w:p>
        </w:tc>
        <w:tc>
          <w:tcPr>
            <w:tcW w:w="2160" w:type="dxa"/>
          </w:tcPr>
          <w:p w14:paraId="4D2C2C5B" w14:textId="77777777" w:rsidR="00192CD6" w:rsidRPr="00C33FF9" w:rsidRDefault="00192CD6" w:rsidP="00C33FF9">
            <w:pPr>
              <w:spacing w:before="100" w:beforeAutospacing="1" w:after="100" w:afterAutospacing="1"/>
              <w:rPr>
                <w:sz w:val="18"/>
              </w:rPr>
            </w:pPr>
          </w:p>
        </w:tc>
        <w:tc>
          <w:tcPr>
            <w:tcW w:w="2385" w:type="dxa"/>
          </w:tcPr>
          <w:p w14:paraId="32AE7F58" w14:textId="77777777" w:rsidR="00192CD6" w:rsidRPr="00C33FF9" w:rsidRDefault="00192CD6" w:rsidP="00C33FF9">
            <w:pPr>
              <w:spacing w:before="100" w:beforeAutospacing="1" w:after="100" w:afterAutospacing="1"/>
              <w:rPr>
                <w:sz w:val="18"/>
              </w:rPr>
            </w:pPr>
          </w:p>
        </w:tc>
      </w:tr>
      <w:tr w:rsidR="00192CD6" w:rsidRPr="00816DDC" w14:paraId="54DA9431" w14:textId="77777777" w:rsidTr="0015746F">
        <w:trPr>
          <w:trHeight w:val="459"/>
        </w:trPr>
        <w:tc>
          <w:tcPr>
            <w:tcW w:w="2489" w:type="dxa"/>
          </w:tcPr>
          <w:p w14:paraId="2D54DA0F" w14:textId="77777777" w:rsidR="00192CD6" w:rsidRPr="00C33FF9" w:rsidRDefault="00192CD6" w:rsidP="00C33FF9">
            <w:pPr>
              <w:spacing w:before="100" w:beforeAutospacing="1" w:after="100" w:afterAutospacing="1"/>
              <w:rPr>
                <w:sz w:val="18"/>
              </w:rPr>
            </w:pPr>
            <w:r w:rsidRPr="00C33FF9">
              <w:rPr>
                <w:sz w:val="18"/>
              </w:rPr>
              <w:t>1,1,1-trichloroethane</w:t>
            </w:r>
          </w:p>
        </w:tc>
        <w:tc>
          <w:tcPr>
            <w:tcW w:w="2299" w:type="dxa"/>
          </w:tcPr>
          <w:p w14:paraId="2B3E399B" w14:textId="77777777" w:rsidR="00192CD6" w:rsidRPr="00C33FF9" w:rsidRDefault="00192CD6" w:rsidP="00C33FF9">
            <w:pPr>
              <w:spacing w:before="100" w:beforeAutospacing="1" w:after="100" w:afterAutospacing="1"/>
              <w:rPr>
                <w:sz w:val="18"/>
              </w:rPr>
            </w:pPr>
            <w:r w:rsidRPr="00C33FF9">
              <w:rPr>
                <w:sz w:val="18"/>
              </w:rPr>
              <w:t>HCFC-141b, -142b, and HFC-143a</w:t>
            </w:r>
          </w:p>
        </w:tc>
        <w:tc>
          <w:tcPr>
            <w:tcW w:w="2160" w:type="dxa"/>
          </w:tcPr>
          <w:p w14:paraId="0D34C614" w14:textId="77777777" w:rsidR="00192CD6" w:rsidRPr="00C33FF9" w:rsidRDefault="00192CD6" w:rsidP="00C33FF9">
            <w:pPr>
              <w:spacing w:before="100" w:beforeAutospacing="1" w:after="100" w:afterAutospacing="1"/>
              <w:rPr>
                <w:sz w:val="18"/>
              </w:rPr>
            </w:pPr>
          </w:p>
        </w:tc>
        <w:tc>
          <w:tcPr>
            <w:tcW w:w="2385" w:type="dxa"/>
          </w:tcPr>
          <w:p w14:paraId="3C9FADC8" w14:textId="77777777" w:rsidR="00192CD6" w:rsidRPr="00C33FF9" w:rsidRDefault="00192CD6" w:rsidP="00192CD6">
            <w:pPr>
              <w:spacing w:after="0"/>
              <w:rPr>
                <w:sz w:val="18"/>
              </w:rPr>
            </w:pPr>
            <w:r w:rsidRPr="00C33FF9">
              <w:rPr>
                <w:sz w:val="18"/>
              </w:rPr>
              <w:t>Note that an alternative process uses 1</w:t>
            </w:r>
            <w:proofErr w:type="gramStart"/>
            <w:r w:rsidRPr="00C33FF9">
              <w:rPr>
                <w:sz w:val="18"/>
              </w:rPr>
              <w:t>,1</w:t>
            </w:r>
            <w:proofErr w:type="gramEnd"/>
            <w:r w:rsidRPr="00C33FF9">
              <w:rPr>
                <w:sz w:val="18"/>
              </w:rPr>
              <w:t>-dichloroethylene (vinylidene chloride) as a feedstock, which is not an ODS.</w:t>
            </w:r>
          </w:p>
        </w:tc>
      </w:tr>
      <w:tr w:rsidR="00192CD6" w:rsidRPr="00816DDC" w14:paraId="5CD4B5AD" w14:textId="77777777" w:rsidTr="0015746F">
        <w:trPr>
          <w:trHeight w:val="207"/>
        </w:trPr>
        <w:tc>
          <w:tcPr>
            <w:tcW w:w="2489" w:type="dxa"/>
          </w:tcPr>
          <w:p w14:paraId="60740107" w14:textId="77777777" w:rsidR="00192CD6" w:rsidRPr="00C33FF9" w:rsidRDefault="00192CD6" w:rsidP="00C33FF9">
            <w:pPr>
              <w:spacing w:before="100" w:beforeAutospacing="1" w:after="100" w:afterAutospacing="1"/>
              <w:rPr>
                <w:sz w:val="18"/>
              </w:rPr>
            </w:pPr>
            <w:r w:rsidRPr="00C33FF9">
              <w:rPr>
                <w:sz w:val="18"/>
              </w:rPr>
              <w:t>HCFC-21</w:t>
            </w:r>
          </w:p>
        </w:tc>
        <w:tc>
          <w:tcPr>
            <w:tcW w:w="2299" w:type="dxa"/>
          </w:tcPr>
          <w:p w14:paraId="5D585297" w14:textId="77777777" w:rsidR="00192CD6" w:rsidRPr="00C33FF9" w:rsidRDefault="00192CD6" w:rsidP="00C33FF9">
            <w:pPr>
              <w:spacing w:before="100" w:beforeAutospacing="1" w:after="100" w:afterAutospacing="1"/>
              <w:rPr>
                <w:sz w:val="18"/>
              </w:rPr>
            </w:pPr>
            <w:r w:rsidRPr="00C33FF9">
              <w:rPr>
                <w:sz w:val="18"/>
              </w:rPr>
              <w:t>HCFC-225</w:t>
            </w:r>
          </w:p>
        </w:tc>
        <w:tc>
          <w:tcPr>
            <w:tcW w:w="2160" w:type="dxa"/>
          </w:tcPr>
          <w:p w14:paraId="20655E06" w14:textId="77777777" w:rsidR="00192CD6" w:rsidRPr="00C33FF9" w:rsidRDefault="00192CD6" w:rsidP="00C33FF9">
            <w:pPr>
              <w:spacing w:before="100" w:beforeAutospacing="1" w:after="100" w:afterAutospacing="1"/>
              <w:rPr>
                <w:sz w:val="18"/>
              </w:rPr>
            </w:pPr>
          </w:p>
        </w:tc>
        <w:tc>
          <w:tcPr>
            <w:tcW w:w="2385" w:type="dxa"/>
          </w:tcPr>
          <w:p w14:paraId="6BD4C69F" w14:textId="77777777" w:rsidR="00192CD6" w:rsidRPr="00C33FF9" w:rsidRDefault="00192CD6" w:rsidP="00C33FF9">
            <w:pPr>
              <w:spacing w:before="100" w:beforeAutospacing="1" w:after="100" w:afterAutospacing="1"/>
              <w:rPr>
                <w:sz w:val="18"/>
              </w:rPr>
            </w:pPr>
            <w:r w:rsidRPr="00C33FF9">
              <w:rPr>
                <w:sz w:val="18"/>
              </w:rPr>
              <w:t>Product used as solvent.</w:t>
            </w:r>
          </w:p>
        </w:tc>
      </w:tr>
      <w:tr w:rsidR="00192CD6" w:rsidRPr="00816DDC" w14:paraId="3EC4E563" w14:textId="77777777" w:rsidTr="0015746F">
        <w:trPr>
          <w:trHeight w:val="267"/>
        </w:trPr>
        <w:tc>
          <w:tcPr>
            <w:tcW w:w="2489" w:type="dxa"/>
          </w:tcPr>
          <w:p w14:paraId="674A87AF" w14:textId="77777777" w:rsidR="00192CD6" w:rsidRPr="00C33FF9" w:rsidRDefault="00192CD6" w:rsidP="00C33FF9">
            <w:pPr>
              <w:spacing w:before="100" w:beforeAutospacing="1" w:after="100" w:afterAutospacing="1"/>
              <w:rPr>
                <w:sz w:val="18"/>
              </w:rPr>
            </w:pPr>
            <w:r w:rsidRPr="00C33FF9">
              <w:rPr>
                <w:sz w:val="18"/>
              </w:rPr>
              <w:t>HCFC-22</w:t>
            </w:r>
          </w:p>
        </w:tc>
        <w:tc>
          <w:tcPr>
            <w:tcW w:w="2299" w:type="dxa"/>
          </w:tcPr>
          <w:p w14:paraId="31443C9C" w14:textId="77777777" w:rsidR="00192CD6" w:rsidRPr="00C33FF9" w:rsidRDefault="00192CD6" w:rsidP="00C33FF9">
            <w:pPr>
              <w:spacing w:before="100" w:beforeAutospacing="1" w:after="100" w:afterAutospacing="1"/>
              <w:rPr>
                <w:sz w:val="18"/>
              </w:rPr>
            </w:pPr>
            <w:r w:rsidRPr="00C33FF9">
              <w:rPr>
                <w:sz w:val="18"/>
              </w:rPr>
              <w:t>Tetrafluoroethylene</w:t>
            </w:r>
          </w:p>
        </w:tc>
        <w:tc>
          <w:tcPr>
            <w:tcW w:w="2160" w:type="dxa"/>
          </w:tcPr>
          <w:p w14:paraId="21D60610" w14:textId="77777777" w:rsidR="00192CD6" w:rsidRPr="00C33FF9" w:rsidRDefault="00192CD6" w:rsidP="00C33FF9">
            <w:pPr>
              <w:spacing w:before="100" w:beforeAutospacing="1" w:after="100" w:afterAutospacing="1"/>
              <w:rPr>
                <w:sz w:val="18"/>
              </w:rPr>
            </w:pPr>
            <w:r w:rsidRPr="00C33FF9">
              <w:rPr>
                <w:sz w:val="18"/>
              </w:rPr>
              <w:t>Polymerized to homopolymer (PTFE) and also co-polymers</w:t>
            </w:r>
          </w:p>
        </w:tc>
        <w:tc>
          <w:tcPr>
            <w:tcW w:w="2385" w:type="dxa"/>
          </w:tcPr>
          <w:p w14:paraId="2AB3620A" w14:textId="77777777" w:rsidR="00192CD6" w:rsidRPr="00C33FF9" w:rsidRDefault="00192CD6" w:rsidP="00C33FF9">
            <w:pPr>
              <w:spacing w:before="100" w:beforeAutospacing="1" w:after="100" w:afterAutospacing="1"/>
              <w:rPr>
                <w:sz w:val="18"/>
              </w:rPr>
            </w:pPr>
            <w:r w:rsidRPr="00C33FF9">
              <w:rPr>
                <w:sz w:val="18"/>
              </w:rPr>
              <w:t>Very high-volume use. Work has been done for decades to find an alternative commercial route, without success.</w:t>
            </w:r>
          </w:p>
        </w:tc>
      </w:tr>
      <w:tr w:rsidR="00192CD6" w:rsidRPr="00816DDC" w14:paraId="26A3159D" w14:textId="77777777" w:rsidTr="0015746F">
        <w:trPr>
          <w:trHeight w:val="273"/>
        </w:trPr>
        <w:tc>
          <w:tcPr>
            <w:tcW w:w="2489" w:type="dxa"/>
          </w:tcPr>
          <w:p w14:paraId="22A0D2F2" w14:textId="77777777" w:rsidR="00192CD6" w:rsidRPr="00C33FF9" w:rsidRDefault="00192CD6" w:rsidP="00C33FF9">
            <w:pPr>
              <w:spacing w:before="100" w:beforeAutospacing="1" w:after="100" w:afterAutospacing="1"/>
              <w:rPr>
                <w:sz w:val="18"/>
              </w:rPr>
            </w:pPr>
            <w:r w:rsidRPr="00C33FF9">
              <w:rPr>
                <w:sz w:val="18"/>
              </w:rPr>
              <w:t>HCFC-123</w:t>
            </w:r>
          </w:p>
        </w:tc>
        <w:tc>
          <w:tcPr>
            <w:tcW w:w="2299" w:type="dxa"/>
          </w:tcPr>
          <w:p w14:paraId="0EC94870" w14:textId="77777777" w:rsidR="00192CD6" w:rsidRPr="00C33FF9" w:rsidRDefault="00192CD6" w:rsidP="00C33FF9">
            <w:pPr>
              <w:spacing w:before="100" w:beforeAutospacing="1" w:after="100" w:afterAutospacing="1"/>
              <w:rPr>
                <w:sz w:val="18"/>
              </w:rPr>
            </w:pPr>
            <w:r w:rsidRPr="00C33FF9">
              <w:rPr>
                <w:sz w:val="18"/>
              </w:rPr>
              <w:t>HFC-125</w:t>
            </w:r>
          </w:p>
        </w:tc>
        <w:tc>
          <w:tcPr>
            <w:tcW w:w="2160" w:type="dxa"/>
          </w:tcPr>
          <w:p w14:paraId="5AEC9ED8" w14:textId="77777777" w:rsidR="00192CD6" w:rsidRPr="00C33FF9" w:rsidRDefault="00192CD6" w:rsidP="00C33FF9">
            <w:pPr>
              <w:spacing w:before="100" w:beforeAutospacing="1" w:after="100" w:afterAutospacing="1"/>
              <w:rPr>
                <w:sz w:val="18"/>
              </w:rPr>
            </w:pPr>
          </w:p>
        </w:tc>
        <w:tc>
          <w:tcPr>
            <w:tcW w:w="2385" w:type="dxa"/>
          </w:tcPr>
          <w:p w14:paraId="42969A1D" w14:textId="77777777" w:rsidR="00192CD6" w:rsidRPr="00C33FF9" w:rsidRDefault="00192CD6" w:rsidP="00C33FF9">
            <w:pPr>
              <w:spacing w:before="100" w:beforeAutospacing="1" w:after="100" w:afterAutospacing="1"/>
              <w:rPr>
                <w:sz w:val="18"/>
              </w:rPr>
            </w:pPr>
          </w:p>
        </w:tc>
      </w:tr>
      <w:tr w:rsidR="00192CD6" w:rsidRPr="00816DDC" w14:paraId="53A9A576" w14:textId="77777777" w:rsidTr="0015746F">
        <w:trPr>
          <w:trHeight w:val="405"/>
        </w:trPr>
        <w:tc>
          <w:tcPr>
            <w:tcW w:w="2489" w:type="dxa"/>
          </w:tcPr>
          <w:p w14:paraId="59810206" w14:textId="77777777" w:rsidR="00192CD6" w:rsidRPr="00C33FF9" w:rsidRDefault="00192CD6" w:rsidP="00C33FF9">
            <w:pPr>
              <w:spacing w:before="100" w:beforeAutospacing="1" w:after="100" w:afterAutospacing="1"/>
              <w:rPr>
                <w:sz w:val="18"/>
              </w:rPr>
            </w:pPr>
            <w:r w:rsidRPr="00C33FF9">
              <w:rPr>
                <w:sz w:val="18"/>
              </w:rPr>
              <w:t>HCFC-123, HCFC-133a and Halon-1301</w:t>
            </w:r>
          </w:p>
        </w:tc>
        <w:tc>
          <w:tcPr>
            <w:tcW w:w="2299" w:type="dxa"/>
          </w:tcPr>
          <w:p w14:paraId="45377FCA" w14:textId="77777777" w:rsidR="00192CD6" w:rsidRPr="00C33FF9" w:rsidRDefault="00192CD6" w:rsidP="00C33FF9">
            <w:pPr>
              <w:spacing w:before="100" w:beforeAutospacing="1" w:after="100" w:afterAutospacing="1"/>
              <w:rPr>
                <w:sz w:val="18"/>
              </w:rPr>
            </w:pPr>
            <w:r w:rsidRPr="00C33FF9">
              <w:rPr>
                <w:sz w:val="18"/>
              </w:rPr>
              <w:t>Production of pharmaceuticals, TFA and agrichemicals</w:t>
            </w:r>
          </w:p>
        </w:tc>
        <w:tc>
          <w:tcPr>
            <w:tcW w:w="2160" w:type="dxa"/>
          </w:tcPr>
          <w:p w14:paraId="7D2E3987" w14:textId="77777777" w:rsidR="00192CD6" w:rsidRPr="00C33FF9" w:rsidRDefault="00192CD6" w:rsidP="00C33FF9">
            <w:pPr>
              <w:spacing w:before="100" w:beforeAutospacing="1" w:after="100" w:afterAutospacing="1"/>
              <w:rPr>
                <w:sz w:val="18"/>
              </w:rPr>
            </w:pPr>
          </w:p>
        </w:tc>
        <w:tc>
          <w:tcPr>
            <w:tcW w:w="2385" w:type="dxa"/>
          </w:tcPr>
          <w:p w14:paraId="7161E561" w14:textId="77777777" w:rsidR="00192CD6" w:rsidRPr="00C33FF9" w:rsidRDefault="00192CD6" w:rsidP="00C33FF9">
            <w:pPr>
              <w:spacing w:before="100" w:beforeAutospacing="1" w:after="100" w:afterAutospacing="1"/>
              <w:rPr>
                <w:sz w:val="18"/>
              </w:rPr>
            </w:pPr>
          </w:p>
        </w:tc>
      </w:tr>
      <w:tr w:rsidR="00192CD6" w:rsidRPr="00816DDC" w14:paraId="36FE352F" w14:textId="77777777" w:rsidTr="0015746F">
        <w:trPr>
          <w:trHeight w:val="283"/>
        </w:trPr>
        <w:tc>
          <w:tcPr>
            <w:tcW w:w="2489" w:type="dxa"/>
          </w:tcPr>
          <w:p w14:paraId="2E3D7703" w14:textId="77777777" w:rsidR="00192CD6" w:rsidRPr="00C33FF9" w:rsidRDefault="00192CD6" w:rsidP="00C33FF9">
            <w:pPr>
              <w:spacing w:before="100" w:beforeAutospacing="1" w:after="100" w:afterAutospacing="1"/>
              <w:rPr>
                <w:sz w:val="18"/>
              </w:rPr>
            </w:pPr>
            <w:r w:rsidRPr="00C33FF9">
              <w:rPr>
                <w:sz w:val="18"/>
              </w:rPr>
              <w:t>HCFC-124</w:t>
            </w:r>
          </w:p>
        </w:tc>
        <w:tc>
          <w:tcPr>
            <w:tcW w:w="2299" w:type="dxa"/>
          </w:tcPr>
          <w:p w14:paraId="070B6B16" w14:textId="77777777" w:rsidR="00192CD6" w:rsidRPr="00C33FF9" w:rsidRDefault="00192CD6" w:rsidP="00C33FF9">
            <w:pPr>
              <w:spacing w:before="100" w:beforeAutospacing="1" w:after="100" w:afterAutospacing="1"/>
              <w:rPr>
                <w:sz w:val="18"/>
              </w:rPr>
            </w:pPr>
            <w:r w:rsidRPr="00C33FF9">
              <w:rPr>
                <w:sz w:val="18"/>
              </w:rPr>
              <w:t>HFC-125</w:t>
            </w:r>
          </w:p>
        </w:tc>
        <w:tc>
          <w:tcPr>
            <w:tcW w:w="2160" w:type="dxa"/>
          </w:tcPr>
          <w:p w14:paraId="5C17D8EC" w14:textId="77777777" w:rsidR="00192CD6" w:rsidRPr="00C33FF9" w:rsidRDefault="00192CD6" w:rsidP="00C33FF9">
            <w:pPr>
              <w:spacing w:before="100" w:beforeAutospacing="1" w:after="100" w:afterAutospacing="1"/>
              <w:rPr>
                <w:sz w:val="18"/>
              </w:rPr>
            </w:pPr>
          </w:p>
        </w:tc>
        <w:tc>
          <w:tcPr>
            <w:tcW w:w="2385" w:type="dxa"/>
          </w:tcPr>
          <w:p w14:paraId="19E9BCD7" w14:textId="77777777" w:rsidR="00192CD6" w:rsidRPr="00C33FF9" w:rsidRDefault="00192CD6" w:rsidP="00C33FF9">
            <w:pPr>
              <w:spacing w:before="100" w:beforeAutospacing="1" w:after="100" w:afterAutospacing="1"/>
              <w:rPr>
                <w:sz w:val="18"/>
              </w:rPr>
            </w:pPr>
          </w:p>
        </w:tc>
      </w:tr>
      <w:tr w:rsidR="00192CD6" w:rsidRPr="00816DDC" w14:paraId="070478F2" w14:textId="77777777" w:rsidTr="0015746F">
        <w:trPr>
          <w:trHeight w:val="401"/>
        </w:trPr>
        <w:tc>
          <w:tcPr>
            <w:tcW w:w="2489" w:type="dxa"/>
          </w:tcPr>
          <w:p w14:paraId="514B24F0" w14:textId="77777777" w:rsidR="00192CD6" w:rsidRPr="00C33FF9" w:rsidRDefault="00192CD6" w:rsidP="00C33FF9">
            <w:pPr>
              <w:keepNext/>
              <w:tabs>
                <w:tab w:val="left" w:pos="230"/>
                <w:tab w:val="left" w:pos="1877"/>
              </w:tabs>
              <w:spacing w:before="100" w:beforeAutospacing="1" w:after="100" w:afterAutospacing="1"/>
              <w:outlineLvl w:val="5"/>
              <w:rPr>
                <w:sz w:val="18"/>
              </w:rPr>
            </w:pPr>
            <w:r w:rsidRPr="00C33FF9">
              <w:rPr>
                <w:sz w:val="18"/>
              </w:rPr>
              <w:t>HCFC-141b</w:t>
            </w:r>
          </w:p>
        </w:tc>
        <w:tc>
          <w:tcPr>
            <w:tcW w:w="2299" w:type="dxa"/>
          </w:tcPr>
          <w:p w14:paraId="4AD4F55C" w14:textId="77777777" w:rsidR="00192CD6" w:rsidRPr="00C33FF9" w:rsidRDefault="00192CD6" w:rsidP="00C33FF9">
            <w:pPr>
              <w:keepNext/>
              <w:tabs>
                <w:tab w:val="left" w:pos="230"/>
                <w:tab w:val="left" w:pos="1877"/>
              </w:tabs>
              <w:spacing w:before="100" w:beforeAutospacing="1" w:after="100" w:afterAutospacing="1"/>
              <w:outlineLvl w:val="5"/>
              <w:rPr>
                <w:sz w:val="18"/>
              </w:rPr>
            </w:pPr>
            <w:r w:rsidRPr="00C33FF9">
              <w:rPr>
                <w:sz w:val="18"/>
              </w:rPr>
              <w:t>HFC-143a</w:t>
            </w:r>
          </w:p>
        </w:tc>
        <w:tc>
          <w:tcPr>
            <w:tcW w:w="2160" w:type="dxa"/>
          </w:tcPr>
          <w:p w14:paraId="66D5B305" w14:textId="77777777" w:rsidR="00192CD6" w:rsidRPr="00C33FF9" w:rsidRDefault="00192CD6" w:rsidP="00C33FF9">
            <w:pPr>
              <w:spacing w:before="100" w:beforeAutospacing="1" w:after="100" w:afterAutospacing="1"/>
              <w:rPr>
                <w:sz w:val="18"/>
              </w:rPr>
            </w:pPr>
          </w:p>
        </w:tc>
        <w:tc>
          <w:tcPr>
            <w:tcW w:w="2385" w:type="dxa"/>
          </w:tcPr>
          <w:p w14:paraId="2F41B689" w14:textId="77777777" w:rsidR="00192CD6" w:rsidRPr="00C33FF9" w:rsidRDefault="00192CD6" w:rsidP="00C33FF9">
            <w:pPr>
              <w:spacing w:before="100" w:beforeAutospacing="1" w:after="100" w:afterAutospacing="1"/>
              <w:rPr>
                <w:sz w:val="18"/>
              </w:rPr>
            </w:pPr>
          </w:p>
        </w:tc>
      </w:tr>
      <w:tr w:rsidR="00192CD6" w:rsidRPr="00816DDC" w14:paraId="56B765C1" w14:textId="77777777" w:rsidTr="0015746F">
        <w:trPr>
          <w:trHeight w:val="401"/>
        </w:trPr>
        <w:tc>
          <w:tcPr>
            <w:tcW w:w="2489" w:type="dxa"/>
          </w:tcPr>
          <w:p w14:paraId="51A080DA" w14:textId="77777777" w:rsidR="00192CD6" w:rsidRPr="00C33FF9" w:rsidRDefault="00192CD6" w:rsidP="00C33FF9">
            <w:pPr>
              <w:spacing w:before="100" w:beforeAutospacing="1" w:after="100" w:afterAutospacing="1"/>
              <w:rPr>
                <w:sz w:val="18"/>
              </w:rPr>
            </w:pPr>
            <w:r w:rsidRPr="00C33FF9">
              <w:rPr>
                <w:sz w:val="18"/>
              </w:rPr>
              <w:t>HCFC-142b</w:t>
            </w:r>
          </w:p>
        </w:tc>
        <w:tc>
          <w:tcPr>
            <w:tcW w:w="2299" w:type="dxa"/>
          </w:tcPr>
          <w:p w14:paraId="157C1A18" w14:textId="77777777" w:rsidR="00192CD6" w:rsidRPr="00C33FF9" w:rsidRDefault="00192CD6" w:rsidP="00C33FF9">
            <w:pPr>
              <w:spacing w:before="100" w:beforeAutospacing="1" w:after="100" w:afterAutospacing="1"/>
              <w:rPr>
                <w:sz w:val="18"/>
              </w:rPr>
            </w:pPr>
            <w:r w:rsidRPr="00C33FF9">
              <w:rPr>
                <w:sz w:val="18"/>
              </w:rPr>
              <w:t>Vinylidene fluoride</w:t>
            </w:r>
          </w:p>
        </w:tc>
        <w:tc>
          <w:tcPr>
            <w:tcW w:w="2160" w:type="dxa"/>
          </w:tcPr>
          <w:p w14:paraId="5501B79A" w14:textId="77777777" w:rsidR="00192CD6" w:rsidRPr="00C33FF9" w:rsidRDefault="00192CD6" w:rsidP="00C33FF9">
            <w:pPr>
              <w:spacing w:before="100" w:beforeAutospacing="1" w:after="100" w:afterAutospacing="1"/>
              <w:rPr>
                <w:sz w:val="18"/>
              </w:rPr>
            </w:pPr>
            <w:r w:rsidRPr="00C33FF9">
              <w:rPr>
                <w:sz w:val="18"/>
              </w:rPr>
              <w:t>Polymerized to poly-vinylidene fluoride or co-polymers.</w:t>
            </w:r>
          </w:p>
        </w:tc>
        <w:tc>
          <w:tcPr>
            <w:tcW w:w="2385" w:type="dxa"/>
          </w:tcPr>
          <w:p w14:paraId="3DED6138" w14:textId="77777777" w:rsidR="00192CD6" w:rsidRPr="00C33FF9" w:rsidRDefault="00192CD6" w:rsidP="00C33FF9">
            <w:pPr>
              <w:spacing w:before="100" w:beforeAutospacing="1" w:after="100" w:afterAutospacing="1"/>
              <w:rPr>
                <w:sz w:val="18"/>
              </w:rPr>
            </w:pPr>
            <w:r w:rsidRPr="00C33FF9">
              <w:rPr>
                <w:sz w:val="18"/>
              </w:rPr>
              <w:t>Products are fluorinated elastomers and a fluororesin.</w:t>
            </w:r>
          </w:p>
        </w:tc>
      </w:tr>
    </w:tbl>
    <w:p w14:paraId="54C770BB" w14:textId="77777777" w:rsidR="00192CD6" w:rsidRPr="00816DDC" w:rsidRDefault="00192CD6" w:rsidP="00192CD6">
      <w:pPr>
        <w:rPr>
          <w:iCs/>
        </w:rPr>
      </w:pPr>
    </w:p>
    <w:p w14:paraId="42E33917" w14:textId="77777777" w:rsidR="00656E7D" w:rsidRPr="00656E7D" w:rsidRDefault="00656E7D" w:rsidP="00656E7D">
      <w:pPr>
        <w:sectPr w:rsidR="00656E7D" w:rsidRPr="00656E7D" w:rsidSect="00C271CA">
          <w:footnotePr>
            <w:numRestart w:val="eachSect"/>
          </w:footnotePr>
          <w:pgSz w:w="11907" w:h="16839" w:code="9"/>
          <w:pgMar w:top="1525" w:right="993" w:bottom="1440" w:left="1797" w:header="720" w:footer="794" w:gutter="0"/>
          <w:cols w:space="720"/>
          <w:docGrid w:linePitch="299"/>
        </w:sectPr>
      </w:pPr>
    </w:p>
    <w:p w14:paraId="22120A43" w14:textId="77777777" w:rsidR="00656E7D" w:rsidRPr="00656E7D" w:rsidRDefault="00656E7D" w:rsidP="00413E4A">
      <w:pPr>
        <w:pStyle w:val="Heading4"/>
      </w:pPr>
      <w:bookmarkStart w:id="158" w:name="_Toc483916046"/>
      <w:r w:rsidRPr="00656E7D">
        <w:lastRenderedPageBreak/>
        <w:t>5.2.5.2</w:t>
      </w:r>
      <w:r w:rsidRPr="00656E7D">
        <w:tab/>
        <w:t>Trends in feedstock uses of ozone-depleting substances</w:t>
      </w:r>
      <w:bookmarkEnd w:id="158"/>
    </w:p>
    <w:p w14:paraId="29207D30" w14:textId="62802469" w:rsidR="00656E7D" w:rsidRPr="00656E7D" w:rsidRDefault="00656E7D" w:rsidP="00A140B1">
      <w:r w:rsidRPr="00656E7D">
        <w:t xml:space="preserve">Parties report the use of ODS as feedstock to the Ozone Secretariat. Data have been provided to the MCTOC by the Ozone Secretariat on production, import and export of ODS used as feedstock for the year 2015. These also include quantities used as process agents because </w:t>
      </w:r>
      <w:r w:rsidR="00BF2381">
        <w:t>p</w:t>
      </w:r>
      <w:r w:rsidRPr="00656E7D">
        <w:t>arties are required to report such consumption in a manner consistent to that for feedstock. Detailed information can be found in Table 5.</w:t>
      </w:r>
      <w:r w:rsidR="00497F61">
        <w:t>3</w:t>
      </w:r>
      <w:r w:rsidRPr="00656E7D">
        <w:t xml:space="preserve">, as provided by UNEP. </w:t>
      </w:r>
    </w:p>
    <w:p w14:paraId="5E6F73E6" w14:textId="51B9751D" w:rsidR="00656E7D" w:rsidRPr="00656E7D" w:rsidRDefault="00656E7D" w:rsidP="00A140B1">
      <w:r w:rsidRPr="00656E7D">
        <w:t xml:space="preserve">For 2015, a total of 17 </w:t>
      </w:r>
      <w:r w:rsidR="00BF2381">
        <w:t>p</w:t>
      </w:r>
      <w:r w:rsidRPr="00656E7D">
        <w:t xml:space="preserve">arties reported use of ODS as feedstock, while 14 of these </w:t>
      </w:r>
      <w:r w:rsidR="00BF2381">
        <w:t>p</w:t>
      </w:r>
      <w:r w:rsidRPr="00656E7D">
        <w:t xml:space="preserve">arties were also producers of ODS for these uses. In 2014, 14 </w:t>
      </w:r>
      <w:r w:rsidR="00BF2381">
        <w:t>p</w:t>
      </w:r>
      <w:r w:rsidRPr="00656E7D">
        <w:t>arties reported use of ODS as feedstock.</w:t>
      </w:r>
    </w:p>
    <w:p w14:paraId="74BE3A1C" w14:textId="77777777" w:rsidR="00656E7D" w:rsidRPr="00656E7D" w:rsidRDefault="00656E7D" w:rsidP="00A140B1">
      <w:r w:rsidRPr="00656E7D">
        <w:t>In 2015, total production for feedstock uses was 1,084,101 tonnes, representing a total of 375,488 ODP tonnes. Overall use of ODS as feedstock decreased by 10.3% (81,578 metric tonnes) compared with 2014, with a corresponding decrease of 17.2% in ODP tonnes.</w:t>
      </w:r>
    </w:p>
    <w:p w14:paraId="40C8322B" w14:textId="77777777" w:rsidR="00656E7D" w:rsidRPr="00656E7D" w:rsidRDefault="00656E7D" w:rsidP="00A140B1">
      <w:r w:rsidRPr="00656E7D">
        <w:t xml:space="preserve">The largest feedstock uses are HCFC-22 (48.0% of the total quantity), CTC (19.7%), and HCFC-142b (11.0%). The feedstock use of HCFC-22 has decreased by 3.2% from 2014. The majority of HCFC-22 feedstock use is for the production of tetrafluoroethylene (TFE), which can be both homo- and co-polymerized to make stable, chemically resistant fluoropolymers with a myriad of end uses. </w:t>
      </w:r>
      <w:r w:rsidRPr="00656E7D">
        <w:rPr>
          <w:rFonts w:eastAsia="SimSun" w:hint="eastAsia"/>
        </w:rPr>
        <w:t xml:space="preserve">TFE can also be used as raw material for producing HFC-125, especially in China. With HFC-125 </w:t>
      </w:r>
      <w:r w:rsidRPr="00656E7D">
        <w:rPr>
          <w:rFonts w:eastAsia="SimSun"/>
        </w:rPr>
        <w:t>production moving</w:t>
      </w:r>
      <w:r w:rsidRPr="00656E7D">
        <w:rPr>
          <w:rFonts w:eastAsia="SimSun" w:hint="eastAsia"/>
        </w:rPr>
        <w:t xml:space="preserve"> to </w:t>
      </w:r>
      <w:r w:rsidRPr="00656E7D">
        <w:rPr>
          <w:rFonts w:eastAsia="SimSun"/>
        </w:rPr>
        <w:t>the perchloroethylene</w:t>
      </w:r>
      <w:r w:rsidRPr="00656E7D">
        <w:rPr>
          <w:rFonts w:eastAsia="SimSun" w:hint="eastAsia"/>
        </w:rPr>
        <w:t xml:space="preserve"> process, which is more competitive </w:t>
      </w:r>
      <w:r w:rsidRPr="00656E7D">
        <w:rPr>
          <w:rFonts w:eastAsia="SimSun"/>
        </w:rPr>
        <w:t>than</w:t>
      </w:r>
      <w:r w:rsidRPr="00656E7D">
        <w:rPr>
          <w:rFonts w:eastAsia="SimSun" w:hint="eastAsia"/>
        </w:rPr>
        <w:t xml:space="preserve"> </w:t>
      </w:r>
      <w:r w:rsidRPr="00656E7D">
        <w:rPr>
          <w:rFonts w:eastAsia="SimSun"/>
        </w:rPr>
        <w:t xml:space="preserve">the </w:t>
      </w:r>
      <w:r w:rsidRPr="00656E7D">
        <w:rPr>
          <w:rFonts w:eastAsia="SimSun" w:hint="eastAsia"/>
        </w:rPr>
        <w:t xml:space="preserve">TFE process, TFE use for this feedstock </w:t>
      </w:r>
      <w:r w:rsidRPr="00656E7D">
        <w:rPr>
          <w:rFonts w:eastAsia="SimSun"/>
        </w:rPr>
        <w:t xml:space="preserve">has </w:t>
      </w:r>
      <w:r w:rsidRPr="00656E7D">
        <w:rPr>
          <w:rFonts w:eastAsia="SimSun" w:hint="eastAsia"/>
        </w:rPr>
        <w:t>dec</w:t>
      </w:r>
      <w:r w:rsidRPr="00656E7D">
        <w:rPr>
          <w:rFonts w:eastAsia="SimSun"/>
        </w:rPr>
        <w:t>r</w:t>
      </w:r>
      <w:r w:rsidRPr="00656E7D">
        <w:rPr>
          <w:rFonts w:eastAsia="SimSun" w:hint="eastAsia"/>
        </w:rPr>
        <w:t xml:space="preserve">eased and </w:t>
      </w:r>
      <w:r w:rsidRPr="00656E7D">
        <w:rPr>
          <w:rFonts w:eastAsia="SimSun"/>
        </w:rPr>
        <w:t xml:space="preserve">this </w:t>
      </w:r>
      <w:r w:rsidRPr="00656E7D">
        <w:rPr>
          <w:rFonts w:eastAsia="SimSun" w:hint="eastAsia"/>
        </w:rPr>
        <w:t xml:space="preserve">then </w:t>
      </w:r>
      <w:r w:rsidRPr="00656E7D">
        <w:rPr>
          <w:rFonts w:eastAsia="SimSun"/>
        </w:rPr>
        <w:t xml:space="preserve">would also </w:t>
      </w:r>
      <w:r w:rsidRPr="00656E7D">
        <w:rPr>
          <w:rFonts w:eastAsia="SimSun" w:hint="eastAsia"/>
        </w:rPr>
        <w:t xml:space="preserve">lead to </w:t>
      </w:r>
      <w:r w:rsidRPr="00656E7D">
        <w:rPr>
          <w:rFonts w:eastAsia="SimSun"/>
        </w:rPr>
        <w:t xml:space="preserve">a </w:t>
      </w:r>
      <w:r w:rsidRPr="00656E7D">
        <w:rPr>
          <w:rFonts w:eastAsia="SimSun" w:hint="eastAsia"/>
        </w:rPr>
        <w:t>dec</w:t>
      </w:r>
      <w:r w:rsidRPr="00656E7D">
        <w:rPr>
          <w:rFonts w:eastAsia="SimSun"/>
        </w:rPr>
        <w:t>r</w:t>
      </w:r>
      <w:r w:rsidRPr="00656E7D">
        <w:rPr>
          <w:rFonts w:eastAsia="SimSun" w:hint="eastAsia"/>
        </w:rPr>
        <w:t xml:space="preserve">ease in feedstock use of HCFC-22. </w:t>
      </w:r>
      <w:r w:rsidRPr="00656E7D">
        <w:t xml:space="preserve">CTC used as feedstock decreased by 0.1%, where CTC is used to build intermediates, which are in turn used for HFCs and HFO production. </w:t>
      </w:r>
    </w:p>
    <w:p w14:paraId="5B3967F9" w14:textId="77777777" w:rsidR="00656E7D" w:rsidRPr="00656E7D" w:rsidRDefault="00656E7D" w:rsidP="00A140B1">
      <w:proofErr w:type="gramStart"/>
      <w:r w:rsidRPr="00656E7D">
        <w:t>Production of CFC-113 decreased by a significant 53.4%, which would, in the absence of other information, suggest a possible decrease in polymer production, feedstock use of CFC-113a as an intermediate for trifluoroacetic acid and pesticide production, and HFC production, assuming that reporting is complete.</w:t>
      </w:r>
      <w:proofErr w:type="gramEnd"/>
      <w:r w:rsidRPr="00656E7D">
        <w:t xml:space="preserve"> When the data was queried, it was learnt that one producer, which is also a user, chose not to produce CFC-113 during 2015 but instead to operate by reducing in-house inventories. It is likely that data for CFC-113 from earlier years were suggesting higher annual usage than was actually used for feedstock, when instead inventory was increased.  The total consumption (production plus import minus export) for 2015 now likely understates actual usage for that year. These annual mismatches even out over longer time periods. </w:t>
      </w:r>
    </w:p>
    <w:p w14:paraId="445698D1" w14:textId="77777777" w:rsidR="00656E7D" w:rsidRPr="00656E7D" w:rsidRDefault="00656E7D" w:rsidP="00A140B1">
      <w:r w:rsidRPr="00656E7D">
        <w:t>Other significant ODS feedstock also experienced reductions over the previous year. While the total use of ODS as feedstock decreased by 10%, the corresponding ODP tonnes decreased by 17.2% because the mix of ODS contributors tended toward lower ODP values.</w:t>
      </w:r>
    </w:p>
    <w:p w14:paraId="3A826EEF" w14:textId="77777777" w:rsidR="006F6BA3" w:rsidRDefault="006F6BA3" w:rsidP="006F6BA3">
      <w:pPr>
        <w:keepNext/>
        <w:tabs>
          <w:tab w:val="left" w:pos="1170"/>
        </w:tabs>
        <w:rPr>
          <w:b/>
          <w:i/>
          <w:sz w:val="24"/>
          <w:szCs w:val="24"/>
        </w:rPr>
      </w:pPr>
      <w:r>
        <w:rPr>
          <w:b/>
          <w:i/>
          <w:sz w:val="24"/>
          <w:szCs w:val="24"/>
        </w:rPr>
        <w:br w:type="page"/>
      </w:r>
    </w:p>
    <w:p w14:paraId="4D5595E6" w14:textId="69DF6022" w:rsidR="00192CD6" w:rsidRPr="00084DD9" w:rsidRDefault="00192CD6" w:rsidP="0015746F">
      <w:pPr>
        <w:keepNext/>
        <w:tabs>
          <w:tab w:val="left" w:pos="1170"/>
        </w:tabs>
        <w:rPr>
          <w:b/>
          <w:i/>
          <w:sz w:val="24"/>
          <w:szCs w:val="24"/>
        </w:rPr>
      </w:pPr>
      <w:r w:rsidRPr="00084DD9">
        <w:rPr>
          <w:b/>
          <w:i/>
          <w:sz w:val="24"/>
          <w:szCs w:val="24"/>
        </w:rPr>
        <w:lastRenderedPageBreak/>
        <w:t>Table 5.</w:t>
      </w:r>
      <w:r w:rsidR="00497F61" w:rsidRPr="00084DD9">
        <w:rPr>
          <w:b/>
          <w:i/>
          <w:sz w:val="24"/>
          <w:szCs w:val="24"/>
        </w:rPr>
        <w:t>3</w:t>
      </w:r>
      <w:r w:rsidRPr="00084DD9">
        <w:rPr>
          <w:b/>
          <w:i/>
          <w:sz w:val="24"/>
          <w:szCs w:val="24"/>
        </w:rPr>
        <w:tab/>
        <w:t>Amount of ODS used as feedstock in 2015</w:t>
      </w:r>
    </w:p>
    <w:tbl>
      <w:tblPr>
        <w:tblStyle w:val="TableGrid"/>
        <w:tblW w:w="0" w:type="auto"/>
        <w:tblLook w:val="04A0" w:firstRow="1" w:lastRow="0" w:firstColumn="1" w:lastColumn="0" w:noHBand="0" w:noVBand="1"/>
      </w:tblPr>
      <w:tblGrid>
        <w:gridCol w:w="2173"/>
        <w:gridCol w:w="2137"/>
        <w:gridCol w:w="2112"/>
        <w:gridCol w:w="2100"/>
      </w:tblGrid>
      <w:tr w:rsidR="00192CD6" w:rsidRPr="00816DDC" w14:paraId="5DAB72D1" w14:textId="77777777" w:rsidTr="00192CD6">
        <w:tc>
          <w:tcPr>
            <w:tcW w:w="2173" w:type="dxa"/>
          </w:tcPr>
          <w:p w14:paraId="67647696" w14:textId="77777777" w:rsidR="00192CD6" w:rsidRPr="00210126" w:rsidRDefault="00192CD6" w:rsidP="00C33FF9">
            <w:pPr>
              <w:spacing w:before="100" w:beforeAutospacing="1" w:after="100" w:afterAutospacing="1"/>
              <w:rPr>
                <w:b/>
                <w:iCs/>
              </w:rPr>
            </w:pPr>
            <w:r w:rsidRPr="00816DDC">
              <w:rPr>
                <w:b/>
                <w:iCs/>
              </w:rPr>
              <w:t>Substance</w:t>
            </w:r>
          </w:p>
        </w:tc>
        <w:tc>
          <w:tcPr>
            <w:tcW w:w="2137" w:type="dxa"/>
          </w:tcPr>
          <w:p w14:paraId="14265720" w14:textId="77777777" w:rsidR="00192CD6" w:rsidRPr="00210126" w:rsidRDefault="00192CD6" w:rsidP="00C33FF9">
            <w:pPr>
              <w:spacing w:before="100" w:beforeAutospacing="1" w:after="100" w:afterAutospacing="1"/>
              <w:jc w:val="center"/>
              <w:rPr>
                <w:b/>
                <w:iCs/>
              </w:rPr>
            </w:pPr>
            <w:r w:rsidRPr="00816DDC">
              <w:rPr>
                <w:b/>
                <w:iCs/>
              </w:rPr>
              <w:t>ODP</w:t>
            </w:r>
          </w:p>
        </w:tc>
        <w:tc>
          <w:tcPr>
            <w:tcW w:w="2112" w:type="dxa"/>
          </w:tcPr>
          <w:p w14:paraId="1DE9190E" w14:textId="77777777" w:rsidR="00192CD6" w:rsidRPr="00210126" w:rsidRDefault="00192CD6" w:rsidP="00C33FF9">
            <w:pPr>
              <w:spacing w:before="100" w:beforeAutospacing="1" w:after="100" w:afterAutospacing="1"/>
              <w:jc w:val="center"/>
              <w:rPr>
                <w:b/>
                <w:iCs/>
              </w:rPr>
            </w:pPr>
            <w:r w:rsidRPr="00816DDC">
              <w:rPr>
                <w:b/>
                <w:iCs/>
              </w:rPr>
              <w:t>Tonnes</w:t>
            </w:r>
          </w:p>
        </w:tc>
        <w:tc>
          <w:tcPr>
            <w:tcW w:w="2100" w:type="dxa"/>
          </w:tcPr>
          <w:p w14:paraId="1272EAEE" w14:textId="77777777" w:rsidR="00192CD6" w:rsidRPr="00210126" w:rsidRDefault="00192CD6" w:rsidP="00C33FF9">
            <w:pPr>
              <w:spacing w:before="100" w:beforeAutospacing="1" w:after="100" w:afterAutospacing="1"/>
              <w:jc w:val="center"/>
              <w:rPr>
                <w:b/>
                <w:iCs/>
              </w:rPr>
            </w:pPr>
            <w:r w:rsidRPr="00816DDC">
              <w:rPr>
                <w:b/>
                <w:iCs/>
              </w:rPr>
              <w:t>ODP Tonnes</w:t>
            </w:r>
          </w:p>
        </w:tc>
      </w:tr>
      <w:tr w:rsidR="00192CD6" w:rsidRPr="00816DDC" w14:paraId="5941E29D" w14:textId="77777777" w:rsidTr="00192CD6">
        <w:trPr>
          <w:trHeight w:val="261"/>
        </w:trPr>
        <w:tc>
          <w:tcPr>
            <w:tcW w:w="2173" w:type="dxa"/>
          </w:tcPr>
          <w:p w14:paraId="1560AB46" w14:textId="77777777" w:rsidR="00192CD6" w:rsidRPr="00210126" w:rsidRDefault="00192CD6" w:rsidP="00C33FF9">
            <w:pPr>
              <w:spacing w:before="100" w:beforeAutospacing="1" w:after="100" w:afterAutospacing="1"/>
              <w:rPr>
                <w:iCs/>
              </w:rPr>
            </w:pPr>
            <w:r w:rsidRPr="00816DDC">
              <w:rPr>
                <w:iCs/>
              </w:rPr>
              <w:t>CFC-11</w:t>
            </w:r>
          </w:p>
        </w:tc>
        <w:tc>
          <w:tcPr>
            <w:tcW w:w="2137" w:type="dxa"/>
          </w:tcPr>
          <w:p w14:paraId="38974CC2" w14:textId="77777777" w:rsidR="00192CD6" w:rsidRPr="00210126" w:rsidRDefault="00192CD6" w:rsidP="00C33FF9">
            <w:pPr>
              <w:tabs>
                <w:tab w:val="decimal" w:pos="946"/>
              </w:tabs>
              <w:spacing w:before="100" w:beforeAutospacing="1" w:after="100" w:afterAutospacing="1"/>
              <w:ind w:right="90" w:firstLine="662"/>
              <w:rPr>
                <w:iCs/>
              </w:rPr>
            </w:pPr>
            <w:r w:rsidRPr="00816DDC">
              <w:rPr>
                <w:iCs/>
              </w:rPr>
              <w:t>1</w:t>
            </w:r>
          </w:p>
        </w:tc>
        <w:tc>
          <w:tcPr>
            <w:tcW w:w="2112" w:type="dxa"/>
          </w:tcPr>
          <w:p w14:paraId="1F688E63" w14:textId="77777777" w:rsidR="00192CD6" w:rsidRPr="00210126" w:rsidRDefault="00192CD6" w:rsidP="00C33FF9">
            <w:pPr>
              <w:tabs>
                <w:tab w:val="decimal" w:pos="1219"/>
              </w:tabs>
              <w:spacing w:before="100" w:beforeAutospacing="1" w:after="100" w:afterAutospacing="1"/>
              <w:rPr>
                <w:iCs/>
              </w:rPr>
            </w:pPr>
            <w:r w:rsidRPr="00816DDC">
              <w:rPr>
                <w:iCs/>
              </w:rPr>
              <w:t>0</w:t>
            </w:r>
          </w:p>
        </w:tc>
        <w:tc>
          <w:tcPr>
            <w:tcW w:w="2100" w:type="dxa"/>
          </w:tcPr>
          <w:p w14:paraId="092B32A0" w14:textId="77777777" w:rsidR="00192CD6" w:rsidRPr="00210126" w:rsidRDefault="00192CD6" w:rsidP="00C33FF9">
            <w:pPr>
              <w:tabs>
                <w:tab w:val="decimal" w:pos="1233"/>
              </w:tabs>
              <w:spacing w:before="100" w:beforeAutospacing="1" w:after="100" w:afterAutospacing="1"/>
              <w:rPr>
                <w:iCs/>
              </w:rPr>
            </w:pPr>
            <w:r w:rsidRPr="00816DDC">
              <w:rPr>
                <w:iCs/>
              </w:rPr>
              <w:t>0</w:t>
            </w:r>
          </w:p>
        </w:tc>
      </w:tr>
      <w:tr w:rsidR="00192CD6" w:rsidRPr="00816DDC" w14:paraId="110A11D3" w14:textId="77777777" w:rsidTr="00192CD6">
        <w:trPr>
          <w:trHeight w:val="261"/>
        </w:trPr>
        <w:tc>
          <w:tcPr>
            <w:tcW w:w="2173" w:type="dxa"/>
          </w:tcPr>
          <w:p w14:paraId="4F9F8D9B" w14:textId="77777777" w:rsidR="00192CD6" w:rsidRPr="00210126" w:rsidRDefault="00192CD6" w:rsidP="00C33FF9">
            <w:pPr>
              <w:spacing w:before="100" w:beforeAutospacing="1" w:after="100" w:afterAutospacing="1"/>
              <w:rPr>
                <w:iCs/>
              </w:rPr>
            </w:pPr>
            <w:r w:rsidRPr="00816DDC">
              <w:rPr>
                <w:iCs/>
              </w:rPr>
              <w:t>CFC-12</w:t>
            </w:r>
          </w:p>
        </w:tc>
        <w:tc>
          <w:tcPr>
            <w:tcW w:w="2137" w:type="dxa"/>
          </w:tcPr>
          <w:p w14:paraId="370854B7" w14:textId="77777777" w:rsidR="00192CD6" w:rsidRPr="00210126" w:rsidRDefault="00192CD6" w:rsidP="00C33FF9">
            <w:pPr>
              <w:tabs>
                <w:tab w:val="decimal" w:pos="946"/>
              </w:tabs>
              <w:spacing w:before="100" w:beforeAutospacing="1" w:after="100" w:afterAutospacing="1"/>
              <w:ind w:right="90" w:firstLine="662"/>
              <w:rPr>
                <w:iCs/>
              </w:rPr>
            </w:pPr>
            <w:r w:rsidRPr="00816DDC">
              <w:rPr>
                <w:iCs/>
              </w:rPr>
              <w:t>1</w:t>
            </w:r>
          </w:p>
        </w:tc>
        <w:tc>
          <w:tcPr>
            <w:tcW w:w="2112" w:type="dxa"/>
          </w:tcPr>
          <w:p w14:paraId="55A6CF6A" w14:textId="77777777" w:rsidR="00192CD6" w:rsidRPr="00210126" w:rsidRDefault="00192CD6" w:rsidP="00C33FF9">
            <w:pPr>
              <w:tabs>
                <w:tab w:val="decimal" w:pos="1219"/>
              </w:tabs>
              <w:spacing w:before="100" w:beforeAutospacing="1" w:after="100" w:afterAutospacing="1"/>
              <w:rPr>
                <w:iCs/>
              </w:rPr>
            </w:pPr>
            <w:r w:rsidRPr="00816DDC">
              <w:rPr>
                <w:iCs/>
              </w:rPr>
              <w:t>0</w:t>
            </w:r>
          </w:p>
        </w:tc>
        <w:tc>
          <w:tcPr>
            <w:tcW w:w="2100" w:type="dxa"/>
          </w:tcPr>
          <w:p w14:paraId="7B6FF4AA" w14:textId="77777777" w:rsidR="00192CD6" w:rsidRPr="00210126" w:rsidRDefault="00192CD6" w:rsidP="00C33FF9">
            <w:pPr>
              <w:tabs>
                <w:tab w:val="decimal" w:pos="1233"/>
              </w:tabs>
              <w:spacing w:before="100" w:beforeAutospacing="1" w:after="100" w:afterAutospacing="1"/>
              <w:rPr>
                <w:iCs/>
              </w:rPr>
            </w:pPr>
            <w:r w:rsidRPr="00816DDC">
              <w:rPr>
                <w:iCs/>
              </w:rPr>
              <w:t>0</w:t>
            </w:r>
          </w:p>
        </w:tc>
      </w:tr>
      <w:tr w:rsidR="00192CD6" w:rsidRPr="00816DDC" w14:paraId="1AD8DA46" w14:textId="77777777" w:rsidTr="00192CD6">
        <w:trPr>
          <w:trHeight w:val="261"/>
        </w:trPr>
        <w:tc>
          <w:tcPr>
            <w:tcW w:w="2173" w:type="dxa"/>
          </w:tcPr>
          <w:p w14:paraId="4A5A8D10" w14:textId="77777777" w:rsidR="00192CD6" w:rsidRPr="00210126" w:rsidRDefault="00192CD6" w:rsidP="00C33FF9">
            <w:pPr>
              <w:spacing w:before="100" w:beforeAutospacing="1" w:after="100" w:afterAutospacing="1"/>
              <w:rPr>
                <w:iCs/>
              </w:rPr>
            </w:pPr>
            <w:r w:rsidRPr="00816DDC">
              <w:rPr>
                <w:iCs/>
              </w:rPr>
              <w:t>CFC-113</w:t>
            </w:r>
          </w:p>
        </w:tc>
        <w:tc>
          <w:tcPr>
            <w:tcW w:w="2137" w:type="dxa"/>
          </w:tcPr>
          <w:p w14:paraId="0EE28E9C" w14:textId="77777777" w:rsidR="00192CD6" w:rsidRPr="00210126" w:rsidRDefault="00192CD6" w:rsidP="00C33FF9">
            <w:pPr>
              <w:tabs>
                <w:tab w:val="decimal" w:pos="946"/>
              </w:tabs>
              <w:spacing w:before="100" w:beforeAutospacing="1" w:after="100" w:afterAutospacing="1"/>
              <w:ind w:right="90" w:firstLine="662"/>
              <w:rPr>
                <w:iCs/>
              </w:rPr>
            </w:pPr>
            <w:r w:rsidRPr="00816DDC">
              <w:rPr>
                <w:iCs/>
              </w:rPr>
              <w:t>0.8</w:t>
            </w:r>
          </w:p>
        </w:tc>
        <w:tc>
          <w:tcPr>
            <w:tcW w:w="2112" w:type="dxa"/>
          </w:tcPr>
          <w:p w14:paraId="2485AA73" w14:textId="77777777" w:rsidR="00192CD6" w:rsidRPr="00210126" w:rsidRDefault="00192CD6" w:rsidP="00C33FF9">
            <w:pPr>
              <w:tabs>
                <w:tab w:val="decimal" w:pos="1219"/>
              </w:tabs>
              <w:spacing w:before="100" w:beforeAutospacing="1" w:after="100" w:afterAutospacing="1"/>
              <w:rPr>
                <w:iCs/>
              </w:rPr>
            </w:pPr>
            <w:r w:rsidRPr="00C33FF9">
              <w:rPr>
                <w:lang w:val="en-US"/>
              </w:rPr>
              <w:t>62,196</w:t>
            </w:r>
          </w:p>
        </w:tc>
        <w:tc>
          <w:tcPr>
            <w:tcW w:w="2100" w:type="dxa"/>
          </w:tcPr>
          <w:p w14:paraId="36E8C4F6" w14:textId="77777777" w:rsidR="00192CD6" w:rsidRPr="00210126" w:rsidRDefault="00192CD6" w:rsidP="00C33FF9">
            <w:pPr>
              <w:tabs>
                <w:tab w:val="decimal" w:pos="1233"/>
              </w:tabs>
              <w:spacing w:before="100" w:beforeAutospacing="1" w:after="100" w:afterAutospacing="1"/>
              <w:rPr>
                <w:iCs/>
              </w:rPr>
            </w:pPr>
            <w:r w:rsidRPr="00C33FF9">
              <w:rPr>
                <w:lang w:val="en-US"/>
              </w:rPr>
              <w:t>49,756</w:t>
            </w:r>
          </w:p>
        </w:tc>
      </w:tr>
      <w:tr w:rsidR="00192CD6" w:rsidRPr="00816DDC" w14:paraId="6DA79037" w14:textId="77777777" w:rsidTr="00192CD6">
        <w:trPr>
          <w:trHeight w:val="261"/>
        </w:trPr>
        <w:tc>
          <w:tcPr>
            <w:tcW w:w="2173" w:type="dxa"/>
          </w:tcPr>
          <w:p w14:paraId="0C3A7F28" w14:textId="77777777" w:rsidR="00192CD6" w:rsidRPr="00210126" w:rsidRDefault="00192CD6" w:rsidP="00C33FF9">
            <w:pPr>
              <w:spacing w:before="100" w:beforeAutospacing="1" w:after="100" w:afterAutospacing="1"/>
              <w:rPr>
                <w:iCs/>
              </w:rPr>
            </w:pPr>
            <w:r w:rsidRPr="00251E12">
              <w:rPr>
                <w:iCs/>
              </w:rPr>
              <w:t>CFC-114</w:t>
            </w:r>
          </w:p>
        </w:tc>
        <w:tc>
          <w:tcPr>
            <w:tcW w:w="2137" w:type="dxa"/>
          </w:tcPr>
          <w:p w14:paraId="3B2CDF33" w14:textId="77777777" w:rsidR="00192CD6" w:rsidRPr="00210126" w:rsidRDefault="00192CD6" w:rsidP="00C33FF9">
            <w:pPr>
              <w:tabs>
                <w:tab w:val="decimal" w:pos="946"/>
              </w:tabs>
              <w:spacing w:before="100" w:beforeAutospacing="1" w:after="100" w:afterAutospacing="1"/>
              <w:ind w:right="90" w:firstLine="662"/>
              <w:rPr>
                <w:iCs/>
              </w:rPr>
            </w:pPr>
            <w:r w:rsidRPr="00816DDC">
              <w:rPr>
                <w:iCs/>
              </w:rPr>
              <w:t>1</w:t>
            </w:r>
          </w:p>
        </w:tc>
        <w:tc>
          <w:tcPr>
            <w:tcW w:w="2112" w:type="dxa"/>
          </w:tcPr>
          <w:p w14:paraId="437B6DCF" w14:textId="77777777" w:rsidR="00192CD6" w:rsidRPr="00210126" w:rsidRDefault="00192CD6" w:rsidP="00C33FF9">
            <w:pPr>
              <w:tabs>
                <w:tab w:val="decimal" w:pos="1219"/>
              </w:tabs>
              <w:spacing w:before="100" w:beforeAutospacing="1" w:after="100" w:afterAutospacing="1"/>
              <w:rPr>
                <w:iCs/>
              </w:rPr>
            </w:pPr>
            <w:r w:rsidRPr="00C33FF9">
              <w:rPr>
                <w:lang w:val="en-US"/>
              </w:rPr>
              <w:t>25,141</w:t>
            </w:r>
          </w:p>
        </w:tc>
        <w:tc>
          <w:tcPr>
            <w:tcW w:w="2100" w:type="dxa"/>
          </w:tcPr>
          <w:p w14:paraId="71308692" w14:textId="77777777" w:rsidR="00192CD6" w:rsidRPr="00210126" w:rsidRDefault="00192CD6" w:rsidP="00C33FF9">
            <w:pPr>
              <w:tabs>
                <w:tab w:val="decimal" w:pos="1233"/>
              </w:tabs>
              <w:spacing w:before="100" w:beforeAutospacing="1" w:after="100" w:afterAutospacing="1"/>
              <w:rPr>
                <w:iCs/>
              </w:rPr>
            </w:pPr>
            <w:r w:rsidRPr="00C33FF9">
              <w:rPr>
                <w:lang w:val="en-US"/>
              </w:rPr>
              <w:t>25,141</w:t>
            </w:r>
          </w:p>
        </w:tc>
      </w:tr>
      <w:tr w:rsidR="00192CD6" w:rsidRPr="00816DDC" w14:paraId="394ECF64" w14:textId="77777777" w:rsidTr="00192CD6">
        <w:trPr>
          <w:trHeight w:val="261"/>
        </w:trPr>
        <w:tc>
          <w:tcPr>
            <w:tcW w:w="2173" w:type="dxa"/>
          </w:tcPr>
          <w:p w14:paraId="50546D83" w14:textId="77777777" w:rsidR="00192CD6" w:rsidRPr="00210126" w:rsidRDefault="00192CD6" w:rsidP="00C33FF9">
            <w:pPr>
              <w:spacing w:before="100" w:beforeAutospacing="1" w:after="100" w:afterAutospacing="1"/>
              <w:rPr>
                <w:iCs/>
              </w:rPr>
            </w:pPr>
            <w:r w:rsidRPr="00816DDC">
              <w:rPr>
                <w:iCs/>
              </w:rPr>
              <w:t>Carbon Tetrachloride</w:t>
            </w:r>
          </w:p>
        </w:tc>
        <w:tc>
          <w:tcPr>
            <w:tcW w:w="2137" w:type="dxa"/>
          </w:tcPr>
          <w:p w14:paraId="51FA2B35" w14:textId="77777777" w:rsidR="00192CD6" w:rsidRPr="00210126" w:rsidRDefault="00192CD6" w:rsidP="00C33FF9">
            <w:pPr>
              <w:tabs>
                <w:tab w:val="decimal" w:pos="946"/>
              </w:tabs>
              <w:spacing w:before="100" w:beforeAutospacing="1" w:after="100" w:afterAutospacing="1"/>
              <w:ind w:right="90" w:firstLine="662"/>
              <w:rPr>
                <w:iCs/>
              </w:rPr>
            </w:pPr>
            <w:r w:rsidRPr="00816DDC">
              <w:rPr>
                <w:iCs/>
              </w:rPr>
              <w:t>1.1</w:t>
            </w:r>
          </w:p>
        </w:tc>
        <w:tc>
          <w:tcPr>
            <w:tcW w:w="2112" w:type="dxa"/>
          </w:tcPr>
          <w:p w14:paraId="05586A52" w14:textId="77777777" w:rsidR="00192CD6" w:rsidRPr="00210126" w:rsidRDefault="00192CD6" w:rsidP="00C33FF9">
            <w:pPr>
              <w:tabs>
                <w:tab w:val="decimal" w:pos="1219"/>
              </w:tabs>
              <w:spacing w:before="100" w:beforeAutospacing="1" w:after="100" w:afterAutospacing="1"/>
              <w:rPr>
                <w:iCs/>
              </w:rPr>
            </w:pPr>
            <w:r w:rsidRPr="00C33FF9">
              <w:rPr>
                <w:lang w:val="en-US"/>
              </w:rPr>
              <w:t>213,893</w:t>
            </w:r>
          </w:p>
        </w:tc>
        <w:tc>
          <w:tcPr>
            <w:tcW w:w="2100" w:type="dxa"/>
          </w:tcPr>
          <w:p w14:paraId="2BF38C01" w14:textId="77777777" w:rsidR="00192CD6" w:rsidRPr="00210126" w:rsidRDefault="00192CD6" w:rsidP="00C33FF9">
            <w:pPr>
              <w:tabs>
                <w:tab w:val="decimal" w:pos="1233"/>
              </w:tabs>
              <w:spacing w:before="100" w:beforeAutospacing="1" w:after="100" w:afterAutospacing="1"/>
              <w:rPr>
                <w:iCs/>
              </w:rPr>
            </w:pPr>
            <w:r w:rsidRPr="00C33FF9">
              <w:rPr>
                <w:lang w:val="en-US"/>
              </w:rPr>
              <w:t>235,282</w:t>
            </w:r>
          </w:p>
        </w:tc>
      </w:tr>
      <w:tr w:rsidR="00192CD6" w:rsidRPr="00816DDC" w14:paraId="581D5025" w14:textId="77777777" w:rsidTr="00192CD6">
        <w:trPr>
          <w:trHeight w:val="261"/>
        </w:trPr>
        <w:tc>
          <w:tcPr>
            <w:tcW w:w="2173" w:type="dxa"/>
          </w:tcPr>
          <w:p w14:paraId="1F76FEAE" w14:textId="77777777" w:rsidR="00192CD6" w:rsidRPr="00210126" w:rsidRDefault="00192CD6" w:rsidP="00C33FF9">
            <w:pPr>
              <w:spacing w:before="100" w:beforeAutospacing="1" w:after="100" w:afterAutospacing="1"/>
              <w:rPr>
                <w:iCs/>
              </w:rPr>
            </w:pPr>
            <w:r w:rsidRPr="00816DDC">
              <w:rPr>
                <w:iCs/>
              </w:rPr>
              <w:t>Methyl Chloroform</w:t>
            </w:r>
          </w:p>
        </w:tc>
        <w:tc>
          <w:tcPr>
            <w:tcW w:w="2137" w:type="dxa"/>
          </w:tcPr>
          <w:p w14:paraId="33151A66" w14:textId="77777777" w:rsidR="00192CD6" w:rsidRPr="00210126" w:rsidRDefault="00192CD6" w:rsidP="00C33FF9">
            <w:pPr>
              <w:tabs>
                <w:tab w:val="decimal" w:pos="946"/>
              </w:tabs>
              <w:spacing w:before="100" w:beforeAutospacing="1" w:after="100" w:afterAutospacing="1"/>
              <w:ind w:right="90" w:firstLine="662"/>
              <w:rPr>
                <w:iCs/>
              </w:rPr>
            </w:pPr>
            <w:r w:rsidRPr="00816DDC">
              <w:rPr>
                <w:iCs/>
              </w:rPr>
              <w:t>0.1</w:t>
            </w:r>
          </w:p>
        </w:tc>
        <w:tc>
          <w:tcPr>
            <w:tcW w:w="2112" w:type="dxa"/>
          </w:tcPr>
          <w:p w14:paraId="4BA295F1" w14:textId="77777777" w:rsidR="00192CD6" w:rsidRPr="00210126" w:rsidRDefault="00192CD6" w:rsidP="00C33FF9">
            <w:pPr>
              <w:tabs>
                <w:tab w:val="decimal" w:pos="1219"/>
              </w:tabs>
              <w:spacing w:before="100" w:beforeAutospacing="1" w:after="100" w:afterAutospacing="1"/>
              <w:rPr>
                <w:iCs/>
              </w:rPr>
            </w:pPr>
            <w:r w:rsidRPr="00C33FF9">
              <w:rPr>
                <w:lang w:val="en-US"/>
              </w:rPr>
              <w:t>85,122</w:t>
            </w:r>
          </w:p>
        </w:tc>
        <w:tc>
          <w:tcPr>
            <w:tcW w:w="2100" w:type="dxa"/>
          </w:tcPr>
          <w:p w14:paraId="375F250E" w14:textId="77777777" w:rsidR="00192CD6" w:rsidRPr="00210126" w:rsidRDefault="00192CD6" w:rsidP="00C33FF9">
            <w:pPr>
              <w:tabs>
                <w:tab w:val="decimal" w:pos="1233"/>
              </w:tabs>
              <w:spacing w:before="100" w:beforeAutospacing="1" w:after="100" w:afterAutospacing="1"/>
              <w:rPr>
                <w:iCs/>
              </w:rPr>
            </w:pPr>
            <w:r w:rsidRPr="00C33FF9">
              <w:rPr>
                <w:lang w:val="en-US"/>
              </w:rPr>
              <w:t>8,512</w:t>
            </w:r>
          </w:p>
        </w:tc>
      </w:tr>
      <w:tr w:rsidR="00192CD6" w:rsidRPr="00816DDC" w14:paraId="62DAEE01" w14:textId="77777777" w:rsidTr="00192CD6">
        <w:trPr>
          <w:trHeight w:val="261"/>
        </w:trPr>
        <w:tc>
          <w:tcPr>
            <w:tcW w:w="2173" w:type="dxa"/>
          </w:tcPr>
          <w:p w14:paraId="77986EE9" w14:textId="77777777" w:rsidR="00192CD6" w:rsidRPr="00210126" w:rsidRDefault="00192CD6" w:rsidP="00C33FF9">
            <w:pPr>
              <w:spacing w:before="100" w:beforeAutospacing="1" w:after="100" w:afterAutospacing="1"/>
              <w:rPr>
                <w:iCs/>
              </w:rPr>
            </w:pPr>
            <w:r w:rsidRPr="00816DDC">
              <w:rPr>
                <w:iCs/>
              </w:rPr>
              <w:t>Halon-1211</w:t>
            </w:r>
          </w:p>
        </w:tc>
        <w:tc>
          <w:tcPr>
            <w:tcW w:w="2137" w:type="dxa"/>
          </w:tcPr>
          <w:p w14:paraId="2DE3C7D2" w14:textId="77777777" w:rsidR="00192CD6" w:rsidRPr="00210126" w:rsidRDefault="00192CD6" w:rsidP="00C33FF9">
            <w:pPr>
              <w:tabs>
                <w:tab w:val="decimal" w:pos="946"/>
              </w:tabs>
              <w:spacing w:before="100" w:beforeAutospacing="1" w:after="100" w:afterAutospacing="1"/>
              <w:ind w:right="90" w:firstLine="662"/>
              <w:rPr>
                <w:iCs/>
              </w:rPr>
            </w:pPr>
            <w:r w:rsidRPr="00816DDC">
              <w:rPr>
                <w:iCs/>
              </w:rPr>
              <w:t>3</w:t>
            </w:r>
          </w:p>
        </w:tc>
        <w:tc>
          <w:tcPr>
            <w:tcW w:w="2112" w:type="dxa"/>
          </w:tcPr>
          <w:p w14:paraId="1675A1C7" w14:textId="77777777" w:rsidR="00192CD6" w:rsidRPr="00210126" w:rsidRDefault="00192CD6" w:rsidP="00C33FF9">
            <w:pPr>
              <w:tabs>
                <w:tab w:val="decimal" w:pos="1219"/>
              </w:tabs>
              <w:spacing w:before="100" w:beforeAutospacing="1" w:after="100" w:afterAutospacing="1"/>
              <w:rPr>
                <w:iCs/>
              </w:rPr>
            </w:pPr>
            <w:r w:rsidRPr="00816DDC">
              <w:rPr>
                <w:iCs/>
              </w:rPr>
              <w:t>0</w:t>
            </w:r>
          </w:p>
        </w:tc>
        <w:tc>
          <w:tcPr>
            <w:tcW w:w="2100" w:type="dxa"/>
          </w:tcPr>
          <w:p w14:paraId="39CC04A5" w14:textId="77777777" w:rsidR="00192CD6" w:rsidRPr="00210126" w:rsidRDefault="00192CD6" w:rsidP="00C33FF9">
            <w:pPr>
              <w:tabs>
                <w:tab w:val="decimal" w:pos="1233"/>
              </w:tabs>
              <w:spacing w:before="100" w:beforeAutospacing="1" w:after="100" w:afterAutospacing="1"/>
              <w:rPr>
                <w:iCs/>
              </w:rPr>
            </w:pPr>
            <w:r w:rsidRPr="00816DDC">
              <w:rPr>
                <w:iCs/>
              </w:rPr>
              <w:t>0</w:t>
            </w:r>
          </w:p>
        </w:tc>
      </w:tr>
      <w:tr w:rsidR="00192CD6" w:rsidRPr="00816DDC" w14:paraId="045F2159" w14:textId="77777777" w:rsidTr="00192CD6">
        <w:trPr>
          <w:trHeight w:val="261"/>
        </w:trPr>
        <w:tc>
          <w:tcPr>
            <w:tcW w:w="2173" w:type="dxa"/>
          </w:tcPr>
          <w:p w14:paraId="03E981D2" w14:textId="77777777" w:rsidR="00192CD6" w:rsidRPr="00210126" w:rsidRDefault="00192CD6" w:rsidP="00C33FF9">
            <w:pPr>
              <w:spacing w:before="100" w:beforeAutospacing="1" w:after="100" w:afterAutospacing="1"/>
              <w:rPr>
                <w:iCs/>
              </w:rPr>
            </w:pPr>
            <w:r w:rsidRPr="00816DDC">
              <w:rPr>
                <w:iCs/>
              </w:rPr>
              <w:t>Halon-1301</w:t>
            </w:r>
          </w:p>
        </w:tc>
        <w:tc>
          <w:tcPr>
            <w:tcW w:w="2137" w:type="dxa"/>
          </w:tcPr>
          <w:p w14:paraId="30260685" w14:textId="77777777" w:rsidR="00192CD6" w:rsidRPr="00210126" w:rsidRDefault="00192CD6" w:rsidP="00C33FF9">
            <w:pPr>
              <w:tabs>
                <w:tab w:val="decimal" w:pos="946"/>
              </w:tabs>
              <w:spacing w:before="100" w:beforeAutospacing="1" w:after="100" w:afterAutospacing="1"/>
              <w:ind w:right="90" w:firstLine="662"/>
              <w:rPr>
                <w:iCs/>
              </w:rPr>
            </w:pPr>
            <w:r w:rsidRPr="00816DDC">
              <w:rPr>
                <w:iCs/>
              </w:rPr>
              <w:t>10</w:t>
            </w:r>
          </w:p>
        </w:tc>
        <w:tc>
          <w:tcPr>
            <w:tcW w:w="2112" w:type="dxa"/>
          </w:tcPr>
          <w:p w14:paraId="3DD4DCC1" w14:textId="77777777" w:rsidR="00192CD6" w:rsidRPr="00210126" w:rsidRDefault="00192CD6" w:rsidP="00C33FF9">
            <w:pPr>
              <w:tabs>
                <w:tab w:val="decimal" w:pos="1219"/>
              </w:tabs>
              <w:spacing w:before="100" w:beforeAutospacing="1" w:after="100" w:afterAutospacing="1"/>
              <w:rPr>
                <w:iCs/>
              </w:rPr>
            </w:pPr>
            <w:r w:rsidRPr="00C33FF9">
              <w:rPr>
                <w:lang w:val="en-US"/>
              </w:rPr>
              <w:t>871</w:t>
            </w:r>
          </w:p>
        </w:tc>
        <w:tc>
          <w:tcPr>
            <w:tcW w:w="2100" w:type="dxa"/>
          </w:tcPr>
          <w:p w14:paraId="2A25BA0C" w14:textId="77777777" w:rsidR="00192CD6" w:rsidRPr="00210126" w:rsidRDefault="00192CD6" w:rsidP="00C33FF9">
            <w:pPr>
              <w:tabs>
                <w:tab w:val="decimal" w:pos="1233"/>
              </w:tabs>
              <w:spacing w:before="100" w:beforeAutospacing="1" w:after="100" w:afterAutospacing="1"/>
              <w:rPr>
                <w:iCs/>
              </w:rPr>
            </w:pPr>
            <w:r w:rsidRPr="00C33FF9">
              <w:rPr>
                <w:lang w:val="en-US"/>
              </w:rPr>
              <w:t>8,710</w:t>
            </w:r>
          </w:p>
        </w:tc>
      </w:tr>
      <w:tr w:rsidR="00192CD6" w:rsidRPr="00816DDC" w14:paraId="3A9CB9C1" w14:textId="77777777" w:rsidTr="00192CD6">
        <w:trPr>
          <w:trHeight w:val="261"/>
        </w:trPr>
        <w:tc>
          <w:tcPr>
            <w:tcW w:w="2173" w:type="dxa"/>
          </w:tcPr>
          <w:p w14:paraId="508F15A5" w14:textId="77777777" w:rsidR="00192CD6" w:rsidRPr="00210126" w:rsidRDefault="00192CD6" w:rsidP="00C33FF9">
            <w:pPr>
              <w:spacing w:before="100" w:beforeAutospacing="1" w:after="100" w:afterAutospacing="1"/>
              <w:rPr>
                <w:iCs/>
              </w:rPr>
            </w:pPr>
            <w:r w:rsidRPr="00816DDC">
              <w:rPr>
                <w:iCs/>
              </w:rPr>
              <w:t>HBFC-21B2</w:t>
            </w:r>
          </w:p>
        </w:tc>
        <w:tc>
          <w:tcPr>
            <w:tcW w:w="2137" w:type="dxa"/>
          </w:tcPr>
          <w:p w14:paraId="1C3E2B44" w14:textId="77777777" w:rsidR="00192CD6" w:rsidRPr="00210126" w:rsidRDefault="00192CD6" w:rsidP="00C33FF9">
            <w:pPr>
              <w:tabs>
                <w:tab w:val="decimal" w:pos="946"/>
              </w:tabs>
              <w:spacing w:before="100" w:beforeAutospacing="1" w:after="100" w:afterAutospacing="1"/>
              <w:ind w:right="90" w:firstLine="662"/>
              <w:rPr>
                <w:iCs/>
              </w:rPr>
            </w:pPr>
            <w:r w:rsidRPr="00816DDC">
              <w:rPr>
                <w:iCs/>
              </w:rPr>
              <w:t>1</w:t>
            </w:r>
          </w:p>
        </w:tc>
        <w:tc>
          <w:tcPr>
            <w:tcW w:w="2112" w:type="dxa"/>
          </w:tcPr>
          <w:p w14:paraId="180E9EC1" w14:textId="77777777" w:rsidR="00192CD6" w:rsidRPr="00210126" w:rsidRDefault="00192CD6" w:rsidP="00C33FF9">
            <w:pPr>
              <w:tabs>
                <w:tab w:val="decimal" w:pos="1219"/>
              </w:tabs>
              <w:spacing w:before="100" w:beforeAutospacing="1" w:after="100" w:afterAutospacing="1"/>
              <w:rPr>
                <w:iCs/>
              </w:rPr>
            </w:pPr>
            <w:r w:rsidRPr="00C33FF9">
              <w:rPr>
                <w:lang w:val="en-US"/>
              </w:rPr>
              <w:t>6</w:t>
            </w:r>
          </w:p>
        </w:tc>
        <w:tc>
          <w:tcPr>
            <w:tcW w:w="2100" w:type="dxa"/>
          </w:tcPr>
          <w:p w14:paraId="03ED1DCB" w14:textId="77777777" w:rsidR="00192CD6" w:rsidRPr="00210126" w:rsidRDefault="00192CD6" w:rsidP="00C33FF9">
            <w:pPr>
              <w:tabs>
                <w:tab w:val="decimal" w:pos="1233"/>
              </w:tabs>
              <w:spacing w:before="100" w:beforeAutospacing="1" w:after="100" w:afterAutospacing="1"/>
              <w:rPr>
                <w:iCs/>
              </w:rPr>
            </w:pPr>
            <w:r>
              <w:rPr>
                <w:iCs/>
              </w:rPr>
              <w:t>6</w:t>
            </w:r>
          </w:p>
        </w:tc>
      </w:tr>
      <w:tr w:rsidR="00192CD6" w:rsidRPr="00816DDC" w14:paraId="292A75A0" w14:textId="77777777" w:rsidTr="00192CD6">
        <w:trPr>
          <w:trHeight w:val="261"/>
        </w:trPr>
        <w:tc>
          <w:tcPr>
            <w:tcW w:w="2173" w:type="dxa"/>
          </w:tcPr>
          <w:p w14:paraId="298F061E" w14:textId="77777777" w:rsidR="00192CD6" w:rsidRPr="00210126" w:rsidRDefault="00192CD6" w:rsidP="00BB1944">
            <w:pPr>
              <w:spacing w:before="100" w:beforeAutospacing="1" w:after="100" w:afterAutospacing="1"/>
              <w:rPr>
                <w:iCs/>
              </w:rPr>
            </w:pPr>
            <w:r w:rsidRPr="00816DDC">
              <w:rPr>
                <w:iCs/>
              </w:rPr>
              <w:t>HBFC-31B1</w:t>
            </w:r>
          </w:p>
        </w:tc>
        <w:tc>
          <w:tcPr>
            <w:tcW w:w="2137" w:type="dxa"/>
          </w:tcPr>
          <w:p w14:paraId="6EEA810A" w14:textId="77777777" w:rsidR="00192CD6" w:rsidRPr="00210126" w:rsidRDefault="00192CD6" w:rsidP="00BB1944">
            <w:pPr>
              <w:tabs>
                <w:tab w:val="decimal" w:pos="946"/>
              </w:tabs>
              <w:spacing w:before="100" w:beforeAutospacing="1" w:after="100" w:afterAutospacing="1"/>
              <w:ind w:right="90" w:firstLine="662"/>
              <w:rPr>
                <w:iCs/>
              </w:rPr>
            </w:pPr>
            <w:r w:rsidRPr="00816DDC">
              <w:rPr>
                <w:iCs/>
              </w:rPr>
              <w:t>0.73</w:t>
            </w:r>
          </w:p>
        </w:tc>
        <w:tc>
          <w:tcPr>
            <w:tcW w:w="2112" w:type="dxa"/>
          </w:tcPr>
          <w:p w14:paraId="35655C29" w14:textId="77777777" w:rsidR="00192CD6" w:rsidRPr="00210126" w:rsidRDefault="00192CD6" w:rsidP="00BB1944">
            <w:pPr>
              <w:tabs>
                <w:tab w:val="decimal" w:pos="1219"/>
              </w:tabs>
              <w:spacing w:before="100" w:beforeAutospacing="1" w:after="100" w:afterAutospacing="1"/>
              <w:rPr>
                <w:iCs/>
              </w:rPr>
            </w:pPr>
            <w:r w:rsidRPr="00BB1944">
              <w:rPr>
                <w:lang w:val="en-US"/>
              </w:rPr>
              <w:t>5</w:t>
            </w:r>
          </w:p>
        </w:tc>
        <w:tc>
          <w:tcPr>
            <w:tcW w:w="2100" w:type="dxa"/>
          </w:tcPr>
          <w:p w14:paraId="0C8D70BB" w14:textId="77777777" w:rsidR="00192CD6" w:rsidRPr="00BB1944" w:rsidRDefault="00192CD6" w:rsidP="00BB1944">
            <w:pPr>
              <w:tabs>
                <w:tab w:val="decimal" w:pos="1233"/>
              </w:tabs>
              <w:spacing w:before="100" w:beforeAutospacing="1" w:after="100" w:afterAutospacing="1"/>
              <w:rPr>
                <w:color w:val="FF0000"/>
              </w:rPr>
            </w:pPr>
            <w:r w:rsidRPr="00BB1944">
              <w:rPr>
                <w:color w:val="auto"/>
                <w:lang w:val="en-US"/>
              </w:rPr>
              <w:t>3.7</w:t>
            </w:r>
          </w:p>
        </w:tc>
      </w:tr>
      <w:tr w:rsidR="00192CD6" w:rsidRPr="00816DDC" w14:paraId="068340F7" w14:textId="77777777" w:rsidTr="00192CD6">
        <w:trPr>
          <w:trHeight w:val="261"/>
        </w:trPr>
        <w:tc>
          <w:tcPr>
            <w:tcW w:w="2173" w:type="dxa"/>
          </w:tcPr>
          <w:p w14:paraId="5CEF3DBC" w14:textId="77777777" w:rsidR="00192CD6" w:rsidRPr="00210126" w:rsidRDefault="00192CD6" w:rsidP="00BB1944">
            <w:pPr>
              <w:spacing w:before="100" w:beforeAutospacing="1" w:after="100" w:afterAutospacing="1"/>
              <w:rPr>
                <w:iCs/>
              </w:rPr>
            </w:pPr>
            <w:r w:rsidRPr="00816DDC">
              <w:rPr>
                <w:iCs/>
              </w:rPr>
              <w:t>HBF-22B1</w:t>
            </w:r>
          </w:p>
        </w:tc>
        <w:tc>
          <w:tcPr>
            <w:tcW w:w="2137" w:type="dxa"/>
          </w:tcPr>
          <w:p w14:paraId="6120417E" w14:textId="77777777" w:rsidR="00192CD6" w:rsidRPr="00210126" w:rsidRDefault="00192CD6" w:rsidP="00BB1944">
            <w:pPr>
              <w:tabs>
                <w:tab w:val="decimal" w:pos="946"/>
              </w:tabs>
              <w:spacing w:before="100" w:beforeAutospacing="1" w:after="100" w:afterAutospacing="1"/>
              <w:ind w:right="90" w:firstLine="662"/>
              <w:rPr>
                <w:iCs/>
              </w:rPr>
            </w:pPr>
            <w:r w:rsidRPr="00816DDC">
              <w:rPr>
                <w:iCs/>
              </w:rPr>
              <w:t>0.74</w:t>
            </w:r>
          </w:p>
        </w:tc>
        <w:tc>
          <w:tcPr>
            <w:tcW w:w="2112" w:type="dxa"/>
          </w:tcPr>
          <w:p w14:paraId="2D7D63B4" w14:textId="77777777" w:rsidR="00192CD6" w:rsidRPr="00210126" w:rsidRDefault="00192CD6" w:rsidP="00BB1944">
            <w:pPr>
              <w:tabs>
                <w:tab w:val="decimal" w:pos="1219"/>
              </w:tabs>
              <w:spacing w:before="100" w:beforeAutospacing="1" w:after="100" w:afterAutospacing="1"/>
              <w:rPr>
                <w:iCs/>
              </w:rPr>
            </w:pPr>
            <w:r>
              <w:rPr>
                <w:iCs/>
              </w:rPr>
              <w:t>1</w:t>
            </w:r>
          </w:p>
        </w:tc>
        <w:tc>
          <w:tcPr>
            <w:tcW w:w="2100" w:type="dxa"/>
          </w:tcPr>
          <w:p w14:paraId="3E66BD91" w14:textId="77777777" w:rsidR="00192CD6" w:rsidRPr="00210126" w:rsidRDefault="00192CD6" w:rsidP="00BB1944">
            <w:pPr>
              <w:tabs>
                <w:tab w:val="decimal" w:pos="1233"/>
              </w:tabs>
              <w:spacing w:before="100" w:beforeAutospacing="1" w:after="100" w:afterAutospacing="1"/>
              <w:rPr>
                <w:iCs/>
              </w:rPr>
            </w:pPr>
            <w:r>
              <w:rPr>
                <w:iCs/>
              </w:rPr>
              <w:t>0.7</w:t>
            </w:r>
          </w:p>
        </w:tc>
      </w:tr>
      <w:tr w:rsidR="00192CD6" w:rsidRPr="00816DDC" w14:paraId="0A6747F3" w14:textId="77777777" w:rsidTr="00192CD6">
        <w:trPr>
          <w:trHeight w:val="261"/>
        </w:trPr>
        <w:tc>
          <w:tcPr>
            <w:tcW w:w="2173" w:type="dxa"/>
          </w:tcPr>
          <w:p w14:paraId="745FFCAC" w14:textId="77777777" w:rsidR="00192CD6" w:rsidRPr="00210126" w:rsidRDefault="00192CD6" w:rsidP="00BB1944">
            <w:pPr>
              <w:spacing w:before="100" w:beforeAutospacing="1" w:after="100" w:afterAutospacing="1"/>
              <w:rPr>
                <w:iCs/>
              </w:rPr>
            </w:pPr>
            <w:r w:rsidRPr="00816DDC">
              <w:rPr>
                <w:iCs/>
              </w:rPr>
              <w:t>Methyl Bromide</w:t>
            </w:r>
          </w:p>
        </w:tc>
        <w:tc>
          <w:tcPr>
            <w:tcW w:w="2137" w:type="dxa"/>
          </w:tcPr>
          <w:p w14:paraId="216D547D" w14:textId="77777777" w:rsidR="00192CD6" w:rsidRPr="00210126" w:rsidRDefault="00192CD6" w:rsidP="00BB1944">
            <w:pPr>
              <w:tabs>
                <w:tab w:val="decimal" w:pos="946"/>
              </w:tabs>
              <w:spacing w:before="100" w:beforeAutospacing="1" w:after="100" w:afterAutospacing="1"/>
              <w:ind w:right="90" w:firstLine="662"/>
              <w:rPr>
                <w:iCs/>
              </w:rPr>
            </w:pPr>
            <w:r w:rsidRPr="00816DDC">
              <w:rPr>
                <w:iCs/>
              </w:rPr>
              <w:t>0.6</w:t>
            </w:r>
          </w:p>
        </w:tc>
        <w:tc>
          <w:tcPr>
            <w:tcW w:w="2112" w:type="dxa"/>
          </w:tcPr>
          <w:p w14:paraId="7A4EF894" w14:textId="77777777" w:rsidR="00192CD6" w:rsidRPr="00210126" w:rsidRDefault="00192CD6" w:rsidP="00BB1944">
            <w:pPr>
              <w:tabs>
                <w:tab w:val="decimal" w:pos="1219"/>
              </w:tabs>
              <w:spacing w:before="100" w:beforeAutospacing="1" w:after="100" w:afterAutospacing="1"/>
              <w:rPr>
                <w:iCs/>
              </w:rPr>
            </w:pPr>
            <w:r w:rsidRPr="00BB1944">
              <w:rPr>
                <w:lang w:val="en-US"/>
              </w:rPr>
              <w:t>4,072</w:t>
            </w:r>
          </w:p>
        </w:tc>
        <w:tc>
          <w:tcPr>
            <w:tcW w:w="2100" w:type="dxa"/>
          </w:tcPr>
          <w:p w14:paraId="42A3364F" w14:textId="77777777" w:rsidR="00192CD6" w:rsidRPr="00210126" w:rsidRDefault="00192CD6" w:rsidP="00BB1944">
            <w:pPr>
              <w:tabs>
                <w:tab w:val="decimal" w:pos="1233"/>
              </w:tabs>
              <w:spacing w:before="100" w:beforeAutospacing="1" w:after="100" w:afterAutospacing="1"/>
              <w:rPr>
                <w:iCs/>
              </w:rPr>
            </w:pPr>
            <w:r w:rsidRPr="00BB1944">
              <w:rPr>
                <w:lang w:val="en-US"/>
              </w:rPr>
              <w:t>2,443</w:t>
            </w:r>
          </w:p>
        </w:tc>
      </w:tr>
      <w:tr w:rsidR="00192CD6" w:rsidRPr="00816DDC" w14:paraId="655202FE" w14:textId="77777777" w:rsidTr="00192CD6">
        <w:trPr>
          <w:trHeight w:val="261"/>
        </w:trPr>
        <w:tc>
          <w:tcPr>
            <w:tcW w:w="2173" w:type="dxa"/>
          </w:tcPr>
          <w:p w14:paraId="373FE130" w14:textId="77777777" w:rsidR="00192CD6" w:rsidRPr="00210126" w:rsidRDefault="00192CD6" w:rsidP="00BB1944">
            <w:pPr>
              <w:spacing w:before="100" w:beforeAutospacing="1" w:after="100" w:afterAutospacing="1"/>
              <w:rPr>
                <w:iCs/>
              </w:rPr>
            </w:pPr>
            <w:r w:rsidRPr="00816DDC">
              <w:rPr>
                <w:iCs/>
              </w:rPr>
              <w:t>Bromochloromethane</w:t>
            </w:r>
          </w:p>
        </w:tc>
        <w:tc>
          <w:tcPr>
            <w:tcW w:w="2137" w:type="dxa"/>
          </w:tcPr>
          <w:p w14:paraId="28AEB2D9" w14:textId="77777777" w:rsidR="00192CD6" w:rsidRPr="00210126" w:rsidRDefault="00192CD6" w:rsidP="00BB1944">
            <w:pPr>
              <w:tabs>
                <w:tab w:val="decimal" w:pos="946"/>
              </w:tabs>
              <w:spacing w:before="100" w:beforeAutospacing="1" w:after="100" w:afterAutospacing="1"/>
              <w:ind w:right="90" w:firstLine="662"/>
              <w:rPr>
                <w:iCs/>
              </w:rPr>
            </w:pPr>
            <w:r w:rsidRPr="00816DDC">
              <w:rPr>
                <w:iCs/>
              </w:rPr>
              <w:t>0.12</w:t>
            </w:r>
          </w:p>
        </w:tc>
        <w:tc>
          <w:tcPr>
            <w:tcW w:w="2112" w:type="dxa"/>
          </w:tcPr>
          <w:p w14:paraId="51100274" w14:textId="77777777" w:rsidR="00192CD6" w:rsidRPr="00210126" w:rsidRDefault="00192CD6" w:rsidP="00BB1944">
            <w:pPr>
              <w:tabs>
                <w:tab w:val="decimal" w:pos="1219"/>
              </w:tabs>
              <w:spacing w:before="100" w:beforeAutospacing="1" w:after="100" w:afterAutospacing="1"/>
              <w:rPr>
                <w:iCs/>
              </w:rPr>
            </w:pPr>
            <w:r w:rsidRPr="00BB1944">
              <w:rPr>
                <w:lang w:val="en-US"/>
              </w:rPr>
              <w:t>1,414</w:t>
            </w:r>
          </w:p>
        </w:tc>
        <w:tc>
          <w:tcPr>
            <w:tcW w:w="2100" w:type="dxa"/>
          </w:tcPr>
          <w:p w14:paraId="6E3AEAE3" w14:textId="77777777" w:rsidR="00192CD6" w:rsidRPr="00210126" w:rsidRDefault="00192CD6" w:rsidP="00BB1944">
            <w:pPr>
              <w:tabs>
                <w:tab w:val="decimal" w:pos="1233"/>
              </w:tabs>
              <w:spacing w:before="100" w:beforeAutospacing="1" w:after="100" w:afterAutospacing="1"/>
              <w:rPr>
                <w:iCs/>
              </w:rPr>
            </w:pPr>
            <w:r w:rsidRPr="00BB1944">
              <w:rPr>
                <w:lang w:val="en-US"/>
              </w:rPr>
              <w:t>170</w:t>
            </w:r>
          </w:p>
        </w:tc>
      </w:tr>
      <w:tr w:rsidR="00192CD6" w:rsidRPr="00816DDC" w14:paraId="0C1A95A4" w14:textId="77777777" w:rsidTr="00192CD6">
        <w:trPr>
          <w:trHeight w:val="261"/>
        </w:trPr>
        <w:tc>
          <w:tcPr>
            <w:tcW w:w="2173" w:type="dxa"/>
          </w:tcPr>
          <w:p w14:paraId="1649C648" w14:textId="77777777" w:rsidR="00192CD6" w:rsidRPr="00210126" w:rsidRDefault="00192CD6" w:rsidP="00BB1944">
            <w:pPr>
              <w:spacing w:before="100" w:beforeAutospacing="1" w:after="100" w:afterAutospacing="1"/>
              <w:rPr>
                <w:iCs/>
              </w:rPr>
            </w:pPr>
            <w:r w:rsidRPr="00816DDC">
              <w:rPr>
                <w:iCs/>
              </w:rPr>
              <w:t>HCFC-22</w:t>
            </w:r>
          </w:p>
        </w:tc>
        <w:tc>
          <w:tcPr>
            <w:tcW w:w="2137" w:type="dxa"/>
          </w:tcPr>
          <w:p w14:paraId="2748833C" w14:textId="77777777" w:rsidR="00192CD6" w:rsidRPr="00210126" w:rsidRDefault="00192CD6" w:rsidP="00BB1944">
            <w:pPr>
              <w:tabs>
                <w:tab w:val="decimal" w:pos="946"/>
              </w:tabs>
              <w:spacing w:before="100" w:beforeAutospacing="1" w:after="100" w:afterAutospacing="1"/>
              <w:ind w:right="90" w:firstLine="662"/>
              <w:rPr>
                <w:iCs/>
              </w:rPr>
            </w:pPr>
            <w:r w:rsidRPr="00816DDC">
              <w:rPr>
                <w:iCs/>
              </w:rPr>
              <w:t>0.055</w:t>
            </w:r>
          </w:p>
        </w:tc>
        <w:tc>
          <w:tcPr>
            <w:tcW w:w="2112" w:type="dxa"/>
          </w:tcPr>
          <w:p w14:paraId="23DF6ECA" w14:textId="77777777" w:rsidR="00192CD6" w:rsidRPr="00210126" w:rsidRDefault="00192CD6" w:rsidP="00BB1944">
            <w:pPr>
              <w:tabs>
                <w:tab w:val="decimal" w:pos="1219"/>
              </w:tabs>
              <w:spacing w:before="100" w:beforeAutospacing="1" w:after="100" w:afterAutospacing="1"/>
              <w:rPr>
                <w:iCs/>
              </w:rPr>
            </w:pPr>
            <w:r w:rsidRPr="00BB1944">
              <w:rPr>
                <w:lang w:val="en-US"/>
              </w:rPr>
              <w:t>519,891</w:t>
            </w:r>
          </w:p>
        </w:tc>
        <w:tc>
          <w:tcPr>
            <w:tcW w:w="2100" w:type="dxa"/>
          </w:tcPr>
          <w:p w14:paraId="4DA9F4A1" w14:textId="77777777" w:rsidR="00192CD6" w:rsidRPr="00210126" w:rsidRDefault="00192CD6" w:rsidP="00BB1944">
            <w:pPr>
              <w:tabs>
                <w:tab w:val="decimal" w:pos="1233"/>
              </w:tabs>
              <w:spacing w:before="100" w:beforeAutospacing="1" w:after="100" w:afterAutospacing="1"/>
              <w:rPr>
                <w:iCs/>
              </w:rPr>
            </w:pPr>
            <w:r w:rsidRPr="00BB1944">
              <w:rPr>
                <w:lang w:val="en-US"/>
              </w:rPr>
              <w:t>28,594</w:t>
            </w:r>
          </w:p>
        </w:tc>
      </w:tr>
      <w:tr w:rsidR="00192CD6" w:rsidRPr="00816DDC" w14:paraId="2F4E5184" w14:textId="77777777" w:rsidTr="00192CD6">
        <w:trPr>
          <w:trHeight w:val="261"/>
        </w:trPr>
        <w:tc>
          <w:tcPr>
            <w:tcW w:w="2173" w:type="dxa"/>
          </w:tcPr>
          <w:p w14:paraId="72EB5D30" w14:textId="77777777" w:rsidR="00192CD6" w:rsidRPr="00210126" w:rsidRDefault="00192CD6" w:rsidP="00BB1944">
            <w:pPr>
              <w:spacing w:before="100" w:beforeAutospacing="1" w:after="100" w:afterAutospacing="1"/>
              <w:rPr>
                <w:iCs/>
              </w:rPr>
            </w:pPr>
            <w:r w:rsidRPr="00816DDC">
              <w:rPr>
                <w:iCs/>
              </w:rPr>
              <w:t>HCFC-123</w:t>
            </w:r>
          </w:p>
        </w:tc>
        <w:tc>
          <w:tcPr>
            <w:tcW w:w="2137" w:type="dxa"/>
          </w:tcPr>
          <w:p w14:paraId="4A62E582" w14:textId="77777777" w:rsidR="00192CD6" w:rsidRPr="00210126" w:rsidRDefault="00192CD6" w:rsidP="00BB1944">
            <w:pPr>
              <w:tabs>
                <w:tab w:val="decimal" w:pos="946"/>
              </w:tabs>
              <w:spacing w:before="100" w:beforeAutospacing="1" w:after="100" w:afterAutospacing="1"/>
              <w:ind w:right="90" w:firstLine="662"/>
              <w:rPr>
                <w:iCs/>
              </w:rPr>
            </w:pPr>
            <w:r w:rsidRPr="00816DDC">
              <w:rPr>
                <w:iCs/>
              </w:rPr>
              <w:t>0.02</w:t>
            </w:r>
          </w:p>
        </w:tc>
        <w:tc>
          <w:tcPr>
            <w:tcW w:w="2112" w:type="dxa"/>
          </w:tcPr>
          <w:p w14:paraId="4F0B9BCB" w14:textId="77777777" w:rsidR="00192CD6" w:rsidRPr="00210126" w:rsidRDefault="00192CD6" w:rsidP="00BB1944">
            <w:pPr>
              <w:tabs>
                <w:tab w:val="decimal" w:pos="1219"/>
              </w:tabs>
              <w:spacing w:before="100" w:beforeAutospacing="1" w:after="100" w:afterAutospacing="1"/>
              <w:rPr>
                <w:iCs/>
              </w:rPr>
            </w:pPr>
            <w:r w:rsidRPr="00BB1944">
              <w:rPr>
                <w:lang w:val="en-US"/>
              </w:rPr>
              <w:t>5,396</w:t>
            </w:r>
          </w:p>
        </w:tc>
        <w:tc>
          <w:tcPr>
            <w:tcW w:w="2100" w:type="dxa"/>
          </w:tcPr>
          <w:p w14:paraId="0B64A659" w14:textId="77777777" w:rsidR="00192CD6" w:rsidRPr="00210126" w:rsidRDefault="00192CD6" w:rsidP="00BB1944">
            <w:pPr>
              <w:tabs>
                <w:tab w:val="decimal" w:pos="1233"/>
              </w:tabs>
              <w:spacing w:before="100" w:beforeAutospacing="1" w:after="100" w:afterAutospacing="1"/>
              <w:rPr>
                <w:iCs/>
              </w:rPr>
            </w:pPr>
            <w:r w:rsidRPr="00BB1944">
              <w:rPr>
                <w:lang w:val="en-US"/>
              </w:rPr>
              <w:t>324</w:t>
            </w:r>
          </w:p>
        </w:tc>
      </w:tr>
      <w:tr w:rsidR="00192CD6" w:rsidRPr="00816DDC" w14:paraId="2D834F94" w14:textId="77777777" w:rsidTr="00192CD6">
        <w:trPr>
          <w:trHeight w:val="261"/>
        </w:trPr>
        <w:tc>
          <w:tcPr>
            <w:tcW w:w="2173" w:type="dxa"/>
          </w:tcPr>
          <w:p w14:paraId="6A99FCBB" w14:textId="77777777" w:rsidR="00192CD6" w:rsidRPr="00210126" w:rsidRDefault="00192CD6" w:rsidP="00BB1944">
            <w:pPr>
              <w:spacing w:before="100" w:beforeAutospacing="1" w:after="100" w:afterAutospacing="1"/>
              <w:rPr>
                <w:iCs/>
              </w:rPr>
            </w:pPr>
            <w:r w:rsidRPr="00816DDC">
              <w:rPr>
                <w:iCs/>
              </w:rPr>
              <w:t>HCFC-124</w:t>
            </w:r>
          </w:p>
        </w:tc>
        <w:tc>
          <w:tcPr>
            <w:tcW w:w="2137" w:type="dxa"/>
          </w:tcPr>
          <w:p w14:paraId="30819296" w14:textId="77777777" w:rsidR="00192CD6" w:rsidRPr="00210126" w:rsidRDefault="00192CD6" w:rsidP="00BB1944">
            <w:pPr>
              <w:tabs>
                <w:tab w:val="decimal" w:pos="946"/>
              </w:tabs>
              <w:spacing w:before="100" w:beforeAutospacing="1" w:after="100" w:afterAutospacing="1"/>
              <w:ind w:right="90" w:firstLine="662"/>
              <w:rPr>
                <w:iCs/>
              </w:rPr>
            </w:pPr>
            <w:r w:rsidRPr="00816DDC">
              <w:rPr>
                <w:iCs/>
              </w:rPr>
              <w:t>0.022</w:t>
            </w:r>
          </w:p>
        </w:tc>
        <w:tc>
          <w:tcPr>
            <w:tcW w:w="2112" w:type="dxa"/>
          </w:tcPr>
          <w:p w14:paraId="75E1599C" w14:textId="77777777" w:rsidR="00192CD6" w:rsidRPr="00210126" w:rsidRDefault="00192CD6" w:rsidP="00BB1944">
            <w:pPr>
              <w:tabs>
                <w:tab w:val="decimal" w:pos="1219"/>
              </w:tabs>
              <w:spacing w:before="100" w:beforeAutospacing="1" w:after="100" w:afterAutospacing="1"/>
              <w:rPr>
                <w:iCs/>
              </w:rPr>
            </w:pPr>
            <w:r w:rsidRPr="00BB1944">
              <w:rPr>
                <w:lang w:val="en-US"/>
              </w:rPr>
              <w:t>32,756</w:t>
            </w:r>
          </w:p>
        </w:tc>
        <w:tc>
          <w:tcPr>
            <w:tcW w:w="2100" w:type="dxa"/>
          </w:tcPr>
          <w:p w14:paraId="61379CB2" w14:textId="77777777" w:rsidR="00192CD6" w:rsidRPr="00210126" w:rsidRDefault="00192CD6" w:rsidP="00BB1944">
            <w:pPr>
              <w:tabs>
                <w:tab w:val="decimal" w:pos="1233"/>
              </w:tabs>
              <w:spacing w:before="100" w:beforeAutospacing="1" w:after="100" w:afterAutospacing="1"/>
              <w:rPr>
                <w:iCs/>
              </w:rPr>
            </w:pPr>
            <w:r w:rsidRPr="00BB1944">
              <w:rPr>
                <w:lang w:val="en-US"/>
              </w:rPr>
              <w:t>7,206</w:t>
            </w:r>
          </w:p>
        </w:tc>
      </w:tr>
      <w:tr w:rsidR="00192CD6" w:rsidRPr="00816DDC" w14:paraId="2893DA22" w14:textId="77777777" w:rsidTr="00192CD6">
        <w:trPr>
          <w:trHeight w:val="261"/>
        </w:trPr>
        <w:tc>
          <w:tcPr>
            <w:tcW w:w="2173" w:type="dxa"/>
          </w:tcPr>
          <w:p w14:paraId="21909E5C" w14:textId="77777777" w:rsidR="00192CD6" w:rsidRPr="00210126" w:rsidRDefault="00192CD6" w:rsidP="00BB1944">
            <w:pPr>
              <w:spacing w:before="100" w:beforeAutospacing="1" w:after="100" w:afterAutospacing="1"/>
              <w:rPr>
                <w:iCs/>
              </w:rPr>
            </w:pPr>
            <w:r w:rsidRPr="00816DDC">
              <w:rPr>
                <w:iCs/>
              </w:rPr>
              <w:t>HCFC-141b</w:t>
            </w:r>
          </w:p>
        </w:tc>
        <w:tc>
          <w:tcPr>
            <w:tcW w:w="2137" w:type="dxa"/>
          </w:tcPr>
          <w:p w14:paraId="4417EEBD" w14:textId="77777777" w:rsidR="00192CD6" w:rsidRPr="00210126" w:rsidRDefault="00192CD6" w:rsidP="00BB1944">
            <w:pPr>
              <w:tabs>
                <w:tab w:val="decimal" w:pos="946"/>
              </w:tabs>
              <w:spacing w:before="100" w:beforeAutospacing="1" w:after="100" w:afterAutospacing="1"/>
              <w:ind w:right="90" w:firstLine="662"/>
              <w:rPr>
                <w:iCs/>
              </w:rPr>
            </w:pPr>
            <w:r w:rsidRPr="00816DDC">
              <w:rPr>
                <w:iCs/>
              </w:rPr>
              <w:t>0.11</w:t>
            </w:r>
          </w:p>
        </w:tc>
        <w:tc>
          <w:tcPr>
            <w:tcW w:w="2112" w:type="dxa"/>
          </w:tcPr>
          <w:p w14:paraId="652E8ECB" w14:textId="77777777" w:rsidR="00192CD6" w:rsidRPr="00210126" w:rsidRDefault="00192CD6" w:rsidP="00BB1944">
            <w:pPr>
              <w:tabs>
                <w:tab w:val="decimal" w:pos="1219"/>
              </w:tabs>
              <w:spacing w:before="100" w:beforeAutospacing="1" w:after="100" w:afterAutospacing="1"/>
              <w:rPr>
                <w:iCs/>
              </w:rPr>
            </w:pPr>
            <w:r w:rsidRPr="00BB1944">
              <w:rPr>
                <w:lang w:val="en-US"/>
              </w:rPr>
              <w:t>12,388</w:t>
            </w:r>
          </w:p>
        </w:tc>
        <w:tc>
          <w:tcPr>
            <w:tcW w:w="2100" w:type="dxa"/>
          </w:tcPr>
          <w:p w14:paraId="4628DC2F" w14:textId="77777777" w:rsidR="00192CD6" w:rsidRPr="00210126" w:rsidRDefault="00192CD6" w:rsidP="00BB1944">
            <w:pPr>
              <w:tabs>
                <w:tab w:val="decimal" w:pos="1233"/>
              </w:tabs>
              <w:spacing w:before="100" w:beforeAutospacing="1" w:after="100" w:afterAutospacing="1"/>
              <w:rPr>
                <w:iCs/>
              </w:rPr>
            </w:pPr>
            <w:r w:rsidRPr="00BB1944">
              <w:rPr>
                <w:lang w:val="en-US"/>
              </w:rPr>
              <w:t>1,363</w:t>
            </w:r>
          </w:p>
        </w:tc>
      </w:tr>
      <w:tr w:rsidR="00192CD6" w:rsidRPr="00816DDC" w14:paraId="2DCE5B22" w14:textId="77777777" w:rsidTr="00192CD6">
        <w:trPr>
          <w:trHeight w:val="261"/>
        </w:trPr>
        <w:tc>
          <w:tcPr>
            <w:tcW w:w="2173" w:type="dxa"/>
          </w:tcPr>
          <w:p w14:paraId="4B2402C6" w14:textId="77777777" w:rsidR="00192CD6" w:rsidRPr="00210126" w:rsidRDefault="00192CD6" w:rsidP="00BB1944">
            <w:pPr>
              <w:spacing w:before="100" w:beforeAutospacing="1" w:after="100" w:afterAutospacing="1"/>
              <w:rPr>
                <w:iCs/>
              </w:rPr>
            </w:pPr>
            <w:r w:rsidRPr="00816DDC">
              <w:rPr>
                <w:iCs/>
              </w:rPr>
              <w:t>HCFC-142b</w:t>
            </w:r>
          </w:p>
        </w:tc>
        <w:tc>
          <w:tcPr>
            <w:tcW w:w="2137" w:type="dxa"/>
          </w:tcPr>
          <w:p w14:paraId="3F8B3727" w14:textId="77777777" w:rsidR="00192CD6" w:rsidRPr="00210126" w:rsidRDefault="00192CD6" w:rsidP="00BB1944">
            <w:pPr>
              <w:tabs>
                <w:tab w:val="decimal" w:pos="946"/>
              </w:tabs>
              <w:spacing w:before="100" w:beforeAutospacing="1" w:after="100" w:afterAutospacing="1"/>
              <w:ind w:right="90" w:firstLine="662"/>
              <w:rPr>
                <w:iCs/>
              </w:rPr>
            </w:pPr>
            <w:r w:rsidRPr="00816DDC">
              <w:rPr>
                <w:iCs/>
              </w:rPr>
              <w:t>0.065</w:t>
            </w:r>
          </w:p>
        </w:tc>
        <w:tc>
          <w:tcPr>
            <w:tcW w:w="2112" w:type="dxa"/>
          </w:tcPr>
          <w:p w14:paraId="5ACFA91C" w14:textId="77777777" w:rsidR="00192CD6" w:rsidRPr="00210126" w:rsidRDefault="00192CD6" w:rsidP="00BB1944">
            <w:pPr>
              <w:tabs>
                <w:tab w:val="decimal" w:pos="1219"/>
              </w:tabs>
              <w:spacing w:before="100" w:beforeAutospacing="1" w:after="100" w:afterAutospacing="1"/>
              <w:rPr>
                <w:iCs/>
              </w:rPr>
            </w:pPr>
            <w:r w:rsidRPr="00BB1944">
              <w:rPr>
                <w:lang w:val="en-US"/>
              </w:rPr>
              <w:t>119,084</w:t>
            </w:r>
          </w:p>
        </w:tc>
        <w:tc>
          <w:tcPr>
            <w:tcW w:w="2100" w:type="dxa"/>
          </w:tcPr>
          <w:p w14:paraId="6B977E1F" w14:textId="77777777" w:rsidR="00192CD6" w:rsidRPr="00210126" w:rsidRDefault="00192CD6" w:rsidP="00BB1944">
            <w:pPr>
              <w:tabs>
                <w:tab w:val="decimal" w:pos="1233"/>
              </w:tabs>
              <w:spacing w:before="100" w:beforeAutospacing="1" w:after="100" w:afterAutospacing="1"/>
              <w:rPr>
                <w:iCs/>
              </w:rPr>
            </w:pPr>
            <w:r w:rsidRPr="00BB1944">
              <w:rPr>
                <w:lang w:val="en-US"/>
              </w:rPr>
              <w:t>7,741</w:t>
            </w:r>
          </w:p>
        </w:tc>
      </w:tr>
      <w:tr w:rsidR="00192CD6" w:rsidRPr="00816DDC" w14:paraId="7DCEB3EF" w14:textId="77777777" w:rsidTr="00192CD6">
        <w:trPr>
          <w:trHeight w:val="261"/>
        </w:trPr>
        <w:tc>
          <w:tcPr>
            <w:tcW w:w="2173" w:type="dxa"/>
          </w:tcPr>
          <w:p w14:paraId="608AE22B" w14:textId="77777777" w:rsidR="00192CD6" w:rsidRPr="00210126" w:rsidRDefault="00192CD6" w:rsidP="00BB1944">
            <w:pPr>
              <w:spacing w:before="100" w:beforeAutospacing="1" w:after="100" w:afterAutospacing="1"/>
              <w:rPr>
                <w:iCs/>
              </w:rPr>
            </w:pPr>
            <w:r w:rsidRPr="00816DDC">
              <w:rPr>
                <w:iCs/>
              </w:rPr>
              <w:t>HCFC-31</w:t>
            </w:r>
          </w:p>
        </w:tc>
        <w:tc>
          <w:tcPr>
            <w:tcW w:w="2137" w:type="dxa"/>
          </w:tcPr>
          <w:p w14:paraId="4B137C03" w14:textId="77777777" w:rsidR="00192CD6" w:rsidRPr="00210126" w:rsidRDefault="00192CD6" w:rsidP="00BB1944">
            <w:pPr>
              <w:tabs>
                <w:tab w:val="decimal" w:pos="946"/>
              </w:tabs>
              <w:spacing w:before="100" w:beforeAutospacing="1" w:after="100" w:afterAutospacing="1"/>
              <w:ind w:right="90" w:firstLine="662"/>
              <w:rPr>
                <w:iCs/>
              </w:rPr>
            </w:pPr>
            <w:r w:rsidRPr="00816DDC">
              <w:rPr>
                <w:iCs/>
              </w:rPr>
              <w:t>0.02</w:t>
            </w:r>
          </w:p>
        </w:tc>
        <w:tc>
          <w:tcPr>
            <w:tcW w:w="2112" w:type="dxa"/>
          </w:tcPr>
          <w:p w14:paraId="45896A9D" w14:textId="77777777" w:rsidR="00192CD6" w:rsidRPr="00210126" w:rsidRDefault="00192CD6" w:rsidP="00BB1944">
            <w:pPr>
              <w:tabs>
                <w:tab w:val="decimal" w:pos="1219"/>
              </w:tabs>
              <w:spacing w:before="100" w:beforeAutospacing="1" w:after="100" w:afterAutospacing="1"/>
              <w:rPr>
                <w:iCs/>
              </w:rPr>
            </w:pPr>
            <w:r w:rsidRPr="00816DDC">
              <w:rPr>
                <w:iCs/>
              </w:rPr>
              <w:t>0</w:t>
            </w:r>
          </w:p>
        </w:tc>
        <w:tc>
          <w:tcPr>
            <w:tcW w:w="2100" w:type="dxa"/>
          </w:tcPr>
          <w:p w14:paraId="43CBD59D" w14:textId="77777777" w:rsidR="00192CD6" w:rsidRPr="00210126" w:rsidRDefault="00192CD6" w:rsidP="00BB1944">
            <w:pPr>
              <w:tabs>
                <w:tab w:val="decimal" w:pos="1233"/>
              </w:tabs>
              <w:spacing w:before="100" w:beforeAutospacing="1" w:after="100" w:afterAutospacing="1"/>
              <w:rPr>
                <w:iCs/>
              </w:rPr>
            </w:pPr>
            <w:r w:rsidRPr="00816DDC">
              <w:rPr>
                <w:iCs/>
              </w:rPr>
              <w:t>0</w:t>
            </w:r>
          </w:p>
        </w:tc>
      </w:tr>
      <w:tr w:rsidR="00192CD6" w:rsidRPr="00816DDC" w14:paraId="265FBEAD" w14:textId="77777777" w:rsidTr="00192CD6">
        <w:trPr>
          <w:trHeight w:val="261"/>
        </w:trPr>
        <w:tc>
          <w:tcPr>
            <w:tcW w:w="2173" w:type="dxa"/>
          </w:tcPr>
          <w:p w14:paraId="7DD9D819" w14:textId="77777777" w:rsidR="00192CD6" w:rsidRPr="00BB1944" w:rsidRDefault="00192CD6" w:rsidP="00BB1944">
            <w:pPr>
              <w:spacing w:before="100" w:beforeAutospacing="1" w:after="100" w:afterAutospacing="1"/>
              <w:rPr>
                <w:b/>
              </w:rPr>
            </w:pPr>
            <w:r w:rsidRPr="00BB1944">
              <w:rPr>
                <w:b/>
              </w:rPr>
              <w:t>Total</w:t>
            </w:r>
          </w:p>
        </w:tc>
        <w:tc>
          <w:tcPr>
            <w:tcW w:w="2137" w:type="dxa"/>
          </w:tcPr>
          <w:p w14:paraId="29443616" w14:textId="77777777" w:rsidR="00192CD6" w:rsidRPr="00210126" w:rsidRDefault="00192CD6" w:rsidP="00BB1944">
            <w:pPr>
              <w:tabs>
                <w:tab w:val="decimal" w:pos="662"/>
              </w:tabs>
              <w:spacing w:before="100" w:beforeAutospacing="1" w:after="100" w:afterAutospacing="1"/>
              <w:ind w:right="90" w:firstLine="662"/>
              <w:rPr>
                <w:iCs/>
              </w:rPr>
            </w:pPr>
          </w:p>
        </w:tc>
        <w:tc>
          <w:tcPr>
            <w:tcW w:w="2112" w:type="dxa"/>
          </w:tcPr>
          <w:p w14:paraId="38DBBF56" w14:textId="77777777" w:rsidR="00192CD6" w:rsidRPr="008F0C28" w:rsidRDefault="00192CD6" w:rsidP="00BB1944">
            <w:pPr>
              <w:tabs>
                <w:tab w:val="decimal" w:pos="1219"/>
              </w:tabs>
              <w:spacing w:before="100" w:beforeAutospacing="1" w:after="100" w:afterAutospacing="1"/>
              <w:rPr>
                <w:iCs/>
              </w:rPr>
            </w:pPr>
            <w:r w:rsidRPr="00BB1944">
              <w:rPr>
                <w:lang w:val="en-US"/>
              </w:rPr>
              <w:t>1,084,101</w:t>
            </w:r>
          </w:p>
        </w:tc>
        <w:tc>
          <w:tcPr>
            <w:tcW w:w="2100" w:type="dxa"/>
          </w:tcPr>
          <w:p w14:paraId="61481BCF" w14:textId="77777777" w:rsidR="00192CD6" w:rsidRPr="008F0C28" w:rsidRDefault="00192CD6" w:rsidP="00BB1944">
            <w:pPr>
              <w:tabs>
                <w:tab w:val="decimal" w:pos="1233"/>
              </w:tabs>
              <w:spacing w:before="100" w:beforeAutospacing="1" w:after="100" w:afterAutospacing="1"/>
              <w:rPr>
                <w:iCs/>
              </w:rPr>
            </w:pPr>
            <w:r w:rsidRPr="00BB1944">
              <w:rPr>
                <w:lang w:val="en-US"/>
              </w:rPr>
              <w:t>375,488</w:t>
            </w:r>
          </w:p>
        </w:tc>
      </w:tr>
    </w:tbl>
    <w:p w14:paraId="4222AA98" w14:textId="77777777" w:rsidR="00192CD6" w:rsidRDefault="00192CD6" w:rsidP="00192CD6">
      <w:pPr>
        <w:rPr>
          <w:iCs/>
        </w:rPr>
      </w:pPr>
    </w:p>
    <w:p w14:paraId="7EF01DAA" w14:textId="52D3AC54" w:rsidR="00656E7D" w:rsidRPr="00656E7D" w:rsidRDefault="00656E7D" w:rsidP="00A140B1">
      <w:r w:rsidRPr="00656E7D">
        <w:t xml:space="preserve">Figure 5.1 shows quantities of controlled substances imported or produced for feedstock uses from 2002 to 2015 based on Article 7 data reporting by </w:t>
      </w:r>
      <w:r w:rsidR="00BF2381">
        <w:t>p</w:t>
      </w:r>
      <w:r w:rsidRPr="00656E7D">
        <w:t xml:space="preserve">arties. These data indicate a general upward trend in feedstock uses of controlled substances in the last decade, with production/importation of Annex CI substances increasing, and a slight decreasing trend in Annex AI substances. Figure 5.2 shows the number of </w:t>
      </w:r>
      <w:r w:rsidR="00BF2381">
        <w:t>p</w:t>
      </w:r>
      <w:r w:rsidRPr="00656E7D">
        <w:t>arties reporting this data for each year, which indicates a general downward trend over the period. The Ozone Secretariat is credited for providing the data presented in these figures.</w:t>
      </w:r>
    </w:p>
    <w:p w14:paraId="23438E8B" w14:textId="10F0E9E5" w:rsidR="00497F61" w:rsidRPr="00BB1944" w:rsidRDefault="00497F61" w:rsidP="0015746F">
      <w:pPr>
        <w:keepNext/>
        <w:tabs>
          <w:tab w:val="left" w:pos="1350"/>
        </w:tabs>
        <w:ind w:left="1350" w:hanging="1350"/>
        <w:rPr>
          <w:b/>
          <w:i/>
          <w:sz w:val="24"/>
          <w:szCs w:val="24"/>
        </w:rPr>
      </w:pPr>
      <w:r w:rsidRPr="00BB1944">
        <w:rPr>
          <w:b/>
          <w:i/>
          <w:sz w:val="24"/>
          <w:szCs w:val="24"/>
        </w:rPr>
        <w:lastRenderedPageBreak/>
        <w:t>Figure 5.1</w:t>
      </w:r>
      <w:r w:rsidRPr="00BB1944">
        <w:rPr>
          <w:b/>
          <w:i/>
          <w:sz w:val="24"/>
          <w:szCs w:val="24"/>
        </w:rPr>
        <w:tab/>
        <w:t>Quantities of controlled substances produced or imported for feedstock uses</w:t>
      </w:r>
      <w:r w:rsidRPr="00BB1944">
        <w:rPr>
          <w:rStyle w:val="FootnoteReference"/>
          <w:b/>
          <w:i/>
          <w:iCs/>
          <w:sz w:val="24"/>
          <w:szCs w:val="24"/>
        </w:rPr>
        <w:footnoteReference w:id="6"/>
      </w:r>
    </w:p>
    <w:p w14:paraId="72A3C71E" w14:textId="77777777" w:rsidR="00497F61" w:rsidRPr="001C509F" w:rsidRDefault="00497F61" w:rsidP="00497F61">
      <w:pPr>
        <w:rPr>
          <w:iCs/>
        </w:rPr>
      </w:pPr>
      <w:r>
        <w:rPr>
          <w:noProof/>
          <w:lang w:val="en-US" w:eastAsia="en-US"/>
        </w:rPr>
        <w:drawing>
          <wp:inline distT="0" distB="0" distL="0" distR="0" wp14:anchorId="199F5430" wp14:editId="106D64B8">
            <wp:extent cx="4991100" cy="2743200"/>
            <wp:effectExtent l="0" t="0" r="12700" b="2540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79DC2AE7" w14:textId="77777777" w:rsidR="00497F61" w:rsidRDefault="00497F61" w:rsidP="00656E7D">
      <w:pPr>
        <w:rPr>
          <w:b/>
          <w:i/>
          <w:sz w:val="24"/>
          <w:szCs w:val="24"/>
        </w:rPr>
      </w:pPr>
    </w:p>
    <w:p w14:paraId="6C0431BA" w14:textId="77777777" w:rsidR="00656E7D" w:rsidRPr="00436143" w:rsidRDefault="00656E7D" w:rsidP="0015746F">
      <w:pPr>
        <w:ind w:left="1350" w:hanging="1350"/>
        <w:rPr>
          <w:b/>
          <w:i/>
          <w:sz w:val="24"/>
          <w:szCs w:val="24"/>
        </w:rPr>
      </w:pPr>
      <w:r w:rsidRPr="00436143">
        <w:rPr>
          <w:b/>
          <w:i/>
          <w:sz w:val="24"/>
          <w:szCs w:val="24"/>
        </w:rPr>
        <w:t>Figure 5.2</w:t>
      </w:r>
      <w:r w:rsidRPr="00436143">
        <w:rPr>
          <w:b/>
          <w:i/>
          <w:sz w:val="24"/>
          <w:szCs w:val="24"/>
        </w:rPr>
        <w:tab/>
        <w:t>Number of parties reporting production or importation of controlled substances for feedstock uses</w:t>
      </w:r>
    </w:p>
    <w:p w14:paraId="0846A19C" w14:textId="77777777" w:rsidR="00BF2381" w:rsidRPr="004137C2" w:rsidRDefault="00BF2381" w:rsidP="00BF2381">
      <w:pPr>
        <w:keepNext/>
        <w:rPr>
          <w:i/>
        </w:rPr>
      </w:pPr>
    </w:p>
    <w:p w14:paraId="18B289CF" w14:textId="77777777" w:rsidR="00BF2381" w:rsidRPr="001C509F" w:rsidRDefault="00BF2381" w:rsidP="00BF2381">
      <w:pPr>
        <w:rPr>
          <w:iCs/>
        </w:rPr>
      </w:pPr>
      <w:r>
        <w:rPr>
          <w:noProof/>
          <w:lang w:val="en-US" w:eastAsia="en-US"/>
        </w:rPr>
        <w:drawing>
          <wp:inline distT="0" distB="0" distL="0" distR="0" wp14:anchorId="145D7D27" wp14:editId="6197086C">
            <wp:extent cx="4572000" cy="2743200"/>
            <wp:effectExtent l="0" t="0" r="25400" b="2540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7D7B9D5E" w14:textId="77777777" w:rsidR="00656E7D" w:rsidRPr="00656E7D" w:rsidRDefault="00656E7D" w:rsidP="00413E4A">
      <w:pPr>
        <w:pStyle w:val="Heading4"/>
      </w:pPr>
      <w:bookmarkStart w:id="159" w:name="_Toc483916047"/>
      <w:r w:rsidRPr="00656E7D">
        <w:lastRenderedPageBreak/>
        <w:t>5.2.5.3</w:t>
      </w:r>
      <w:r w:rsidRPr="00656E7D">
        <w:tab/>
        <w:t>Estimated emissions of ODS</w:t>
      </w:r>
      <w:bookmarkEnd w:id="159"/>
    </w:p>
    <w:p w14:paraId="0A511876" w14:textId="3E0165B1" w:rsidR="00656E7D" w:rsidRPr="00656E7D" w:rsidRDefault="00656E7D" w:rsidP="00A140B1">
      <w:r w:rsidRPr="00656E7D">
        <w:t xml:space="preserve">Emissions are not reported by </w:t>
      </w:r>
      <w:r w:rsidR="00BF2381">
        <w:t>p</w:t>
      </w:r>
      <w:r w:rsidRPr="00656E7D">
        <w:t>arties, and the estimation of ODS emissions is inexact. The sophistication of the operating facility can heavily influence emission levels. Highly automated, tight and well-instrumented facilities with proper, closely observed, procedures can have ODS emission levels as low as 0.1% of the ODS amount used as feedstock. At the other extreme, batch processes of limited scale with less tight facilities, with less concern for operational excellence, could have emission levels up to 5% of the ODS amount used as feedstock. The largest volumes of feedstock use are likely to be at the least emissive end of the scale because large capacity plants have the most investment and are better able to control emission levels. The higher emissions levels are based on industry input and anecdotal experience, with no citable references.</w:t>
      </w:r>
    </w:p>
    <w:p w14:paraId="64241D57" w14:textId="4D130D5D" w:rsidR="00656E7D" w:rsidRPr="00314538" w:rsidRDefault="00314538" w:rsidP="00314538">
      <w:pPr>
        <w:rPr>
          <w:iCs/>
        </w:rPr>
      </w:pPr>
      <w:r w:rsidRPr="00210126">
        <w:rPr>
          <w:iCs/>
        </w:rPr>
        <w:t>For the purpose of compiling national greenhouse gas inventories</w:t>
      </w:r>
      <w:r>
        <w:rPr>
          <w:iCs/>
        </w:rPr>
        <w:t xml:space="preserve">, </w:t>
      </w:r>
      <w:r w:rsidRPr="00210126">
        <w:rPr>
          <w:iCs/>
        </w:rPr>
        <w:t xml:space="preserve">the </w:t>
      </w:r>
      <w:r>
        <w:rPr>
          <w:iCs/>
        </w:rPr>
        <w:t>Intergovernmental Panel on Climate Change (</w:t>
      </w:r>
      <w:r w:rsidRPr="00210126">
        <w:rPr>
          <w:iCs/>
        </w:rPr>
        <w:t>IPCC</w:t>
      </w:r>
      <w:r>
        <w:rPr>
          <w:iCs/>
        </w:rPr>
        <w:t>)</w:t>
      </w:r>
      <w:r w:rsidRPr="00210126">
        <w:rPr>
          <w:iCs/>
        </w:rPr>
        <w:t xml:space="preserve"> recommends an emissions factor </w:t>
      </w:r>
      <w:r>
        <w:rPr>
          <w:iCs/>
        </w:rPr>
        <w:t xml:space="preserve">for HFCs from their manufacture </w:t>
      </w:r>
      <w:r w:rsidRPr="00210126">
        <w:rPr>
          <w:iCs/>
        </w:rPr>
        <w:t>of 0.5%.</w:t>
      </w:r>
      <w:r w:rsidRPr="00210126">
        <w:rPr>
          <w:rStyle w:val="FootnoteReference"/>
          <w:iCs/>
        </w:rPr>
        <w:footnoteReference w:id="7"/>
      </w:r>
      <w:r w:rsidRPr="00210126">
        <w:rPr>
          <w:iCs/>
        </w:rPr>
        <w:t xml:space="preserve"> There is no similar international technical consensus for estimating ODS emissions associated with ODS feedstock uses, however, the chemicals, operational processes, and emissions abatement technologies involved are very similar and can be considered technically </w:t>
      </w:r>
      <w:r w:rsidRPr="00C860E2">
        <w:rPr>
          <w:iCs/>
        </w:rPr>
        <w:t>analogous</w:t>
      </w:r>
      <w:r w:rsidRPr="00210126">
        <w:rPr>
          <w:iCs/>
        </w:rPr>
        <w:t xml:space="preserve"> to those for HFC production. In order to generate some indicative estimations of ODS </w:t>
      </w:r>
      <w:proofErr w:type="gramStart"/>
      <w:r w:rsidRPr="00210126">
        <w:rPr>
          <w:iCs/>
        </w:rPr>
        <w:t>emissions,</w:t>
      </w:r>
      <w:proofErr w:type="gramEnd"/>
      <w:r w:rsidRPr="00210126">
        <w:rPr>
          <w:iCs/>
        </w:rPr>
        <w:t xml:space="preserve"> the IPCC emission factor of 0.5% for HFC production has been applied as a surrogate for ODS used as feedstock. Using this surrogate emission factor, for guidance purposes only, estimated emissions associated with ODS feedstock and process agent uses in 201</w:t>
      </w:r>
      <w:r>
        <w:rPr>
          <w:iCs/>
        </w:rPr>
        <w:t>5</w:t>
      </w:r>
      <w:r w:rsidRPr="00210126">
        <w:rPr>
          <w:iCs/>
        </w:rPr>
        <w:t xml:space="preserve"> can be calculated as</w:t>
      </w:r>
      <w:r>
        <w:rPr>
          <w:iCs/>
        </w:rPr>
        <w:t xml:space="preserve"> 5,421 tonnes, or 1,877</w:t>
      </w:r>
      <w:r w:rsidRPr="00210126">
        <w:rPr>
          <w:iCs/>
        </w:rPr>
        <w:t xml:space="preserve"> ODP tonnes.</w:t>
      </w:r>
      <w:r w:rsidRPr="00816DDC">
        <w:rPr>
          <w:iCs/>
        </w:rPr>
        <w:t xml:space="preserve"> </w:t>
      </w:r>
    </w:p>
    <w:p w14:paraId="6C4F99B8" w14:textId="359A41EB" w:rsidR="00314538" w:rsidRDefault="00314538" w:rsidP="00C33FF9">
      <w:pPr>
        <w:rPr>
          <w:iCs/>
        </w:rPr>
      </w:pPr>
      <w:r>
        <w:rPr>
          <w:iCs/>
        </w:rPr>
        <w:t>Data compiled by the European Environment Agency (EEA) from reports by companies under the European ODS Regulation show that 154,542 metric tonnes (43,564 ODP tonnes) of ODS were produced for feedstock use within the EU in 2015</w:t>
      </w:r>
      <w:r>
        <w:rPr>
          <w:rStyle w:val="FootnoteReference"/>
          <w:iCs/>
        </w:rPr>
        <w:footnoteReference w:id="8"/>
      </w:r>
      <w:r>
        <w:rPr>
          <w:iCs/>
        </w:rPr>
        <w:t>. Total emissions of feedstock were quoted as 116 metric tonnes, an emission factor of 0.07%.</w:t>
      </w:r>
      <w:r w:rsidRPr="00816DDC">
        <w:rPr>
          <w:iCs/>
        </w:rPr>
        <w:t> </w:t>
      </w:r>
      <w:r>
        <w:rPr>
          <w:iCs/>
        </w:rPr>
        <w:t>The emissions are less than half of the quantities reported in the European Pollutant Release and Transfer Register</w:t>
      </w:r>
      <w:r>
        <w:rPr>
          <w:rStyle w:val="FootnoteReference"/>
          <w:iCs/>
        </w:rPr>
        <w:footnoteReference w:id="9"/>
      </w:r>
      <w:r>
        <w:rPr>
          <w:iCs/>
        </w:rPr>
        <w:t xml:space="preserve"> from chemicals manufacture, which totalled 251 metric tonnes (26 tonnes of carbon tetrachloride, 5 of methyl chloroform, 36 of CFCs and 185 of HCFCs) but these include </w:t>
      </w:r>
      <w:r w:rsidRPr="00C33FF9">
        <w:rPr>
          <w:i/>
        </w:rPr>
        <w:t>all</w:t>
      </w:r>
      <w:r>
        <w:rPr>
          <w:iCs/>
        </w:rPr>
        <w:t xml:space="preserve"> emissions from </w:t>
      </w:r>
      <w:r w:rsidRPr="00C33FF9">
        <w:rPr>
          <w:i/>
        </w:rPr>
        <w:t xml:space="preserve">all </w:t>
      </w:r>
      <w:r>
        <w:rPr>
          <w:iCs/>
        </w:rPr>
        <w:t>chemical manufacturers in the EU.</w:t>
      </w:r>
      <w:r w:rsidRPr="00816DDC">
        <w:rPr>
          <w:iCs/>
        </w:rPr>
        <w:t xml:space="preserve"> </w:t>
      </w:r>
      <w:r>
        <w:rPr>
          <w:iCs/>
        </w:rPr>
        <w:t>Nevertheless, t</w:t>
      </w:r>
      <w:r w:rsidRPr="00816DDC">
        <w:rPr>
          <w:iCs/>
        </w:rPr>
        <w:t xml:space="preserve">he relatively low rate of emissions achieved </w:t>
      </w:r>
      <w:r>
        <w:rPr>
          <w:iCs/>
        </w:rPr>
        <w:t xml:space="preserve">in the EU </w:t>
      </w:r>
      <w:r w:rsidRPr="00816DDC">
        <w:rPr>
          <w:iCs/>
        </w:rPr>
        <w:t>illustrates the effectiveness of local regulation and oversight</w:t>
      </w:r>
      <w:r>
        <w:rPr>
          <w:iCs/>
        </w:rPr>
        <w:t>,</w:t>
      </w:r>
      <w:r w:rsidRPr="00816DDC">
        <w:rPr>
          <w:iCs/>
        </w:rPr>
        <w:t xml:space="preserve"> and industrial diligence</w:t>
      </w:r>
      <w:r>
        <w:rPr>
          <w:iCs/>
        </w:rPr>
        <w:t>,</w:t>
      </w:r>
      <w:r w:rsidRPr="00816DDC">
        <w:rPr>
          <w:iCs/>
        </w:rPr>
        <w:t xml:space="preserve"> in the management and control of ODS emissions in feedstock uses.</w:t>
      </w:r>
    </w:p>
    <w:p w14:paraId="3848BF98" w14:textId="79DFA537" w:rsidR="00656E7D" w:rsidRPr="00656E7D" w:rsidRDefault="00314538" w:rsidP="00A140B1">
      <w:r w:rsidRPr="00777F12">
        <w:rPr>
          <w:iCs/>
        </w:rPr>
        <w:t>The SPARC Report on the Mystery of Carbon Tetrachloride, a project of the World Climate Research P</w:t>
      </w:r>
      <w:r>
        <w:rPr>
          <w:iCs/>
        </w:rPr>
        <w:t>rogramme, was completed in July</w:t>
      </w:r>
      <w:r w:rsidRPr="00777F12">
        <w:rPr>
          <w:iCs/>
        </w:rPr>
        <w:t xml:space="preserve"> 2016</w:t>
      </w:r>
      <w:r>
        <w:rPr>
          <w:rStyle w:val="FootnoteReference"/>
          <w:iCs/>
        </w:rPr>
        <w:footnoteReference w:id="10"/>
      </w:r>
      <w:r w:rsidRPr="00777F12">
        <w:rPr>
          <w:iCs/>
        </w:rPr>
        <w:t xml:space="preserve">. </w:t>
      </w:r>
      <w:r>
        <w:rPr>
          <w:iCs/>
        </w:rPr>
        <w:t>This report</w:t>
      </w:r>
      <w:r w:rsidRPr="00777F12">
        <w:rPr>
          <w:iCs/>
        </w:rPr>
        <w:t xml:space="preserve"> </w:t>
      </w:r>
      <w:r>
        <w:rPr>
          <w:iCs/>
        </w:rPr>
        <w:t>estimates</w:t>
      </w:r>
      <w:r w:rsidRPr="00777F12">
        <w:rPr>
          <w:iCs/>
        </w:rPr>
        <w:t xml:space="preserve"> “reasonable </w:t>
      </w:r>
      <w:r w:rsidRPr="00777F12">
        <w:rPr>
          <w:iCs/>
        </w:rPr>
        <w:lastRenderedPageBreak/>
        <w:t xml:space="preserve">emission factors” for reporting of production </w:t>
      </w:r>
      <w:r>
        <w:rPr>
          <w:iCs/>
        </w:rPr>
        <w:t xml:space="preserve">for feedstock use is 0.5-2.0%. The lower bound is consistent with </w:t>
      </w:r>
      <w:r w:rsidRPr="00210126">
        <w:rPr>
          <w:iCs/>
        </w:rPr>
        <w:t xml:space="preserve">the IPCC emission factor of 0.5% for HFC production </w:t>
      </w:r>
      <w:r>
        <w:rPr>
          <w:iCs/>
        </w:rPr>
        <w:t xml:space="preserve">that </w:t>
      </w:r>
      <w:r w:rsidRPr="00210126">
        <w:rPr>
          <w:iCs/>
        </w:rPr>
        <w:t xml:space="preserve">has been applied </w:t>
      </w:r>
      <w:r>
        <w:rPr>
          <w:iCs/>
        </w:rPr>
        <w:t xml:space="preserve">by MCTOC </w:t>
      </w:r>
      <w:r w:rsidRPr="00210126">
        <w:rPr>
          <w:iCs/>
        </w:rPr>
        <w:t>as a surrogate for ODS used as feedstock</w:t>
      </w:r>
      <w:r w:rsidRPr="00777F12">
        <w:rPr>
          <w:iCs/>
        </w:rPr>
        <w:t xml:space="preserve">. </w:t>
      </w:r>
      <w:r>
        <w:rPr>
          <w:iCs/>
        </w:rPr>
        <w:t>Using the SPARC emissions factors, the range of emissions from feedstock uses for 2015 can be estimated as 5,421 to 21,682 tonnes, or 1,877 to 7,510</w:t>
      </w:r>
      <w:r w:rsidRPr="00210126">
        <w:rPr>
          <w:iCs/>
        </w:rPr>
        <w:t xml:space="preserve"> ODP tonnes</w:t>
      </w:r>
      <w:r w:rsidR="00656E7D" w:rsidRPr="00656E7D">
        <w:t xml:space="preserve">. </w:t>
      </w:r>
    </w:p>
    <w:p w14:paraId="59EB076E" w14:textId="77777777" w:rsidR="00656E7D" w:rsidRPr="00656E7D" w:rsidRDefault="00656E7D" w:rsidP="00413E4A">
      <w:pPr>
        <w:pStyle w:val="Heading4"/>
      </w:pPr>
      <w:bookmarkStart w:id="160" w:name="_Toc483916048"/>
      <w:r w:rsidRPr="00656E7D">
        <w:t>5.2.5.4</w:t>
      </w:r>
      <w:r w:rsidRPr="00656E7D">
        <w:tab/>
        <w:t>How to minimize ODS feedstock emissions</w:t>
      </w:r>
      <w:bookmarkEnd w:id="160"/>
    </w:p>
    <w:p w14:paraId="2888DF4E" w14:textId="77777777" w:rsidR="00656E7D" w:rsidRPr="00656E7D" w:rsidRDefault="00656E7D" w:rsidP="00A140B1">
      <w:r w:rsidRPr="00656E7D">
        <w:t>Both regulators and producers can act to assure that emissions from feedstock uses of ODS are kept at minimal levels. In the European Union, the United States, China, and several other countries, all operations are required to be licensed for operation. These licences usually define specific maximum emission limits, as well as the methodology to quantify them.</w:t>
      </w:r>
    </w:p>
    <w:p w14:paraId="25EB6CBC" w14:textId="0BA9C9CA" w:rsidR="00656E7D" w:rsidRPr="00656E7D" w:rsidRDefault="00656E7D" w:rsidP="00A140B1">
      <w:r w:rsidRPr="00656E7D">
        <w:t xml:space="preserve">Producers can follow specifically defined responsible use practices, which, </w:t>
      </w:r>
      <w:r w:rsidRPr="00497F61">
        <w:rPr>
          <w:i/>
        </w:rPr>
        <w:t>inter alia</w:t>
      </w:r>
      <w:r w:rsidRPr="00656E7D">
        <w:t xml:space="preserve">, define equipment to control processes, closed-loop loading and recovery, and thermal destruction of vapour emissions. It is considered by MCTOC experts that, when strictly followed, these responsible use practices can limit ODS emissions to about 0.1% of the ODS amount used as feedstock in continuous processes, while less responsible operation, and batch processes, can lead to emissions as high as 5% of feedstock quantities. </w:t>
      </w:r>
    </w:p>
    <w:p w14:paraId="6D33A81F" w14:textId="13D22ED0" w:rsidR="00314538" w:rsidRDefault="00314538" w:rsidP="00A140B1">
      <w:bookmarkStart w:id="161" w:name="_Toc356240462"/>
      <w:r w:rsidRPr="00210126">
        <w:t>Close cooperation between producers and regulators can continue to make these operations safe and environmentally sustainable.</w:t>
      </w:r>
      <w:r w:rsidRPr="00210126">
        <w:rPr>
          <w:rStyle w:val="FootnoteReference"/>
        </w:rPr>
        <w:footnoteReference w:id="11"/>
      </w:r>
      <w:r w:rsidRPr="00210126">
        <w:t xml:space="preserve"> </w:t>
      </w:r>
    </w:p>
    <w:p w14:paraId="337A838D" w14:textId="77777777" w:rsidR="00656E7D" w:rsidRPr="00656E7D" w:rsidRDefault="00656E7D" w:rsidP="00413E4A">
      <w:pPr>
        <w:pStyle w:val="Heading3"/>
      </w:pPr>
      <w:bookmarkStart w:id="162" w:name="_Toc484164361"/>
      <w:r w:rsidRPr="00656E7D">
        <w:t>5.2.6</w:t>
      </w:r>
      <w:r w:rsidRPr="00656E7D">
        <w:tab/>
        <w:t>Solvent uses of ODS</w:t>
      </w:r>
      <w:bookmarkEnd w:id="161"/>
      <w:bookmarkEnd w:id="162"/>
    </w:p>
    <w:p w14:paraId="7E157DAD" w14:textId="77777777" w:rsidR="00656E7D" w:rsidRPr="00656E7D" w:rsidRDefault="00656E7D" w:rsidP="00A140B1">
      <w:r w:rsidRPr="00656E7D">
        <w:t>The use of HCFC-141b and HCFC-225 for solvent cleaning in non-Article 5 parties has been phased out, with the possible exception of the Russian Federation for aerospace applications. In Article 5 parties, solvent use has declined and will continue to reduce further as more critical uses of HCFCs, such as in refrigeration, are given priority and as available quantities decline under the HCFC phase-out schedule of the Montreal Protocol. Alternatives to HCFCs for solvent cleaning are commercially available and are being used for automotive, aerospace, precision component and optical cleaning where high levels of cleanliness are required. These alternatives include low global warming potential HCFO-1233zd and hydrofluoroethers.</w:t>
      </w:r>
      <w:r w:rsidRPr="00656E7D" w:rsidDel="002A3FCC">
        <w:t xml:space="preserve"> </w:t>
      </w:r>
      <w:r w:rsidRPr="00656E7D">
        <w:t xml:space="preserve"> </w:t>
      </w:r>
    </w:p>
    <w:p w14:paraId="198364AA" w14:textId="77777777" w:rsidR="00656E7D" w:rsidRPr="00656E7D" w:rsidRDefault="00656E7D" w:rsidP="00413E4A">
      <w:pPr>
        <w:pStyle w:val="Heading3"/>
      </w:pPr>
      <w:bookmarkStart w:id="163" w:name="_Toc356240463"/>
      <w:bookmarkStart w:id="164" w:name="_Toc484164362"/>
      <w:r w:rsidRPr="00656E7D">
        <w:t>5.2.7</w:t>
      </w:r>
      <w:r w:rsidRPr="00656E7D">
        <w:tab/>
        <w:t>n-Propyl bromide</w:t>
      </w:r>
      <w:bookmarkEnd w:id="163"/>
      <w:bookmarkEnd w:id="164"/>
    </w:p>
    <w:p w14:paraId="6DC3FFF4" w14:textId="015A908C" w:rsidR="00314538" w:rsidRPr="0036416F" w:rsidRDefault="00314538" w:rsidP="0036416F">
      <w:pPr>
        <w:rPr>
          <w:lang w:val="en-US"/>
        </w:rPr>
      </w:pPr>
      <w:proofErr w:type="gramStart"/>
      <w:r w:rsidRPr="0036416F">
        <w:rPr>
          <w:i/>
        </w:rPr>
        <w:t>n</w:t>
      </w:r>
      <w:r w:rsidRPr="00816DDC">
        <w:t>-Propyl</w:t>
      </w:r>
      <w:proofErr w:type="gramEnd"/>
      <w:r w:rsidRPr="00816DDC">
        <w:t xml:space="preserve"> bromide (1-bromopropane, CH</w:t>
      </w:r>
      <w:r w:rsidRPr="0036416F">
        <w:rPr>
          <w:vertAlign w:val="subscript"/>
        </w:rPr>
        <w:t>3</w:t>
      </w:r>
      <w:r w:rsidRPr="00816DDC">
        <w:t>CH</w:t>
      </w:r>
      <w:r w:rsidRPr="0036416F">
        <w:rPr>
          <w:vertAlign w:val="subscript"/>
        </w:rPr>
        <w:t>2</w:t>
      </w:r>
      <w:r w:rsidRPr="00816DDC">
        <w:t>CH</w:t>
      </w:r>
      <w:r w:rsidRPr="0036416F">
        <w:rPr>
          <w:vertAlign w:val="subscript"/>
        </w:rPr>
        <w:t>2</w:t>
      </w:r>
      <w:r w:rsidRPr="00816DDC">
        <w:t>Br, n-PB, CAS No. 106 94 5) is being used as a solvent in a range of applications. Its boiling point, 71</w:t>
      </w:r>
      <w:r w:rsidRPr="0036416F">
        <w:rPr>
          <w:vertAlign w:val="superscript"/>
        </w:rPr>
        <w:t>o</w:t>
      </w:r>
      <w:r w:rsidRPr="00816DDC">
        <w:t>C, is comparable to that of CFC-113 (48</w:t>
      </w:r>
      <w:r w:rsidRPr="0036416F">
        <w:rPr>
          <w:vertAlign w:val="superscript"/>
        </w:rPr>
        <w:t>o</w:t>
      </w:r>
      <w:r w:rsidRPr="00816DDC">
        <w:t>C), hexane (69</w:t>
      </w:r>
      <w:r w:rsidRPr="0036416F">
        <w:rPr>
          <w:vertAlign w:val="superscript"/>
        </w:rPr>
        <w:t>o</w:t>
      </w:r>
      <w:r w:rsidRPr="00816DDC">
        <w:t>C), methyl chloroform (TCA, 74</w:t>
      </w:r>
      <w:r w:rsidRPr="0036416F">
        <w:rPr>
          <w:vertAlign w:val="superscript"/>
        </w:rPr>
        <w:t>o</w:t>
      </w:r>
      <w:r w:rsidRPr="00816DDC">
        <w:t>C) and trichloroethylene (87</w:t>
      </w:r>
      <w:r w:rsidRPr="0036416F">
        <w:rPr>
          <w:vertAlign w:val="superscript"/>
        </w:rPr>
        <w:t>o</w:t>
      </w:r>
      <w:r w:rsidRPr="00816DDC">
        <w:t xml:space="preserve">C), making it potentially attractive as a solvent with similar physical properties. Its solvent properties are typical of those of lower molecular weight hydrocarbons and organohalogen compounds. Due to the presence of bromine in the molecule, however, concerns have been expressed based both on its potential for ozone depletion and its toxicity. </w:t>
      </w:r>
      <w:r>
        <w:t xml:space="preserve">The atmospheric </w:t>
      </w:r>
      <w:proofErr w:type="gramStart"/>
      <w:r>
        <w:t>lifetime,</w:t>
      </w:r>
      <w:proofErr w:type="gramEnd"/>
      <w:r>
        <w:t xml:space="preserve"> and impact on ozone depletion, of </w:t>
      </w:r>
      <w:r w:rsidRPr="0036416F">
        <w:rPr>
          <w:i/>
        </w:rPr>
        <w:t>n</w:t>
      </w:r>
      <w:r>
        <w:t>-propyl bromide have been evaluated in several studies, with derivations dependent on emissions location. In 2011, u</w:t>
      </w:r>
      <w:r w:rsidRPr="0036416F">
        <w:rPr>
          <w:lang w:val="en-US"/>
        </w:rPr>
        <w:t xml:space="preserve">sing a current-generation chemistry-transport model of the troposphere and stratosphere, </w:t>
      </w:r>
      <w:r>
        <w:t xml:space="preserve">Wuebbles </w:t>
      </w:r>
      <w:r w:rsidRPr="0036416F">
        <w:rPr>
          <w:i/>
        </w:rPr>
        <w:t>et al</w:t>
      </w:r>
      <w:r>
        <w:t xml:space="preserve">. derived an atmospheric chemical lifetime of </w:t>
      </w:r>
      <w:r w:rsidRPr="0036416F">
        <w:rPr>
          <w:lang w:val="en-US"/>
        </w:rPr>
        <w:t xml:space="preserve">19.6 days, and ODP of 0.011, for the global emissions case, </w:t>
      </w:r>
      <w:r w:rsidRPr="0036416F">
        <w:rPr>
          <w:lang w:val="en-US"/>
        </w:rPr>
        <w:lastRenderedPageBreak/>
        <w:t>and</w:t>
      </w:r>
      <w:r w:rsidRPr="00A8561B">
        <w:t xml:space="preserve"> </w:t>
      </w:r>
      <w:r>
        <w:t>24.7 days, and an ODP of 0.0049 at northern hemisphere mid-latitudes</w:t>
      </w:r>
      <w:r>
        <w:rPr>
          <w:rStyle w:val="FootnoteReference"/>
          <w:lang w:val="en-US"/>
        </w:rPr>
        <w:footnoteReference w:id="12"/>
      </w:r>
      <w:r w:rsidRPr="00C33FF9">
        <w:rPr>
          <w:lang w:val="en-US"/>
        </w:rPr>
        <w:t xml:space="preserve">. </w:t>
      </w:r>
      <w:proofErr w:type="gramStart"/>
      <w:r w:rsidRPr="00C33FF9">
        <w:rPr>
          <w:i/>
        </w:rPr>
        <w:t>n</w:t>
      </w:r>
      <w:r>
        <w:t>-Propyl</w:t>
      </w:r>
      <w:proofErr w:type="gramEnd"/>
      <w:r>
        <w:t xml:space="preserve"> bromide is not a controlled substance under the Montreal Protocol.</w:t>
      </w:r>
    </w:p>
    <w:p w14:paraId="133F20D0" w14:textId="31DC1FC7" w:rsidR="00314538" w:rsidRDefault="00314538" w:rsidP="0036416F">
      <w:r w:rsidRPr="00210126">
        <w:t>Regarding its toxicity, the National Toxicology Program report (NTP TR 564, August 2011) and the American Conference of Governmental Industrial Hygienists (ACGIH</w:t>
      </w:r>
      <w:r w:rsidRPr="0036416F">
        <w:rPr>
          <w:vertAlign w:val="superscript"/>
        </w:rPr>
        <w:t>®</w:t>
      </w:r>
      <w:r w:rsidRPr="00210126">
        <w:t>) (February 2012) established a threshold limit value (TLV</w:t>
      </w:r>
      <w:r w:rsidRPr="0036416F">
        <w:rPr>
          <w:vertAlign w:val="superscript"/>
        </w:rPr>
        <w:t>®</w:t>
      </w:r>
      <w:r w:rsidRPr="00210126">
        <w:t xml:space="preserve">) for </w:t>
      </w:r>
      <w:r w:rsidRPr="0036416F">
        <w:rPr>
          <w:i/>
        </w:rPr>
        <w:t>n</w:t>
      </w:r>
      <w:r w:rsidRPr="00210126">
        <w:t xml:space="preserve">-propyl bromide of 0.1 ppm. </w:t>
      </w:r>
      <w:r w:rsidRPr="0036416F">
        <w:rPr>
          <w:lang w:val="en-US"/>
        </w:rPr>
        <w:t xml:space="preserve">In 2013, a peer-reviewed Draft Report on Carcinogens prepared by the U.S. National Toxicology Program concluded that </w:t>
      </w:r>
      <w:r w:rsidRPr="0036416F">
        <w:rPr>
          <w:i/>
          <w:lang w:val="en-US"/>
        </w:rPr>
        <w:t>n</w:t>
      </w:r>
      <w:r w:rsidRPr="0036416F">
        <w:rPr>
          <w:lang w:val="en-US"/>
        </w:rPr>
        <w:t xml:space="preserve">-propyl bromide is reasonably anticipated to be a </w:t>
      </w:r>
      <w:r w:rsidRPr="001C509F">
        <w:t>human carcinogen</w:t>
      </w:r>
      <w:r>
        <w:rPr>
          <w:rStyle w:val="FootnoteReference"/>
          <w:lang w:val="en-US"/>
        </w:rPr>
        <w:footnoteReference w:id="13"/>
      </w:r>
      <w:r w:rsidRPr="0036416F">
        <w:rPr>
          <w:lang w:val="en-US"/>
        </w:rPr>
        <w:t xml:space="preserve">. </w:t>
      </w:r>
      <w:r w:rsidRPr="00210126">
        <w:t xml:space="preserve">In 2014, ACGIH published a time weighted average exposure limit (TWA) of 0.1ppm for </w:t>
      </w:r>
      <w:r w:rsidRPr="0036416F">
        <w:rPr>
          <w:i/>
        </w:rPr>
        <w:t>n</w:t>
      </w:r>
      <w:r w:rsidRPr="00210126">
        <w:t xml:space="preserve">-propyl bromide. The </w:t>
      </w:r>
      <w:r w:rsidRPr="00210126">
        <w:rPr>
          <w:bCs/>
        </w:rPr>
        <w:t xml:space="preserve">Japan Society for Occupational Health set a TLV of 0.5ppm for </w:t>
      </w:r>
      <w:r w:rsidRPr="0036416F">
        <w:rPr>
          <w:i/>
        </w:rPr>
        <w:t>n</w:t>
      </w:r>
      <w:r w:rsidRPr="00210126">
        <w:rPr>
          <w:bCs/>
        </w:rPr>
        <w:t>-propyl bromide in 2013</w:t>
      </w:r>
      <w:r w:rsidRPr="00210126">
        <w:t xml:space="preserve">. </w:t>
      </w:r>
    </w:p>
    <w:p w14:paraId="77DA9810" w14:textId="7FC06C7D" w:rsidR="00314538" w:rsidRPr="00BB1944" w:rsidRDefault="00314538" w:rsidP="0036416F">
      <w:pPr>
        <w:rPr>
          <w:lang w:val="en-US"/>
        </w:rPr>
      </w:pPr>
      <w:r>
        <w:t>The European Chemical Agency (</w:t>
      </w:r>
      <w:r w:rsidRPr="00AF28A2">
        <w:t>ECHA</w:t>
      </w:r>
      <w:r w:rsidRPr="001C509F">
        <w:t>)</w:t>
      </w:r>
      <w:r w:rsidRPr="00AF28A2">
        <w:t xml:space="preserve"> has classified</w:t>
      </w:r>
      <w:r w:rsidRPr="001C509F">
        <w:t xml:space="preserve"> </w:t>
      </w:r>
      <w:r w:rsidRPr="0036416F">
        <w:rPr>
          <w:i/>
        </w:rPr>
        <w:t>n</w:t>
      </w:r>
      <w:r w:rsidRPr="001C509F">
        <w:t>-propyl bromide</w:t>
      </w:r>
      <w:r w:rsidRPr="00AF28A2">
        <w:t xml:space="preserve"> as a </w:t>
      </w:r>
      <w:r w:rsidRPr="001C509F">
        <w:t>Substance of Very High C</w:t>
      </w:r>
      <w:r w:rsidRPr="00AF28A2">
        <w:t>oncern</w:t>
      </w:r>
      <w:r>
        <w:t xml:space="preserve"> (SVHC)</w:t>
      </w:r>
      <w:r w:rsidRPr="00AF28A2">
        <w:t xml:space="preserve"> and included it in the candidate list for authorisation</w:t>
      </w:r>
      <w:r w:rsidRPr="001C509F">
        <w:t xml:space="preserve">, </w:t>
      </w:r>
      <w:r w:rsidRPr="0036416F">
        <w:rPr>
          <w:lang w:val="en-US"/>
        </w:rPr>
        <w:t>published in accordance with Article 59(10) of the REACH Regulation</w:t>
      </w:r>
      <w:r w:rsidRPr="001C509F">
        <w:t>. This is the first step of the authorisation procedure, which</w:t>
      </w:r>
      <w:r w:rsidRPr="0036416F">
        <w:rPr>
          <w:lang w:val="en-US"/>
        </w:rPr>
        <w:t xml:space="preserve"> aims to assure that the risks from SVHCs are properly controlled and progressively replaced by suitable alternatives. After a two-step regulatory process, SVHCs may be included in the Authorisation List and become subject to authorisation, meaning they cannot be placed on the market or used after a given date, unless an authorisation is granted for their specific use, or the use is exempted from authorisation. Companies may have legal obligations following such inclusion on the candidate list that are linked to the listed substance. According to the harmonised classification and labelling (CLP00) approved by the European Union, </w:t>
      </w:r>
      <w:r w:rsidRPr="0036416F">
        <w:rPr>
          <w:i/>
          <w:lang w:val="en-US"/>
        </w:rPr>
        <w:t>n</w:t>
      </w:r>
      <w:r w:rsidRPr="0036416F">
        <w:rPr>
          <w:lang w:val="en-US"/>
        </w:rPr>
        <w:t>-propyl bromide “...</w:t>
      </w:r>
      <w:r w:rsidRPr="0036416F">
        <w:rPr>
          <w:i/>
          <w:lang w:val="en-US"/>
        </w:rPr>
        <w:t>may damage fertility and may damage the unborn child, is a highly flammable liquid and vapour, causes serious eye irritation, may cause damage to organs through prolonged or repeated exposure, causes skin irritation, may cause respiratory irritation and may cause drowsiness or dizziness</w:t>
      </w:r>
      <w:r w:rsidRPr="00BB1944">
        <w:rPr>
          <w:lang w:val="en-US"/>
        </w:rPr>
        <w:t>”</w:t>
      </w:r>
      <w:r w:rsidRPr="0036416F">
        <w:rPr>
          <w:lang w:val="en-US"/>
        </w:rPr>
        <w:t xml:space="preserve">. In addition, the classification identifies that n-propyl bromide </w:t>
      </w:r>
      <w:r w:rsidRPr="00BB1944">
        <w:rPr>
          <w:lang w:val="en-US"/>
        </w:rPr>
        <w:t>“...</w:t>
      </w:r>
      <w:r w:rsidRPr="0036416F">
        <w:rPr>
          <w:i/>
          <w:lang w:val="en-US"/>
        </w:rPr>
        <w:t>is suspected of causing cancer and is harmful to aquatic life with long lasting effects</w:t>
      </w:r>
      <w:r w:rsidRPr="00BB1944">
        <w:rPr>
          <w:lang w:val="en-US"/>
        </w:rPr>
        <w:t>”</w:t>
      </w:r>
      <w:r w:rsidRPr="0036416F">
        <w:rPr>
          <w:lang w:val="en-US"/>
        </w:rPr>
        <w:t>.</w:t>
      </w:r>
      <w:r>
        <w:rPr>
          <w:rStyle w:val="FootnoteReference"/>
          <w:lang w:val="en-US"/>
        </w:rPr>
        <w:footnoteReference w:id="14"/>
      </w:r>
    </w:p>
    <w:p w14:paraId="1808891D" w14:textId="77777777" w:rsidR="00314538" w:rsidRDefault="00314538" w:rsidP="0036416F">
      <w:proofErr w:type="gramStart"/>
      <w:r w:rsidRPr="00BB1944">
        <w:rPr>
          <w:i/>
        </w:rPr>
        <w:t>n</w:t>
      </w:r>
      <w:r>
        <w:t>-P</w:t>
      </w:r>
      <w:r w:rsidRPr="00210126">
        <w:t>ropyl</w:t>
      </w:r>
      <w:proofErr w:type="gramEnd"/>
      <w:r w:rsidRPr="00210126">
        <w:t xml:space="preserve"> bromide </w:t>
      </w:r>
      <w:r w:rsidRPr="005D29CD">
        <w:t>has been identified as one of ten chemicals designated by US EPA for further assessment (chemical risk evaluation) under the Toxic Substances Control Act (TSCA)</w:t>
      </w:r>
      <w:r>
        <w:t>,</w:t>
      </w:r>
      <w:r w:rsidRPr="005D29CD">
        <w:t xml:space="preserve"> based on high hazard conce</w:t>
      </w:r>
      <w:r>
        <w:t>rns due to its toxicity profile</w:t>
      </w:r>
      <w:r w:rsidRPr="005D29CD">
        <w:t xml:space="preserve"> and high exposure concerns due to its use in consumer products. </w:t>
      </w:r>
      <w:r>
        <w:t xml:space="preserve">TSCA requires US EPA to publish Final Scope documents for the initial ten chemicals undergoing risk evaluation by June 19, 2017 as part of a public consultation process. </w:t>
      </w:r>
      <w:r w:rsidRPr="00BB1944">
        <w:rPr>
          <w:lang w:val="en-US"/>
        </w:rPr>
        <w:t xml:space="preserve">The scoping document will include information about each chemical substance, such as conditions of use, exposures, including potentially exposed or susceptible subpopulations, and hazards, that US EPA expects to consider in the risk evaluation. TSCA requires that these chemical risk evaluations be completed within three years of initiation (from December 19, 2016 for </w:t>
      </w:r>
      <w:r w:rsidRPr="00BB1944">
        <w:rPr>
          <w:i/>
          <w:lang w:val="en-US"/>
        </w:rPr>
        <w:t>n</w:t>
      </w:r>
      <w:r w:rsidRPr="0036416F">
        <w:rPr>
          <w:lang w:val="en-US"/>
        </w:rPr>
        <w:t>-propyl bromide), allowing for a single 6-month extension.</w:t>
      </w:r>
      <w:r w:rsidRPr="00FA7563">
        <w:t xml:space="preserve"> </w:t>
      </w:r>
    </w:p>
    <w:p w14:paraId="1A80D536" w14:textId="77777777" w:rsidR="00314538" w:rsidRDefault="00314538" w:rsidP="0036416F">
      <w:r>
        <w:lastRenderedPageBreak/>
        <w:t xml:space="preserve">In China, </w:t>
      </w:r>
      <w:r w:rsidRPr="0036416F">
        <w:rPr>
          <w:i/>
          <w:lang w:val="en-US"/>
        </w:rPr>
        <w:t>n</w:t>
      </w:r>
      <w:r w:rsidRPr="0036416F">
        <w:rPr>
          <w:lang w:val="en-US"/>
        </w:rPr>
        <w:t xml:space="preserve">-propyl bromide is identified as one of nearly 3,000 hazardous chemicals controlled under the </w:t>
      </w:r>
      <w:r w:rsidRPr="0036416F">
        <w:rPr>
          <w:i/>
          <w:lang w:val="en-US"/>
        </w:rPr>
        <w:t>Regulation on the Safety Management of Hazardous Chemicals</w:t>
      </w:r>
      <w:r w:rsidRPr="0036416F">
        <w:rPr>
          <w:lang w:val="en-US"/>
        </w:rPr>
        <w:t xml:space="preserve">. Based on this regulation, stakeholders handling </w:t>
      </w:r>
      <w:r w:rsidRPr="0036416F">
        <w:rPr>
          <w:i/>
          <w:lang w:val="en-US"/>
        </w:rPr>
        <w:t>n</w:t>
      </w:r>
      <w:r w:rsidRPr="0036416F">
        <w:rPr>
          <w:lang w:val="en-US"/>
        </w:rPr>
        <w:t xml:space="preserve">-propyl bromide must prevent and reduce hazardous chemical accidents, and guarantee the use of </w:t>
      </w:r>
      <w:r w:rsidRPr="0036416F">
        <w:rPr>
          <w:i/>
          <w:lang w:val="en-US"/>
        </w:rPr>
        <w:t>n</w:t>
      </w:r>
      <w:r w:rsidRPr="0036416F">
        <w:rPr>
          <w:lang w:val="en-US"/>
        </w:rPr>
        <w:t>-propyl bromide will not impact the life and safety of the general public and the environment during its production, storage, use, dealing and transport.</w:t>
      </w:r>
    </w:p>
    <w:p w14:paraId="5B802A85" w14:textId="77777777" w:rsidR="00314538" w:rsidRPr="00816DDC" w:rsidRDefault="00314538" w:rsidP="0036416F">
      <w:r w:rsidRPr="00816DDC">
        <w:t>The relatively low workplace exposure standards indicate that use</w:t>
      </w:r>
      <w:r>
        <w:t xml:space="preserve"> of</w:t>
      </w:r>
      <w:r w:rsidRPr="00816DDC">
        <w:t xml:space="preserve"> </w:t>
      </w:r>
      <w:r w:rsidRPr="00BB1944">
        <w:rPr>
          <w:i/>
        </w:rPr>
        <w:t>n</w:t>
      </w:r>
      <w:r>
        <w:t>-propyl bromide</w:t>
      </w:r>
      <w:r w:rsidRPr="00816DDC">
        <w:t xml:space="preserve"> in solvent applications is likely to be problematic, and its use will </w:t>
      </w:r>
      <w:r>
        <w:t xml:space="preserve">likely be </w:t>
      </w:r>
      <w:r w:rsidRPr="00816DDC">
        <w:t>limit</w:t>
      </w:r>
      <w:r>
        <w:t>ed</w:t>
      </w:r>
      <w:r w:rsidRPr="00816DDC">
        <w:t xml:space="preserve"> </w:t>
      </w:r>
      <w:r>
        <w:t>to applications where worker exposure is controlled and will require significant emission control</w:t>
      </w:r>
      <w:r w:rsidRPr="00816DDC">
        <w:t>.</w:t>
      </w:r>
      <w:r>
        <w:t xml:space="preserve"> </w:t>
      </w:r>
    </w:p>
    <w:p w14:paraId="5EEC091B" w14:textId="77777777" w:rsidR="00314538" w:rsidRPr="00816DDC" w:rsidRDefault="00314538" w:rsidP="0036416F">
      <w:r w:rsidRPr="00816DDC">
        <w:t xml:space="preserve">Nevertheless, </w:t>
      </w:r>
      <w:r w:rsidRPr="00BB1944">
        <w:rPr>
          <w:i/>
        </w:rPr>
        <w:t>n</w:t>
      </w:r>
      <w:r w:rsidRPr="00816DDC">
        <w:t xml:space="preserve">-propyl bromide continues to appear as a marketed solvent at trade exhibitions with demand in a number of markets (e.g. China, Japan and the United States). </w:t>
      </w:r>
      <w:r w:rsidRPr="00210126">
        <w:t xml:space="preserve">Consumption of </w:t>
      </w:r>
      <w:r w:rsidRPr="00BB1944">
        <w:rPr>
          <w:i/>
        </w:rPr>
        <w:t>n</w:t>
      </w:r>
      <w:r w:rsidRPr="00210126">
        <w:t>-propyl bromide is as an electrical cleaning agent</w:t>
      </w:r>
      <w:r>
        <w:t xml:space="preserve">, degreaser or carrier solvent, as </w:t>
      </w:r>
      <w:proofErr w:type="gramStart"/>
      <w:r>
        <w:t>an</w:t>
      </w:r>
      <w:proofErr w:type="gramEnd"/>
      <w:r>
        <w:t xml:space="preserve"> intermediate in chemical manufacture, in spray adhesives, dry cleaning, insulation, and as a refrigerant flushing agent</w:t>
      </w:r>
      <w:r w:rsidRPr="00210126">
        <w:t>.</w:t>
      </w:r>
      <w:r w:rsidRPr="00816DDC">
        <w:t xml:space="preserve"> </w:t>
      </w:r>
      <w:proofErr w:type="gramStart"/>
      <w:r w:rsidRPr="00BB1944">
        <w:rPr>
          <w:i/>
        </w:rPr>
        <w:t>n</w:t>
      </w:r>
      <w:r w:rsidRPr="00816DDC">
        <w:t>-Propyl</w:t>
      </w:r>
      <w:proofErr w:type="gramEnd"/>
      <w:r w:rsidRPr="00816DDC">
        <w:t xml:space="preserve"> bromide has also appeared in </w:t>
      </w:r>
      <w:r>
        <w:t xml:space="preserve">consumer </w:t>
      </w:r>
      <w:r w:rsidRPr="00816DDC">
        <w:t xml:space="preserve">aerosol cans as electronics cleaning </w:t>
      </w:r>
      <w:r>
        <w:t xml:space="preserve">and degreasing </w:t>
      </w:r>
      <w:r w:rsidRPr="00816DDC">
        <w:t>product</w:t>
      </w:r>
      <w:r>
        <w:t>s, as adhesive products, as textile spot removers, and as paintable mould release agents</w:t>
      </w:r>
      <w:r w:rsidRPr="00816DDC">
        <w:t xml:space="preserve">. </w:t>
      </w:r>
    </w:p>
    <w:p w14:paraId="20263404" w14:textId="140EFBD0" w:rsidR="00314538" w:rsidRDefault="00314538" w:rsidP="0036416F">
      <w:r w:rsidRPr="00816DDC">
        <w:t xml:space="preserve">Manufacture is occurring in a </w:t>
      </w:r>
      <w:r>
        <w:t xml:space="preserve">small </w:t>
      </w:r>
      <w:r w:rsidRPr="00816DDC">
        <w:t>number of countries</w:t>
      </w:r>
      <w:r>
        <w:t>, including China, Israel and the United States</w:t>
      </w:r>
      <w:r w:rsidRPr="00816DDC">
        <w:t xml:space="preserve">. Chemical manufacturers do not publicise their </w:t>
      </w:r>
      <w:r w:rsidRPr="00BB1944">
        <w:rPr>
          <w:i/>
        </w:rPr>
        <w:t>n</w:t>
      </w:r>
      <w:r w:rsidRPr="00816DDC">
        <w:t xml:space="preserve">-propyl bromide production data for commercial reasons. </w:t>
      </w:r>
      <w:r w:rsidRPr="001C509F">
        <w:t xml:space="preserve">Parties to the Montreal Protocol </w:t>
      </w:r>
      <w:r>
        <w:t xml:space="preserve">are not required </w:t>
      </w:r>
      <w:r w:rsidRPr="00A44FF2">
        <w:t>under Article 7</w:t>
      </w:r>
      <w:r>
        <w:t xml:space="preserve"> to</w:t>
      </w:r>
      <w:r w:rsidRPr="001C509F">
        <w:t xml:space="preserve"> report</w:t>
      </w:r>
      <w:r>
        <w:t xml:space="preserve"> the </w:t>
      </w:r>
      <w:r w:rsidRPr="00A44FF2">
        <w:t xml:space="preserve">production and consumption </w:t>
      </w:r>
      <w:r w:rsidRPr="00BB1944">
        <w:rPr>
          <w:i/>
        </w:rPr>
        <w:t>n-</w:t>
      </w:r>
      <w:r w:rsidRPr="001C509F">
        <w:t>propyl bromide</w:t>
      </w:r>
      <w:r>
        <w:t xml:space="preserve"> because it is not a controlled substance. </w:t>
      </w:r>
      <w:r w:rsidRPr="00210126">
        <w:t xml:space="preserve">China has </w:t>
      </w:r>
      <w:r>
        <w:t xml:space="preserve">estimated </w:t>
      </w:r>
      <w:r w:rsidRPr="00210126">
        <w:t xml:space="preserve">production capacity of about </w:t>
      </w:r>
      <w:r>
        <w:t>1</w:t>
      </w:r>
      <w:r w:rsidRPr="00210126">
        <w:t xml:space="preserve">0,000 tonnes per year, consumes </w:t>
      </w:r>
      <w:r>
        <w:t xml:space="preserve">(about 3-4,000 tonnes per year), </w:t>
      </w:r>
      <w:r w:rsidRPr="00210126">
        <w:t xml:space="preserve">and exports </w:t>
      </w:r>
      <w:r>
        <w:t xml:space="preserve">(about 5,000 tonnes) </w:t>
      </w:r>
      <w:r w:rsidRPr="00210126">
        <w:t xml:space="preserve">to other markets. </w:t>
      </w:r>
      <w:r>
        <w:t xml:space="preserve">The United States manufactured and imported about 8,500 tonnes in </w:t>
      </w:r>
      <w:proofErr w:type="gramStart"/>
      <w:r>
        <w:t>2012,</w:t>
      </w:r>
      <w:proofErr w:type="gramEnd"/>
      <w:r>
        <w:t xml:space="preserve"> and nearly 12,000 tonnes in 2015</w:t>
      </w:r>
      <w:r>
        <w:rPr>
          <w:rStyle w:val="FootnoteReference"/>
        </w:rPr>
        <w:footnoteReference w:id="15"/>
      </w:r>
      <w:r>
        <w:t xml:space="preserve">. Japan imported about 4,000 tonnes in 2014. The European Union imported about 2,000 tonnes, with maximum production of 3,600 tonnes. Information was not available for Israel. </w:t>
      </w:r>
    </w:p>
    <w:p w14:paraId="74A643CF" w14:textId="77777777" w:rsidR="00314538" w:rsidRPr="00BB1944" w:rsidRDefault="00314538" w:rsidP="00A140B1">
      <w:r w:rsidRPr="00BB1944">
        <w:rPr>
          <w:b/>
        </w:rPr>
        <w:t>Parties may wish to consider providing MCTOC with production data for n-propyl bromide in order that global production quantities could be collated and reported.</w:t>
      </w:r>
    </w:p>
    <w:p w14:paraId="0B54F2CD" w14:textId="77777777" w:rsidR="00656E7D" w:rsidRPr="00656E7D" w:rsidRDefault="00656E7D" w:rsidP="00413E4A">
      <w:pPr>
        <w:pStyle w:val="Heading3"/>
      </w:pPr>
      <w:bookmarkStart w:id="165" w:name="_Toc356240464"/>
      <w:bookmarkStart w:id="166" w:name="_Toc484164363"/>
      <w:r w:rsidRPr="00656E7D">
        <w:t>5.2.8</w:t>
      </w:r>
      <w:r w:rsidRPr="00656E7D">
        <w:tab/>
        <w:t>Laboratory and analytical uses of ODS</w:t>
      </w:r>
      <w:bookmarkEnd w:id="165"/>
      <w:bookmarkEnd w:id="166"/>
    </w:p>
    <w:p w14:paraId="54F35BB8" w14:textId="77777777" w:rsidR="00656E7D" w:rsidRPr="00656E7D" w:rsidRDefault="00656E7D" w:rsidP="00A140B1">
      <w:r w:rsidRPr="00656E7D">
        <w:t>Decision XV/8(2) requests TEAP</w:t>
      </w:r>
      <w:r w:rsidRPr="00314538">
        <w:rPr>
          <w:i/>
        </w:rPr>
        <w:t xml:space="preserve"> “...to report annually on the development and availability of laboratory and analytical procedures that can be performed without using the controlled substances in Annexes A, B and C (group II and group III substances) of the Protocol”</w:t>
      </w:r>
      <w:r w:rsidRPr="00656E7D">
        <w:t xml:space="preserve">. A later decision XXVI/5(2) also requests TEAP </w:t>
      </w:r>
      <w:r w:rsidRPr="00314538">
        <w:rPr>
          <w:i/>
        </w:rPr>
        <w:t>“...to report no later than 2018 on the development and availability of laboratory and analytical procedures that can be performed without using controlled substances under the Montreal Protocol”</w:t>
      </w:r>
      <w:r w:rsidRPr="00656E7D">
        <w:t xml:space="preserve">. In light of decision XXVI/5(2), and the challenges in reporting annually on this topic, MCTOC will instead focus its resources and activity towards completing a report in 2018, as requested. </w:t>
      </w:r>
    </w:p>
    <w:p w14:paraId="171272FE" w14:textId="77777777" w:rsidR="00656E7D" w:rsidRPr="00656E7D" w:rsidRDefault="00656E7D" w:rsidP="00A140B1">
      <w:r w:rsidRPr="00656E7D">
        <w:t>MCTOC wishes to bring to the attention of parties that it is seeking new members who are experts in laboratory and analytical uses. Parties may wish to consider nominating experts.</w:t>
      </w:r>
    </w:p>
    <w:p w14:paraId="39D24940" w14:textId="77777777" w:rsidR="00656E7D" w:rsidRPr="00656E7D" w:rsidRDefault="00656E7D" w:rsidP="00413E4A">
      <w:pPr>
        <w:pStyle w:val="Heading4"/>
      </w:pPr>
      <w:bookmarkStart w:id="167" w:name="_Toc483916052"/>
      <w:r w:rsidRPr="00656E7D">
        <w:lastRenderedPageBreak/>
        <w:t>5.2.8.1</w:t>
      </w:r>
      <w:r w:rsidRPr="00656E7D">
        <w:tab/>
        <w:t>Laboratory and analytical uses of methyl bromide</w:t>
      </w:r>
      <w:bookmarkEnd w:id="167"/>
      <w:r w:rsidRPr="00656E7D">
        <w:t xml:space="preserve"> </w:t>
      </w:r>
    </w:p>
    <w:p w14:paraId="5350E0F5" w14:textId="77777777" w:rsidR="00656E7D" w:rsidRPr="00656E7D" w:rsidRDefault="00656E7D" w:rsidP="00A140B1">
      <w:r w:rsidRPr="00656E7D">
        <w:t xml:space="preserve">Decision XVII/10(8) requests TEAP </w:t>
      </w:r>
      <w:r w:rsidRPr="00314538">
        <w:rPr>
          <w:i/>
        </w:rPr>
        <w:t>“...</w:t>
      </w:r>
      <w:r w:rsidRPr="00314538" w:rsidDel="002A2610">
        <w:rPr>
          <w:i/>
        </w:rPr>
        <w:t xml:space="preserve"> </w:t>
      </w:r>
      <w:r w:rsidRPr="00314538">
        <w:rPr>
          <w:i/>
        </w:rPr>
        <w:t>to report in 2007 and every other year thereafter on the development and availability of laboratory and analytical procedures that can be performed without using the controlled substance in Annex E (methyl bromide) of the Protocol.”</w:t>
      </w:r>
    </w:p>
    <w:p w14:paraId="60D3067F" w14:textId="77777777" w:rsidR="00656E7D" w:rsidRPr="00656E7D" w:rsidRDefault="00656E7D" w:rsidP="00A140B1">
      <w:r w:rsidRPr="00656E7D">
        <w:t xml:space="preserve">Decision XVIII/15 authorizes the production and consumption of methyl bromide necessary to satisfy laboratory and analytical critical uses subject to the conditions applied to the exemption for laboratory and analytical uses contained in annex II to the report of the Sixth Meeting of the Parties, and adopts a category of laboratory and analytical critical use to allow methyl bromide to be used: </w:t>
      </w:r>
    </w:p>
    <w:p w14:paraId="1AAD1AC5" w14:textId="77777777" w:rsidR="00656E7D" w:rsidRPr="00656E7D" w:rsidRDefault="00656E7D" w:rsidP="00A140B1">
      <w:r w:rsidRPr="00656E7D">
        <w:t xml:space="preserve">(a) As a reference or standard: </w:t>
      </w:r>
    </w:p>
    <w:p w14:paraId="7DE8A8DE" w14:textId="77777777" w:rsidR="00656E7D" w:rsidRPr="00656E7D" w:rsidRDefault="00656E7D" w:rsidP="00A140B1">
      <w:pPr>
        <w:ind w:left="851"/>
      </w:pPr>
      <w:r w:rsidRPr="00656E7D">
        <w:t xml:space="preserve">(i) To calibrate equipment </w:t>
      </w:r>
      <w:proofErr w:type="gramStart"/>
      <w:r w:rsidRPr="00656E7D">
        <w:t>which uses methyl bromide;</w:t>
      </w:r>
      <w:proofErr w:type="gramEnd"/>
      <w:r w:rsidRPr="00656E7D">
        <w:t xml:space="preserve"> </w:t>
      </w:r>
    </w:p>
    <w:p w14:paraId="61A33A6B" w14:textId="77777777" w:rsidR="00656E7D" w:rsidRPr="00656E7D" w:rsidRDefault="00656E7D" w:rsidP="00A140B1">
      <w:pPr>
        <w:ind w:left="851"/>
      </w:pPr>
      <w:r w:rsidRPr="00656E7D">
        <w:t xml:space="preserve">(ii) To monitor methyl bromide emission levels; </w:t>
      </w:r>
    </w:p>
    <w:p w14:paraId="4E04F8C1" w14:textId="77777777" w:rsidR="00656E7D" w:rsidRPr="00656E7D" w:rsidRDefault="00656E7D" w:rsidP="00A140B1">
      <w:pPr>
        <w:ind w:left="851"/>
      </w:pPr>
      <w:r w:rsidRPr="00656E7D">
        <w:t xml:space="preserve">(iii) To determine methyl bromide residue levels in goods, plants and commodities; </w:t>
      </w:r>
    </w:p>
    <w:p w14:paraId="2FC7F4CF" w14:textId="77777777" w:rsidR="00656E7D" w:rsidRPr="00656E7D" w:rsidRDefault="00656E7D" w:rsidP="00A140B1">
      <w:r w:rsidRPr="00656E7D">
        <w:t xml:space="preserve">(b) In laboratory toxicological studies; </w:t>
      </w:r>
    </w:p>
    <w:p w14:paraId="250763DF" w14:textId="77777777" w:rsidR="00656E7D" w:rsidRPr="00656E7D" w:rsidRDefault="00656E7D" w:rsidP="00A140B1">
      <w:r w:rsidRPr="00656E7D">
        <w:t xml:space="preserve">(c) To compare the efficacy of methyl bromide and its alternatives inside a laboratory; </w:t>
      </w:r>
    </w:p>
    <w:p w14:paraId="278F1E1B" w14:textId="77777777" w:rsidR="00656E7D" w:rsidRPr="00656E7D" w:rsidRDefault="00656E7D" w:rsidP="00A140B1">
      <w:r w:rsidRPr="00656E7D">
        <w:t xml:space="preserve">(d) As a laboratory agent which is destroyed in a chemical reaction in the manner of feedstock; </w:t>
      </w:r>
    </w:p>
    <w:p w14:paraId="3882BF36" w14:textId="77777777" w:rsidR="00656E7D" w:rsidRPr="00656E7D" w:rsidRDefault="00656E7D" w:rsidP="00A140B1">
      <w:r w:rsidRPr="00656E7D">
        <w:t>In consultations with the MBTOC and MCTOC, TEAP believes that the current usage of methyl bromide as a reference or standard, in laboratory toxicological studies, and for comparison of methyl bromide and its alternatives inside a laboratory, is likely to be minor, possibly in the kilograms range globally. The likelihood of significant amounts (or any amounts) used this way has diminished as there are very few trials done on methyl bromide, with fewer on insect mortality studies and laboratory emission studies with barrier films. There is a possibility that these amounts, especially for insect mortality studies, could increase slightly if QPS uses were controlled further under the Montreal Protocol although the global quantities would remain very small.</w:t>
      </w:r>
    </w:p>
    <w:p w14:paraId="0AEE4673" w14:textId="77777777" w:rsidR="00656E7D" w:rsidRPr="00656E7D" w:rsidRDefault="00656E7D" w:rsidP="00A140B1">
      <w:r w:rsidRPr="00656E7D">
        <w:t xml:space="preserve">Methyl bromide can also be used in a laboratory as a methylating agent in chemical reactions to deliver a methyl group to a chemical substrate. This application is also believed to be very minor. There are many alternatives to using methyl bromide as a methylating agent (see Annex 1). These alternatives are nearly always used in preference to methyl bromide. Methyl bromide is a toxic gas, which limits greatly its practicality in this application. </w:t>
      </w:r>
    </w:p>
    <w:p w14:paraId="7211565B" w14:textId="77777777" w:rsidR="00656E7D" w:rsidRPr="00656E7D" w:rsidRDefault="00656E7D" w:rsidP="00A140B1">
      <w:r w:rsidRPr="00656E7D">
        <w:t xml:space="preserve">When compared with the quantity of methyl bromide still used in QPS (11,000 tonnes), in critical uses (628 tonnes), and in feedstock uses (4,072 tonnes in 2015), these laboratory and analytical uses of methyl bromide are minor. </w:t>
      </w:r>
    </w:p>
    <w:p w14:paraId="1E2AE42F" w14:textId="60C27556" w:rsidR="00656E7D" w:rsidRPr="00656E7D" w:rsidRDefault="00656E7D" w:rsidP="00A140B1">
      <w:r w:rsidRPr="00656E7D">
        <w:t xml:space="preserve">In conclusion, there is a wide range of alternatives available for methyl bromide when used as a methylating agent, and an insignificant volume of methyl bromide used in this and other laboratory and analytical applications. TEAP plans to report further on this topic if and when </w:t>
      </w:r>
      <w:r w:rsidR="00BF2381">
        <w:t>p</w:t>
      </w:r>
      <w:r w:rsidRPr="00656E7D">
        <w:t xml:space="preserve">arties make available new and different information. </w:t>
      </w:r>
    </w:p>
    <w:p w14:paraId="6E80B41E" w14:textId="77777777" w:rsidR="00656E7D" w:rsidRPr="00656E7D" w:rsidRDefault="00656E7D" w:rsidP="00413E4A">
      <w:pPr>
        <w:pStyle w:val="Heading3"/>
      </w:pPr>
      <w:bookmarkStart w:id="168" w:name="_Toc356240465"/>
      <w:bookmarkStart w:id="169" w:name="_Toc484164364"/>
      <w:r w:rsidRPr="00656E7D">
        <w:lastRenderedPageBreak/>
        <w:t>5.2.9</w:t>
      </w:r>
      <w:r w:rsidRPr="00656E7D">
        <w:tab/>
        <w:t>Carbon tetrachloride emissions</w:t>
      </w:r>
      <w:bookmarkEnd w:id="168"/>
      <w:bookmarkEnd w:id="169"/>
    </w:p>
    <w:p w14:paraId="6C726096" w14:textId="77777777" w:rsidR="00497F61" w:rsidRPr="00BB1944" w:rsidRDefault="00497F61" w:rsidP="00BB1944">
      <w:pPr>
        <w:rPr>
          <w:lang w:val="en-US"/>
        </w:rPr>
      </w:pPr>
      <w:r w:rsidRPr="00BB1944">
        <w:rPr>
          <w:lang w:val="en-US"/>
        </w:rPr>
        <w:t>Following the 2016 report by the World Climate Research Programme, under its Stratosphere-Troposphere Processes and Their Role in Climate (SPARC) project, entitled “The Mystery of Carbon Tetrachloride”</w:t>
      </w:r>
      <w:r w:rsidRPr="00BB1944">
        <w:rPr>
          <w:vertAlign w:val="superscript"/>
        </w:rPr>
        <w:t xml:space="preserve"> </w:t>
      </w:r>
      <w:r w:rsidRPr="00BB1944">
        <w:rPr>
          <w:vertAlign w:val="superscript"/>
        </w:rPr>
        <w:footnoteReference w:id="16"/>
      </w:r>
      <w:r w:rsidRPr="00BB1944">
        <w:rPr>
          <w:lang w:val="en-US"/>
        </w:rPr>
        <w:t xml:space="preserve">, and the subsequent report by the TEAP and the Scientific Assessment Panel in response to decision XXVII/7 on an analysis of the discrepancies between observed atmospheric concentrations and reported emissions data on carbon tetrachloride, the “research direction suggestions” of the SPARC report were forwarded to the Ozone Research Managers of the Vienna Convention in March 2017 for consideration. This meeting agreed the need for further studies to refine the various loss processes contributing to the lifetime of CCl4 (stratosphere, ocean, and soil), along with studies to better define emissions sources. </w:t>
      </w:r>
    </w:p>
    <w:p w14:paraId="7AF05AC4" w14:textId="77777777" w:rsidR="00497F61" w:rsidRDefault="00497F61" w:rsidP="00BB1944">
      <w:r w:rsidRPr="001E3108">
        <w:t>The SPARC report</w:t>
      </w:r>
      <w:r>
        <w:t xml:space="preserve"> </w:t>
      </w:r>
      <w:r w:rsidRPr="001E3108">
        <w:t>analysed potential sources of emission</w:t>
      </w:r>
      <w:r>
        <w:t>s</w:t>
      </w:r>
      <w:r w:rsidRPr="001E3108">
        <w:t xml:space="preserve"> of carbon tetrachloride and estimated their magnitudes. Globally, it is estimated that </w:t>
      </w:r>
      <w:proofErr w:type="gramStart"/>
      <w:r w:rsidRPr="001E3108">
        <w:t>25</w:t>
      </w:r>
      <w:r>
        <w:t>,000</w:t>
      </w:r>
      <w:r w:rsidRPr="001E3108">
        <w:t xml:space="preserve"> tonnes/year</w:t>
      </w:r>
      <w:proofErr w:type="gramEnd"/>
      <w:r w:rsidRPr="001E3108">
        <w:t xml:space="preserve"> are emitted; regional contributions are 4</w:t>
      </w:r>
      <w:r>
        <w:t>,</w:t>
      </w:r>
      <w:r w:rsidRPr="001E3108">
        <w:t xml:space="preserve">000 tonnes/year from </w:t>
      </w:r>
      <w:r>
        <w:t>the United States</w:t>
      </w:r>
      <w:r w:rsidRPr="001E3108">
        <w:t xml:space="preserve"> and 2</w:t>
      </w:r>
      <w:r>
        <w:t>,</w:t>
      </w:r>
      <w:r w:rsidRPr="001E3108">
        <w:t>200 tonnes/year from the E</w:t>
      </w:r>
      <w:r>
        <w:t xml:space="preserve">uropean </w:t>
      </w:r>
      <w:r w:rsidRPr="001E3108">
        <w:t>U</w:t>
      </w:r>
      <w:r>
        <w:t>nion</w:t>
      </w:r>
      <w:r w:rsidRPr="001E3108">
        <w:t>. It is apparent that most of the g</w:t>
      </w:r>
      <w:r>
        <w:t>lobal emissions are unreported</w:t>
      </w:r>
      <w:r w:rsidRPr="001E3108">
        <w:t xml:space="preserve"> (23</w:t>
      </w:r>
      <w:r>
        <w:t>,000</w:t>
      </w:r>
      <w:r w:rsidRPr="001E3108">
        <w:t xml:space="preserve"> tonnes</w:t>
      </w:r>
      <w:r>
        <w:t>,</w:t>
      </w:r>
      <w:r w:rsidRPr="001E3108">
        <w:t xml:space="preserve"> or more than 90%): either inadvertent emissions from activities involving chlorine and leakage from old landfill (estimated </w:t>
      </w:r>
      <w:proofErr w:type="gramStart"/>
      <w:r w:rsidRPr="001E3108">
        <w:t>to total 10</w:t>
      </w:r>
      <w:r>
        <w:t>,000</w:t>
      </w:r>
      <w:r w:rsidRPr="001E3108">
        <w:t xml:space="preserve"> tonnes/year</w:t>
      </w:r>
      <w:proofErr w:type="gramEnd"/>
      <w:r w:rsidRPr="001E3108">
        <w:t>) or unre</w:t>
      </w:r>
      <w:r>
        <w:t>ported</w:t>
      </w:r>
      <w:r w:rsidRPr="001E3108">
        <w:t xml:space="preserve"> emissions from industrial processes</w:t>
      </w:r>
      <w:r>
        <w:t>, including waste treatment</w:t>
      </w:r>
      <w:r w:rsidRPr="001E3108">
        <w:t xml:space="preserve"> (estimated at 13</w:t>
      </w:r>
      <w:r>
        <w:t>,000</w:t>
      </w:r>
      <w:r w:rsidRPr="001E3108">
        <w:t xml:space="preserve"> tonnes/year).</w:t>
      </w:r>
    </w:p>
    <w:p w14:paraId="1CF75AF0" w14:textId="77777777" w:rsidR="00656E7D" w:rsidRPr="00656E7D" w:rsidRDefault="00656E7D" w:rsidP="00413E4A">
      <w:pPr>
        <w:pStyle w:val="Heading3"/>
      </w:pPr>
      <w:bookmarkStart w:id="170" w:name="_Toc356240466"/>
      <w:bookmarkStart w:id="171" w:name="_Toc484164365"/>
      <w:r w:rsidRPr="00656E7D">
        <w:t>5.2.10</w:t>
      </w:r>
      <w:r w:rsidRPr="00656E7D">
        <w:tab/>
        <w:t>Destruction technologies</w:t>
      </w:r>
      <w:bookmarkEnd w:id="170"/>
      <w:bookmarkEnd w:id="171"/>
    </w:p>
    <w:p w14:paraId="586867E7" w14:textId="77777777" w:rsidR="00656E7D" w:rsidRPr="00656E7D" w:rsidRDefault="00656E7D" w:rsidP="00021656">
      <w:pPr>
        <w:jc w:val="both"/>
      </w:pPr>
      <w:r w:rsidRPr="00656E7D">
        <w:t>MCTOC wishes to bring to the attention of parties that it is seeking new members who are destruction technology experts. Parties may wish to consider nominating experts.</w:t>
      </w:r>
    </w:p>
    <w:p w14:paraId="3866E408" w14:textId="77777777" w:rsidR="00656E7D" w:rsidRPr="00656E7D" w:rsidRDefault="00656E7D" w:rsidP="00021656">
      <w:pPr>
        <w:jc w:val="both"/>
      </w:pPr>
      <w:r w:rsidRPr="00656E7D">
        <w:t xml:space="preserve">In addition, in preparation for future work, including its 2018 Assessment Report, parties may wish to consider providing any relevant new information on destruction technologies to MCTOC. </w:t>
      </w:r>
    </w:p>
    <w:p w14:paraId="6173E222" w14:textId="77777777" w:rsidR="00656E7D" w:rsidRPr="00656E7D" w:rsidRDefault="00656E7D" w:rsidP="00656E7D">
      <w:r w:rsidRPr="00656E7D">
        <w:br w:type="page"/>
      </w:r>
    </w:p>
    <w:p w14:paraId="35B71748" w14:textId="1A11BE2C" w:rsidR="00656E7D" w:rsidRPr="00656E7D" w:rsidRDefault="007C3101" w:rsidP="00413E4A">
      <w:pPr>
        <w:pStyle w:val="Heading2"/>
      </w:pPr>
      <w:bookmarkStart w:id="172" w:name="_Toc356240468"/>
      <w:bookmarkStart w:id="173" w:name="_Toc484164366"/>
      <w:r w:rsidRPr="00656E7D">
        <w:lastRenderedPageBreak/>
        <w:t>A</w:t>
      </w:r>
      <w:r>
        <w:t>nnex</w:t>
      </w:r>
      <w:r w:rsidRPr="00656E7D">
        <w:t xml:space="preserve"> </w:t>
      </w:r>
      <w:r w:rsidR="00656E7D" w:rsidRPr="00656E7D">
        <w:t>1:</w:t>
      </w:r>
      <w:r w:rsidR="00BA2FF0">
        <w:t xml:space="preserve">     </w:t>
      </w:r>
      <w:r w:rsidR="00656E7D" w:rsidRPr="00656E7D">
        <w:rPr>
          <w:rFonts w:hint="eastAsia"/>
        </w:rPr>
        <w:t>Summary</w:t>
      </w:r>
      <w:r w:rsidR="00656E7D" w:rsidRPr="00656E7D">
        <w:t xml:space="preserve"> of </w:t>
      </w:r>
      <w:r w:rsidR="00FB50B1">
        <w:t>m</w:t>
      </w:r>
      <w:r w:rsidR="00656E7D" w:rsidRPr="00656E7D">
        <w:rPr>
          <w:rFonts w:hint="eastAsia"/>
        </w:rPr>
        <w:t xml:space="preserve">ethylating </w:t>
      </w:r>
      <w:r w:rsidR="00FB50B1">
        <w:t>a</w:t>
      </w:r>
      <w:r w:rsidR="00656E7D" w:rsidRPr="00656E7D">
        <w:rPr>
          <w:rFonts w:hint="eastAsia"/>
        </w:rPr>
        <w:t>gent</w:t>
      </w:r>
      <w:r w:rsidR="00656E7D" w:rsidRPr="00656E7D">
        <w:t xml:space="preserve"> </w:t>
      </w:r>
      <w:r w:rsidR="00FB50B1">
        <w:t>a</w:t>
      </w:r>
      <w:r w:rsidR="00656E7D" w:rsidRPr="00656E7D">
        <w:t xml:space="preserve">lternatives to </w:t>
      </w:r>
      <w:r w:rsidR="00FB50B1">
        <w:t>m</w:t>
      </w:r>
      <w:r w:rsidR="00656E7D" w:rsidRPr="00656E7D">
        <w:t xml:space="preserve">ethyl </w:t>
      </w:r>
      <w:r w:rsidR="00FB50B1">
        <w:t>b</w:t>
      </w:r>
      <w:r w:rsidR="00656E7D" w:rsidRPr="00656E7D">
        <w:t>romide</w:t>
      </w:r>
      <w:bookmarkEnd w:id="172"/>
      <w:bookmarkEnd w:id="173"/>
    </w:p>
    <w:p w14:paraId="60E83622" w14:textId="1AC1B80F" w:rsidR="00814B16" w:rsidRPr="0036416F" w:rsidRDefault="00814B16" w:rsidP="0036416F">
      <w:pPr>
        <w:rPr>
          <w:lang w:val="en-US"/>
        </w:rPr>
      </w:pPr>
      <w:bookmarkStart w:id="174" w:name="_Toc356240469"/>
      <w:r>
        <w:t>M</w:t>
      </w:r>
      <w:r w:rsidR="001C1CF5">
        <w:t>ethyl bromide (MB)</w:t>
      </w:r>
      <w:r>
        <w:t xml:space="preserve"> can be used in a laboratory as a methylating agent in chemical reactions to deliver a methyl group to a chemical substrate. This application is believed to be very minor. There are many alternatives to using methyl bromide as a methylating agent. A summary of alternative methylating agents is presented below. These alternatives are nearly always used in preference to methyl bromide.</w:t>
      </w:r>
    </w:p>
    <w:p w14:paraId="74D18429" w14:textId="77777777" w:rsidR="00656E7D" w:rsidRPr="00656E7D" w:rsidRDefault="00656E7D" w:rsidP="00413E4A">
      <w:pPr>
        <w:pStyle w:val="Heading3"/>
      </w:pPr>
      <w:bookmarkStart w:id="175" w:name="_Toc483916056"/>
      <w:bookmarkStart w:id="176" w:name="_Toc484164367"/>
      <w:r w:rsidRPr="00656E7D">
        <w:t>1.1</w:t>
      </w:r>
      <w:r w:rsidRPr="00656E7D">
        <w:tab/>
        <w:t>Methylating agent used under acidic conditions (methanol</w:t>
      </w:r>
      <w:r w:rsidRPr="00656E7D">
        <w:rPr>
          <w:rFonts w:hint="eastAsia"/>
        </w:rPr>
        <w:t xml:space="preserve">, </w:t>
      </w:r>
      <w:r w:rsidRPr="00656E7D">
        <w:t>dimethyl ether</w:t>
      </w:r>
      <w:r w:rsidRPr="00656E7D">
        <w:rPr>
          <w:rFonts w:hint="eastAsia"/>
        </w:rPr>
        <w:t xml:space="preserve">, </w:t>
      </w:r>
      <w:r w:rsidRPr="00656E7D">
        <w:t>dimethylaniline)</w:t>
      </w:r>
      <w:bookmarkEnd w:id="174"/>
      <w:bookmarkEnd w:id="175"/>
      <w:bookmarkEnd w:id="176"/>
      <w:r w:rsidRPr="00656E7D">
        <w:t xml:space="preserve"> </w:t>
      </w:r>
    </w:p>
    <w:p w14:paraId="104D972B" w14:textId="77777777" w:rsidR="00814B16" w:rsidRPr="0036416F" w:rsidRDefault="00814B16" w:rsidP="0036416F">
      <w:pPr>
        <w:rPr>
          <w:lang w:val="en-US"/>
        </w:rPr>
      </w:pPr>
      <w:bookmarkStart w:id="177" w:name="_Toc356240470"/>
      <w:r w:rsidRPr="0036416F">
        <w:rPr>
          <w:rFonts w:hint="eastAsia"/>
          <w:lang w:val="en-US"/>
        </w:rPr>
        <w:t xml:space="preserve">Methanol, </w:t>
      </w:r>
      <w:r w:rsidRPr="0036416F">
        <w:rPr>
          <w:lang w:val="en-US"/>
        </w:rPr>
        <w:t>dimethyl ether</w:t>
      </w:r>
      <w:r w:rsidRPr="0036416F">
        <w:rPr>
          <w:rFonts w:hint="eastAsia"/>
          <w:lang w:val="en-US"/>
        </w:rPr>
        <w:t xml:space="preserve"> </w:t>
      </w:r>
      <w:r w:rsidRPr="0036416F">
        <w:rPr>
          <w:lang w:val="en-US"/>
        </w:rPr>
        <w:t>and dimethylaniline</w:t>
      </w:r>
      <w:r w:rsidRPr="0036416F">
        <w:rPr>
          <w:rFonts w:hint="eastAsia"/>
          <w:lang w:val="en-US"/>
        </w:rPr>
        <w:t xml:space="preserve"> are</w:t>
      </w:r>
      <w:r w:rsidRPr="0036416F">
        <w:rPr>
          <w:lang w:val="en-US"/>
        </w:rPr>
        <w:t xml:space="preserve"> very weak methylating agents. In the case of acidic conditions (Brønsted or Lewis acid), they methylate active amines and carboxylic acids as nucleophiles. Many of these reactions require the use of special catalyst or an autoclave</w:t>
      </w:r>
      <w:r w:rsidRPr="0036416F">
        <w:rPr>
          <w:rFonts w:hint="eastAsia"/>
          <w:lang w:val="en-US"/>
        </w:rPr>
        <w:t>.</w:t>
      </w:r>
      <w:r w:rsidRPr="0036416F">
        <w:rPr>
          <w:rFonts w:hint="eastAsia"/>
          <w:vertAlign w:val="superscript"/>
          <w:lang w:val="en-US"/>
        </w:rPr>
        <w:t>2</w:t>
      </w:r>
    </w:p>
    <w:p w14:paraId="065CB718" w14:textId="23D5F00E" w:rsidR="00814B16" w:rsidRPr="00AA204A" w:rsidRDefault="00814B16" w:rsidP="00814B16">
      <w:pPr>
        <w:jc w:val="center"/>
        <w:rPr>
          <w:lang w:val="en-US"/>
        </w:rPr>
      </w:pPr>
      <w:r>
        <w:rPr>
          <w:noProof/>
          <w:lang w:val="en-US" w:eastAsia="en-US"/>
        </w:rPr>
        <w:drawing>
          <wp:inline distT="0" distB="0" distL="0" distR="0" wp14:anchorId="272D4F72" wp14:editId="61A8CD39">
            <wp:extent cx="2479040" cy="508000"/>
            <wp:effectExtent l="0" t="0" r="1016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79040" cy="508000"/>
                    </a:xfrm>
                    <a:prstGeom prst="rect">
                      <a:avLst/>
                    </a:prstGeom>
                    <a:noFill/>
                    <a:ln>
                      <a:noFill/>
                    </a:ln>
                  </pic:spPr>
                </pic:pic>
              </a:graphicData>
            </a:graphic>
          </wp:inline>
        </w:drawing>
      </w:r>
    </w:p>
    <w:p w14:paraId="1A32E886" w14:textId="77777777" w:rsidR="00656E7D" w:rsidRPr="00656E7D" w:rsidRDefault="00656E7D" w:rsidP="00413E4A">
      <w:pPr>
        <w:pStyle w:val="Heading3"/>
      </w:pPr>
      <w:bookmarkStart w:id="178" w:name="_Toc483916057"/>
      <w:bookmarkStart w:id="179" w:name="_Toc484164368"/>
      <w:r w:rsidRPr="00656E7D">
        <w:t>1.2</w:t>
      </w:r>
      <w:r w:rsidRPr="00656E7D">
        <w:tab/>
        <w:t>Methylating agent used under basic conditions</w:t>
      </w:r>
      <w:bookmarkEnd w:id="177"/>
      <w:bookmarkEnd w:id="178"/>
      <w:bookmarkEnd w:id="179"/>
    </w:p>
    <w:p w14:paraId="2E0F1FE4" w14:textId="77777777" w:rsidR="00656E7D" w:rsidRPr="00656E7D" w:rsidRDefault="00656E7D" w:rsidP="00413E4A">
      <w:pPr>
        <w:pStyle w:val="Heading4"/>
      </w:pPr>
      <w:bookmarkStart w:id="180" w:name="_Toc356240471"/>
      <w:bookmarkStart w:id="181" w:name="_Toc483916058"/>
      <w:r w:rsidRPr="00656E7D">
        <w:t>1.2.1</w:t>
      </w:r>
      <w:r w:rsidRPr="00656E7D">
        <w:tab/>
      </w:r>
      <w:r w:rsidRPr="00656E7D">
        <w:rPr>
          <w:rFonts w:hint="eastAsia"/>
        </w:rPr>
        <w:t>M</w:t>
      </w:r>
      <w:r w:rsidRPr="00656E7D">
        <w:t>ethyl halide</w:t>
      </w:r>
      <w:bookmarkEnd w:id="180"/>
      <w:bookmarkEnd w:id="181"/>
    </w:p>
    <w:p w14:paraId="1547450C" w14:textId="77777777" w:rsidR="00656E7D" w:rsidRPr="00656E7D" w:rsidRDefault="00656E7D" w:rsidP="00413E4A">
      <w:pPr>
        <w:pStyle w:val="Heading5"/>
      </w:pPr>
      <w:bookmarkStart w:id="182" w:name="_Toc483916059"/>
      <w:r w:rsidRPr="00656E7D">
        <w:t>1.2.1.1</w:t>
      </w:r>
      <w:r w:rsidRPr="00656E7D">
        <w:tab/>
        <w:t>Methyl Iodide, MeI</w:t>
      </w:r>
      <w:bookmarkEnd w:id="182"/>
    </w:p>
    <w:p w14:paraId="6A30A151" w14:textId="6AC14E22" w:rsidR="00656E7D" w:rsidRPr="00814B16" w:rsidRDefault="00814B16" w:rsidP="00814B16">
      <w:pPr>
        <w:rPr>
          <w:lang w:val="en-US"/>
        </w:rPr>
      </w:pPr>
      <w:r w:rsidRPr="0036416F">
        <w:rPr>
          <w:lang w:val="en-US"/>
        </w:rPr>
        <w:t xml:space="preserve">Methyl </w:t>
      </w:r>
      <w:r w:rsidRPr="0036416F">
        <w:rPr>
          <w:rFonts w:hint="eastAsia"/>
          <w:lang w:val="en-US"/>
        </w:rPr>
        <w:t>i</w:t>
      </w:r>
      <w:r w:rsidRPr="0036416F">
        <w:rPr>
          <w:lang w:val="en-US"/>
        </w:rPr>
        <w:t>odide is an excellent substrate for SN</w:t>
      </w:r>
      <w:r w:rsidRPr="0036416F">
        <w:rPr>
          <w:vertAlign w:val="subscript"/>
          <w:lang w:val="en-US"/>
        </w:rPr>
        <w:t>2</w:t>
      </w:r>
      <w:r w:rsidRPr="0036416F">
        <w:rPr>
          <w:lang w:val="en-US"/>
        </w:rPr>
        <w:t xml:space="preserve"> substitution reactions. It is sterically open for attack by nucleophiles, and iodide is a good leaving group. It is used for alkylating carbon, oxygen, sulfur, nitrogen, and phosphorus nucleophiles.</w:t>
      </w:r>
      <w:r w:rsidRPr="0036416F">
        <w:rPr>
          <w:vertAlign w:val="superscript"/>
          <w:lang w:val="en-US"/>
        </w:rPr>
        <w:t>3</w:t>
      </w:r>
      <w:r w:rsidRPr="0036416F">
        <w:rPr>
          <w:lang w:val="en-US"/>
        </w:rPr>
        <w:t xml:space="preserve"> </w:t>
      </w:r>
      <w:proofErr w:type="gramStart"/>
      <w:r w:rsidRPr="0036416F">
        <w:rPr>
          <w:lang w:val="en-US"/>
        </w:rPr>
        <w:t>The</w:t>
      </w:r>
      <w:proofErr w:type="gramEnd"/>
      <w:r w:rsidRPr="0036416F">
        <w:rPr>
          <w:lang w:val="en-US"/>
        </w:rPr>
        <w:t xml:space="preserve"> iodide leaving group in MeI may cause side reactions, as it is a powerful nucleophile. Being highly reactive, MeI is more toxic and carcinogenic than other methyl halides.</w:t>
      </w:r>
    </w:p>
    <w:p w14:paraId="49F88F63" w14:textId="5A7E90CF" w:rsidR="00BB3EB4" w:rsidRPr="00656E7D" w:rsidRDefault="00BB3EB4" w:rsidP="00413E4A">
      <w:pPr>
        <w:pStyle w:val="Heading5"/>
      </w:pPr>
      <w:bookmarkStart w:id="183" w:name="_Toc483916060"/>
      <w:r w:rsidRPr="00656E7D">
        <w:t>1.2.1.</w:t>
      </w:r>
      <w:r w:rsidR="00814B16">
        <w:t>2</w:t>
      </w:r>
      <w:r w:rsidRPr="00656E7D">
        <w:tab/>
        <w:t xml:space="preserve">Methyl </w:t>
      </w:r>
      <w:r>
        <w:t>Chloride</w:t>
      </w:r>
      <w:r w:rsidRPr="00656E7D">
        <w:t>, Me</w:t>
      </w:r>
      <w:r>
        <w:t>Cl</w:t>
      </w:r>
      <w:bookmarkEnd w:id="183"/>
    </w:p>
    <w:p w14:paraId="6C5F91F0" w14:textId="77777777" w:rsidR="00814B16" w:rsidRPr="0036416F" w:rsidRDefault="00814B16" w:rsidP="0036416F">
      <w:pPr>
        <w:rPr>
          <w:lang w:val="en-US"/>
        </w:rPr>
      </w:pPr>
      <w:bookmarkStart w:id="184" w:name="_Toc356240472"/>
      <w:r w:rsidRPr="0036416F">
        <w:rPr>
          <w:lang w:val="en-US"/>
        </w:rPr>
        <w:t>Chloromethane is employed as a methylating agent attacking C-, O-, N-, P-, S-, Se-, and Te-based</w:t>
      </w:r>
      <w:r w:rsidRPr="0036416F">
        <w:rPr>
          <w:rFonts w:hint="eastAsia"/>
          <w:lang w:val="en-US"/>
        </w:rPr>
        <w:t xml:space="preserve"> </w:t>
      </w:r>
      <w:r w:rsidRPr="0036416F">
        <w:rPr>
          <w:lang w:val="en-US"/>
        </w:rPr>
        <w:t>nucleophiles; organometallic derivatives provide source of Me</w:t>
      </w:r>
      <w:r w:rsidRPr="0036416F">
        <w:rPr>
          <w:vertAlign w:val="superscript"/>
          <w:lang w:val="en-US"/>
        </w:rPr>
        <w:t>δ−</w:t>
      </w:r>
      <w:r w:rsidRPr="0036416F">
        <w:rPr>
          <w:rFonts w:hint="eastAsia"/>
          <w:lang w:val="en-US"/>
        </w:rPr>
        <w:t xml:space="preserve"> </w:t>
      </w:r>
      <w:r w:rsidRPr="0036416F">
        <w:rPr>
          <w:lang w:val="en-US"/>
        </w:rPr>
        <w:t>in reactions with &gt;C=O, M–X, halogen, etc., and also as a base</w:t>
      </w:r>
      <w:r w:rsidRPr="0036416F">
        <w:rPr>
          <w:rFonts w:hint="eastAsia"/>
          <w:lang w:val="en-US"/>
        </w:rPr>
        <w:t xml:space="preserve"> </w:t>
      </w:r>
      <w:r w:rsidRPr="0036416F">
        <w:rPr>
          <w:lang w:val="en-US"/>
        </w:rPr>
        <w:t>towards C–H; radical substitution of Me by C•, halogen, etc. The reactivity of methylation is lower than methyl iodide and methyl bromide.</w:t>
      </w:r>
      <w:r w:rsidRPr="0036416F">
        <w:rPr>
          <w:vertAlign w:val="superscript"/>
          <w:lang w:val="en-US"/>
        </w:rPr>
        <w:t>4</w:t>
      </w:r>
    </w:p>
    <w:p w14:paraId="183E2C64" w14:textId="77777777" w:rsidR="00656E7D" w:rsidRPr="00656E7D" w:rsidRDefault="00656E7D" w:rsidP="00413E4A">
      <w:pPr>
        <w:pStyle w:val="Heading4"/>
      </w:pPr>
      <w:bookmarkStart w:id="185" w:name="_Toc483916061"/>
      <w:r w:rsidRPr="00656E7D">
        <w:t>1.2.2</w:t>
      </w:r>
      <w:r w:rsidRPr="00656E7D">
        <w:tab/>
        <w:t>Methyl ester</w:t>
      </w:r>
      <w:bookmarkEnd w:id="184"/>
      <w:bookmarkEnd w:id="185"/>
    </w:p>
    <w:p w14:paraId="2439BC97" w14:textId="77777777" w:rsidR="00656E7D" w:rsidRPr="00BB3EB4" w:rsidRDefault="00656E7D" w:rsidP="00413E4A">
      <w:pPr>
        <w:pStyle w:val="Heading5"/>
      </w:pPr>
      <w:bookmarkStart w:id="186" w:name="_Toc483916062"/>
      <w:r w:rsidRPr="00BB3EB4">
        <w:t>1.2.2.1</w:t>
      </w:r>
      <w:r w:rsidRPr="00BB3EB4">
        <w:tab/>
        <w:t>Dimethyl sulfate, DMS</w:t>
      </w:r>
      <w:bookmarkEnd w:id="186"/>
    </w:p>
    <w:p w14:paraId="131E73AB" w14:textId="77777777" w:rsidR="00814B16" w:rsidRPr="0036416F" w:rsidRDefault="00814B16" w:rsidP="0036416F">
      <w:pPr>
        <w:rPr>
          <w:lang w:val="en-US"/>
        </w:rPr>
      </w:pPr>
      <w:r w:rsidRPr="0036416F">
        <w:rPr>
          <w:lang w:val="en-US"/>
        </w:rPr>
        <w:t>Dimethyl sulfate is best known as a powerful</w:t>
      </w:r>
      <w:r w:rsidRPr="0036416F">
        <w:rPr>
          <w:rFonts w:hint="eastAsia"/>
          <w:lang w:val="en-US"/>
        </w:rPr>
        <w:t xml:space="preserve"> </w:t>
      </w:r>
      <w:r w:rsidRPr="0036416F">
        <w:rPr>
          <w:lang w:val="en-US"/>
        </w:rPr>
        <w:t>reagent for the methylation of phenols, amines, and thiols. Typically, one methyl group is transferred more quickly than the second. Methyl transfer is typically assumed to occur via an SN</w:t>
      </w:r>
      <w:r w:rsidRPr="0036416F">
        <w:rPr>
          <w:vertAlign w:val="subscript"/>
          <w:lang w:val="en-US"/>
        </w:rPr>
        <w:t>2</w:t>
      </w:r>
      <w:r w:rsidRPr="0036416F">
        <w:rPr>
          <w:lang w:val="en-US"/>
        </w:rPr>
        <w:t xml:space="preserve"> reaction.</w:t>
      </w:r>
      <w:r w:rsidRPr="0036416F">
        <w:rPr>
          <w:vertAlign w:val="superscript"/>
          <w:lang w:val="en-US"/>
        </w:rPr>
        <w:t>5</w:t>
      </w:r>
      <w:r w:rsidRPr="0036416F">
        <w:rPr>
          <w:lang w:val="en-US"/>
        </w:rPr>
        <w:t xml:space="preserve"> Compared to other methylating agents, dimethyl sulfate is preferred by the industry because of its low cost and high reactivity.</w:t>
      </w:r>
    </w:p>
    <w:p w14:paraId="0D422F21" w14:textId="77777777" w:rsidR="00656E7D" w:rsidRPr="00656E7D" w:rsidRDefault="00656E7D" w:rsidP="00413E4A">
      <w:pPr>
        <w:pStyle w:val="Heading5"/>
      </w:pPr>
      <w:bookmarkStart w:id="187" w:name="_Toc483916063"/>
      <w:r w:rsidRPr="00656E7D">
        <w:t>1.2.2.2</w:t>
      </w:r>
      <w:r w:rsidRPr="00656E7D">
        <w:tab/>
        <w:t>Dimethyl carbonate, DMC</w:t>
      </w:r>
      <w:bookmarkEnd w:id="187"/>
    </w:p>
    <w:p w14:paraId="1A8683EA" w14:textId="77777777" w:rsidR="00814B16" w:rsidRPr="0036416F" w:rsidRDefault="00814B16" w:rsidP="0036416F">
      <w:pPr>
        <w:rPr>
          <w:lang w:val="en-US"/>
        </w:rPr>
      </w:pPr>
      <w:r w:rsidRPr="0036416F">
        <w:rPr>
          <w:lang w:val="en-US"/>
        </w:rPr>
        <w:t xml:space="preserve">Dimethyl carbonate methylates anilines, phenols and carboxylic acids. It has been shown to be a safe and environmentally friendly replacement for DMS and methyl halides. But it is a relatively weak methylating agent compared to </w:t>
      </w:r>
      <w:proofErr w:type="gramStart"/>
      <w:r w:rsidRPr="0036416F">
        <w:rPr>
          <w:lang w:val="en-US"/>
        </w:rPr>
        <w:t>those</w:t>
      </w:r>
      <w:proofErr w:type="gramEnd"/>
      <w:r w:rsidRPr="0036416F">
        <w:rPr>
          <w:lang w:val="en-US"/>
        </w:rPr>
        <w:t xml:space="preserve"> traditional reagents.</w:t>
      </w:r>
      <w:r w:rsidRPr="0036416F">
        <w:rPr>
          <w:vertAlign w:val="superscript"/>
          <w:lang w:val="en-US"/>
        </w:rPr>
        <w:t>6</w:t>
      </w:r>
      <w:r w:rsidRPr="0036416F">
        <w:rPr>
          <w:lang w:val="en-US"/>
        </w:rPr>
        <w:t xml:space="preserve"> In the presence of </w:t>
      </w:r>
      <w:r w:rsidRPr="0036416F">
        <w:rPr>
          <w:lang w:val="en-US"/>
        </w:rPr>
        <w:lastRenderedPageBreak/>
        <w:t>K</w:t>
      </w:r>
      <w:r w:rsidRPr="0036416F">
        <w:rPr>
          <w:vertAlign w:val="subscript"/>
          <w:lang w:val="en-US"/>
        </w:rPr>
        <w:t>2</w:t>
      </w:r>
      <w:r w:rsidRPr="0036416F">
        <w:rPr>
          <w:lang w:val="en-US"/>
        </w:rPr>
        <w:t>CO</w:t>
      </w:r>
      <w:r w:rsidRPr="0036416F">
        <w:rPr>
          <w:vertAlign w:val="subscript"/>
          <w:lang w:val="en-US"/>
        </w:rPr>
        <w:t>3</w:t>
      </w:r>
      <w:r w:rsidRPr="0036416F">
        <w:rPr>
          <w:lang w:val="en-US"/>
        </w:rPr>
        <w:t xml:space="preserve"> or DBU it is more reactive. The reagent also methylates phenols but can be chemoselective for acids in the presence of NaY Faujasite.</w:t>
      </w:r>
    </w:p>
    <w:p w14:paraId="357F6839" w14:textId="77777777" w:rsidR="00814B16" w:rsidRPr="0036416F" w:rsidRDefault="00814B16" w:rsidP="0036416F">
      <w:pPr>
        <w:jc w:val="center"/>
        <w:rPr>
          <w:lang w:val="en-US"/>
        </w:rPr>
      </w:pPr>
      <w:r w:rsidRPr="00AA204A">
        <w:rPr>
          <w:noProof/>
          <w:lang w:val="en-US" w:eastAsia="en-US"/>
        </w:rPr>
        <w:drawing>
          <wp:inline distT="0" distB="0" distL="0" distR="0" wp14:anchorId="73CE1FBB" wp14:editId="45A43EA5">
            <wp:extent cx="2863850" cy="1325906"/>
            <wp:effectExtent l="0" t="0" r="0" b="762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84210" cy="1335332"/>
                    </a:xfrm>
                    <a:prstGeom prst="rect">
                      <a:avLst/>
                    </a:prstGeom>
                    <a:noFill/>
                    <a:ln>
                      <a:noFill/>
                    </a:ln>
                  </pic:spPr>
                </pic:pic>
              </a:graphicData>
            </a:graphic>
          </wp:inline>
        </w:drawing>
      </w:r>
    </w:p>
    <w:p w14:paraId="2E69D5C2" w14:textId="77777777" w:rsidR="00656E7D" w:rsidRPr="00656E7D" w:rsidRDefault="00656E7D" w:rsidP="00413E4A">
      <w:pPr>
        <w:pStyle w:val="Heading5"/>
      </w:pPr>
      <w:bookmarkStart w:id="188" w:name="_Toc483916064"/>
      <w:r w:rsidRPr="00656E7D">
        <w:t>1.2.2.3</w:t>
      </w:r>
      <w:r w:rsidRPr="00656E7D">
        <w:tab/>
        <w:t>Methyl trifluoromethansulfonate, MTFS</w:t>
      </w:r>
      <w:bookmarkEnd w:id="188"/>
      <w:r w:rsidRPr="00656E7D">
        <w:rPr>
          <w:rFonts w:hint="eastAsia"/>
        </w:rPr>
        <w:t xml:space="preserve"> </w:t>
      </w:r>
    </w:p>
    <w:p w14:paraId="3F6EC788" w14:textId="77777777" w:rsidR="00814B16" w:rsidRPr="0036416F" w:rsidRDefault="00814B16" w:rsidP="0036416F">
      <w:pPr>
        <w:rPr>
          <w:lang w:val="en-US"/>
        </w:rPr>
      </w:pPr>
      <w:r w:rsidRPr="0036416F">
        <w:rPr>
          <w:lang w:val="en-US"/>
        </w:rPr>
        <w:t>Methyl trifluoromethansulfonate is a powerful methylating reagent (about four orders of magnitude more reactive than methyl iodide</w:t>
      </w:r>
      <w:r w:rsidRPr="0036416F">
        <w:rPr>
          <w:rFonts w:hint="eastAsia"/>
          <w:lang w:val="en-US"/>
        </w:rPr>
        <w:t xml:space="preserve"> </w:t>
      </w:r>
      <w:r w:rsidRPr="0036416F">
        <w:rPr>
          <w:lang w:val="en-US"/>
        </w:rPr>
        <w:t>and Me</w:t>
      </w:r>
      <w:r w:rsidRPr="0036416F">
        <w:rPr>
          <w:vertAlign w:val="subscript"/>
          <w:lang w:val="en-US"/>
        </w:rPr>
        <w:t>2</w:t>
      </w:r>
      <w:r w:rsidRPr="0036416F">
        <w:rPr>
          <w:lang w:val="en-US"/>
        </w:rPr>
        <w:t>SO</w:t>
      </w:r>
      <w:r w:rsidRPr="0036416F">
        <w:rPr>
          <w:vertAlign w:val="subscript"/>
          <w:lang w:val="en-US"/>
        </w:rPr>
        <w:t>4</w:t>
      </w:r>
      <w:r w:rsidRPr="0036416F">
        <w:rPr>
          <w:lang w:val="en-US"/>
        </w:rPr>
        <w:t>)</w:t>
      </w:r>
      <w:r w:rsidRPr="0036416F">
        <w:rPr>
          <w:rFonts w:hint="eastAsia"/>
          <w:lang w:val="en-US"/>
        </w:rPr>
        <w:t>. It</w:t>
      </w:r>
      <w:r w:rsidRPr="0036416F">
        <w:rPr>
          <w:lang w:val="en-US"/>
        </w:rPr>
        <w:t xml:space="preserve"> alkylate</w:t>
      </w:r>
      <w:r w:rsidRPr="0036416F">
        <w:rPr>
          <w:rFonts w:hint="eastAsia"/>
          <w:lang w:val="en-US"/>
        </w:rPr>
        <w:t>s</w:t>
      </w:r>
      <w:r w:rsidRPr="0036416F">
        <w:rPr>
          <w:lang w:val="en-US"/>
        </w:rPr>
        <w:t xml:space="preserve"> faster and with wider range of substrates than traditional methylating agents. One ranking of alkylating agents is (CH</w:t>
      </w:r>
      <w:r w:rsidRPr="0036416F">
        <w:rPr>
          <w:vertAlign w:val="subscript"/>
          <w:lang w:val="en-US"/>
        </w:rPr>
        <w:t>3</w:t>
      </w:r>
      <w:r w:rsidRPr="0036416F">
        <w:rPr>
          <w:lang w:val="en-US"/>
        </w:rPr>
        <w:t>)</w:t>
      </w:r>
      <w:r w:rsidRPr="0036416F">
        <w:rPr>
          <w:vertAlign w:val="subscript"/>
          <w:lang w:val="en-US"/>
        </w:rPr>
        <w:t>3</w:t>
      </w:r>
      <w:r w:rsidRPr="0036416F">
        <w:rPr>
          <w:lang w:val="en-US"/>
        </w:rPr>
        <w:t>O</w:t>
      </w:r>
      <w:r w:rsidRPr="0036416F">
        <w:rPr>
          <w:vertAlign w:val="superscript"/>
          <w:lang w:val="en-US"/>
        </w:rPr>
        <w:t>+</w:t>
      </w:r>
      <w:r w:rsidRPr="0036416F">
        <w:rPr>
          <w:lang w:val="en-US"/>
        </w:rPr>
        <w:t xml:space="preserve"> &gt; MTFS ≈ MFS &gt; (CH</w:t>
      </w:r>
      <w:r w:rsidRPr="0036416F">
        <w:rPr>
          <w:vertAlign w:val="subscript"/>
          <w:lang w:val="en-US"/>
        </w:rPr>
        <w:t>3</w:t>
      </w:r>
      <w:r w:rsidRPr="0036416F">
        <w:rPr>
          <w:lang w:val="en-US"/>
        </w:rPr>
        <w:t>)</w:t>
      </w:r>
      <w:r w:rsidRPr="0036416F">
        <w:rPr>
          <w:vertAlign w:val="subscript"/>
          <w:lang w:val="en-US"/>
        </w:rPr>
        <w:t>2</w:t>
      </w:r>
      <w:r w:rsidRPr="0036416F">
        <w:rPr>
          <w:lang w:val="en-US"/>
        </w:rPr>
        <w:t>SO</w:t>
      </w:r>
      <w:r w:rsidRPr="0036416F">
        <w:rPr>
          <w:vertAlign w:val="subscript"/>
          <w:lang w:val="en-US"/>
        </w:rPr>
        <w:t>4</w:t>
      </w:r>
      <w:r w:rsidRPr="0036416F">
        <w:rPr>
          <w:lang w:val="en-US"/>
        </w:rPr>
        <w:t xml:space="preserve"> &gt; CH</w:t>
      </w:r>
      <w:r w:rsidRPr="0036416F">
        <w:rPr>
          <w:vertAlign w:val="subscript"/>
          <w:lang w:val="en-US"/>
        </w:rPr>
        <w:t>3</w:t>
      </w:r>
      <w:r w:rsidRPr="0036416F">
        <w:rPr>
          <w:lang w:val="en-US"/>
        </w:rPr>
        <w:t>I. It will alkylate many functional groups that are only weakly basic such as aldehydes, amides, and nitriles. It does not methylate benzene or the bulky 2</w:t>
      </w:r>
      <w:proofErr w:type="gramStart"/>
      <w:r w:rsidRPr="0036416F">
        <w:rPr>
          <w:lang w:val="en-US"/>
        </w:rPr>
        <w:t>,6</w:t>
      </w:r>
      <w:proofErr w:type="gramEnd"/>
      <w:r w:rsidRPr="0036416F">
        <w:rPr>
          <w:lang w:val="en-US"/>
        </w:rPr>
        <w:t>-di-tert-butylpyridine.</w:t>
      </w:r>
      <w:r w:rsidRPr="0036416F">
        <w:rPr>
          <w:rFonts w:hint="eastAsia"/>
          <w:vertAlign w:val="superscript"/>
          <w:lang w:val="en-US"/>
        </w:rPr>
        <w:t>7</w:t>
      </w:r>
    </w:p>
    <w:p w14:paraId="31672615" w14:textId="77777777" w:rsidR="00656E7D" w:rsidRPr="00656E7D" w:rsidRDefault="00656E7D" w:rsidP="00413E4A">
      <w:pPr>
        <w:pStyle w:val="Heading5"/>
      </w:pPr>
      <w:bookmarkStart w:id="189" w:name="_Toc483916065"/>
      <w:r w:rsidRPr="00656E7D">
        <w:t>1.2.2.4</w:t>
      </w:r>
      <w:r w:rsidRPr="00656E7D">
        <w:tab/>
        <w:t>Methyl fluorosulfonate, MFS</w:t>
      </w:r>
      <w:bookmarkEnd w:id="189"/>
    </w:p>
    <w:p w14:paraId="7617A1D0" w14:textId="77777777" w:rsidR="00814B16" w:rsidRPr="0036416F" w:rsidRDefault="00814B16" w:rsidP="00814B16">
      <w:pPr>
        <w:rPr>
          <w:lang w:val="en-US"/>
        </w:rPr>
      </w:pPr>
      <w:r w:rsidRPr="0036416F">
        <w:rPr>
          <w:lang w:val="en-US"/>
        </w:rPr>
        <w:t>Methyl fluorosulfonate is closely related to methyl trifluoromethansulfonate</w:t>
      </w:r>
      <w:r w:rsidRPr="0036416F">
        <w:rPr>
          <w:rFonts w:hint="eastAsia"/>
          <w:lang w:val="en-US"/>
        </w:rPr>
        <w:t>.</w:t>
      </w:r>
      <w:r w:rsidRPr="0036416F">
        <w:rPr>
          <w:rFonts w:hint="eastAsia"/>
          <w:vertAlign w:val="superscript"/>
          <w:lang w:val="en-US"/>
        </w:rPr>
        <w:t>7</w:t>
      </w:r>
    </w:p>
    <w:p w14:paraId="16F672C2" w14:textId="77777777" w:rsidR="00656E7D" w:rsidRPr="00656E7D" w:rsidRDefault="00656E7D" w:rsidP="00413E4A">
      <w:pPr>
        <w:pStyle w:val="Heading5"/>
      </w:pPr>
      <w:bookmarkStart w:id="190" w:name="_Toc483916066"/>
      <w:r w:rsidRPr="00656E7D">
        <w:t>1.2.2.5</w:t>
      </w:r>
      <w:r w:rsidRPr="00656E7D">
        <w:tab/>
        <w:t>Methyl methanesulfonate, MMS</w:t>
      </w:r>
      <w:bookmarkEnd w:id="190"/>
    </w:p>
    <w:p w14:paraId="5086CA05" w14:textId="77777777" w:rsidR="00814B16" w:rsidRPr="0036416F" w:rsidRDefault="00814B16" w:rsidP="0036416F">
      <w:pPr>
        <w:rPr>
          <w:lang w:val="en-US"/>
        </w:rPr>
      </w:pPr>
      <w:r w:rsidRPr="0036416F">
        <w:rPr>
          <w:lang w:val="en-US"/>
        </w:rPr>
        <w:t>Methyl methanesulfonate is an exogenous alkylating agent and a carcinogen in biological research. It is also a suspected reproductive toxicant, and may also be a skin/sense organ toxicant. It is used in cancer treatment.</w:t>
      </w:r>
      <w:r w:rsidRPr="0036416F">
        <w:rPr>
          <w:vertAlign w:val="superscript"/>
          <w:lang w:val="en-US"/>
        </w:rPr>
        <w:t>8</w:t>
      </w:r>
    </w:p>
    <w:p w14:paraId="33EF3931" w14:textId="77777777" w:rsidR="00656E7D" w:rsidRPr="00656E7D" w:rsidRDefault="00656E7D" w:rsidP="00413E4A">
      <w:pPr>
        <w:pStyle w:val="Heading5"/>
      </w:pPr>
      <w:bookmarkStart w:id="191" w:name="_Toc483916067"/>
      <w:r w:rsidRPr="00656E7D">
        <w:t>1</w:t>
      </w:r>
      <w:r w:rsidRPr="00656E7D">
        <w:rPr>
          <w:rFonts w:hint="eastAsia"/>
        </w:rPr>
        <w:t>.</w:t>
      </w:r>
      <w:r w:rsidRPr="00656E7D">
        <w:t>2.</w:t>
      </w:r>
      <w:r w:rsidRPr="00656E7D">
        <w:rPr>
          <w:rFonts w:hint="eastAsia"/>
        </w:rPr>
        <w:t>2.6</w:t>
      </w:r>
      <w:r w:rsidRPr="00656E7D">
        <w:rPr>
          <w:rFonts w:hint="eastAsia"/>
        </w:rPr>
        <w:tab/>
      </w:r>
      <w:r w:rsidRPr="00656E7D">
        <w:t>Trimethyl phosphate, TMP</w:t>
      </w:r>
      <w:bookmarkEnd w:id="191"/>
    </w:p>
    <w:p w14:paraId="68C5B68D" w14:textId="10BB5336" w:rsidR="00814B16" w:rsidRPr="0036416F" w:rsidRDefault="00814B16" w:rsidP="0036416F">
      <w:pPr>
        <w:rPr>
          <w:lang w:val="en-US"/>
        </w:rPr>
      </w:pPr>
      <w:r w:rsidRPr="0036416F">
        <w:rPr>
          <w:lang w:val="en-US"/>
        </w:rPr>
        <w:t xml:space="preserve">Trimethyl phosphate is a mild methylating agent for the preparation of methyl esters of hindered carboxylic acids and serves as an alternative to toxic Dimethyl Sulfate. It can also </w:t>
      </w:r>
      <w:proofErr w:type="gramStart"/>
      <w:r w:rsidRPr="0036416F">
        <w:rPr>
          <w:lang w:val="en-US"/>
        </w:rPr>
        <w:t>effect</w:t>
      </w:r>
      <w:proofErr w:type="gramEnd"/>
      <w:r w:rsidRPr="0036416F">
        <w:rPr>
          <w:lang w:val="en-US"/>
        </w:rPr>
        <w:t xml:space="preserve"> the </w:t>
      </w:r>
      <w:r w:rsidRPr="0036416F">
        <w:rPr>
          <w:i/>
          <w:lang w:val="en-US"/>
        </w:rPr>
        <w:t>O</w:t>
      </w:r>
      <w:r w:rsidRPr="0036416F">
        <w:rPr>
          <w:lang w:val="en-US"/>
        </w:rPr>
        <w:t>-methylation of unprotected amino acids, dimethylation of anilines and related heterocyclic compounds (purine, pyrimidine, imidazole et al</w:t>
      </w:r>
      <w:r w:rsidRPr="00AA204A">
        <w:rPr>
          <w:lang w:val="en-US"/>
        </w:rPr>
        <w:t>.).</w:t>
      </w:r>
      <w:r w:rsidRPr="0036416F">
        <w:rPr>
          <w:vertAlign w:val="superscript"/>
          <w:lang w:val="en-US"/>
        </w:rPr>
        <w:t>9</w:t>
      </w:r>
    </w:p>
    <w:p w14:paraId="5CE06548" w14:textId="77777777" w:rsidR="00656E7D" w:rsidRPr="00656E7D" w:rsidRDefault="00656E7D" w:rsidP="00413E4A">
      <w:pPr>
        <w:pStyle w:val="Heading5"/>
      </w:pPr>
      <w:bookmarkStart w:id="192" w:name="_Toc483916068"/>
      <w:r w:rsidRPr="00656E7D">
        <w:t>1.2.2.7</w:t>
      </w:r>
      <w:r w:rsidRPr="00656E7D">
        <w:tab/>
        <w:t>Polymer-bound methyl sulfonate</w:t>
      </w:r>
      <w:bookmarkEnd w:id="192"/>
    </w:p>
    <w:p w14:paraId="542E7760" w14:textId="77777777" w:rsidR="00814B16" w:rsidRPr="0036416F" w:rsidRDefault="00814B16" w:rsidP="0036416F">
      <w:pPr>
        <w:rPr>
          <w:lang w:val="en-US"/>
        </w:rPr>
      </w:pPr>
      <w:bookmarkStart w:id="193" w:name="_Toc356240473"/>
      <w:r w:rsidRPr="0036416F">
        <w:rPr>
          <w:lang w:val="en-US"/>
        </w:rPr>
        <w:t>Instead of the sulfonate esters, modern alternative is to use polymer-bound methyl sulfonate, which is easily handled, allows simple work-up and is recyclable.</w:t>
      </w:r>
      <w:r w:rsidRPr="0036416F">
        <w:rPr>
          <w:vertAlign w:val="superscript"/>
          <w:lang w:val="en-US"/>
        </w:rPr>
        <w:t>10</w:t>
      </w:r>
    </w:p>
    <w:p w14:paraId="15A6735F" w14:textId="77777777" w:rsidR="00814B16" w:rsidRPr="0036416F" w:rsidRDefault="00814B16" w:rsidP="0036416F">
      <w:pPr>
        <w:jc w:val="center"/>
        <w:rPr>
          <w:lang w:val="en-US"/>
        </w:rPr>
      </w:pPr>
      <w:r w:rsidRPr="00AA204A">
        <w:rPr>
          <w:noProof/>
          <w:lang w:val="en-US" w:eastAsia="en-US"/>
        </w:rPr>
        <w:drawing>
          <wp:inline distT="0" distB="0" distL="0" distR="0" wp14:anchorId="2DA4C0A8" wp14:editId="247FA8E7">
            <wp:extent cx="3563620" cy="660400"/>
            <wp:effectExtent l="0" t="0" r="0" b="6350"/>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707622" cy="687086"/>
                    </a:xfrm>
                    <a:prstGeom prst="rect">
                      <a:avLst/>
                    </a:prstGeom>
                    <a:noFill/>
                    <a:ln>
                      <a:noFill/>
                    </a:ln>
                  </pic:spPr>
                </pic:pic>
              </a:graphicData>
            </a:graphic>
          </wp:inline>
        </w:drawing>
      </w:r>
    </w:p>
    <w:p w14:paraId="6B054638" w14:textId="77777777" w:rsidR="00656E7D" w:rsidRPr="00656E7D" w:rsidRDefault="00656E7D" w:rsidP="00413E4A">
      <w:pPr>
        <w:pStyle w:val="Heading4"/>
      </w:pPr>
      <w:bookmarkStart w:id="194" w:name="_Toc483916069"/>
      <w:r w:rsidRPr="00656E7D">
        <w:t>1.2.3</w:t>
      </w:r>
      <w:r w:rsidRPr="00656E7D">
        <w:tab/>
        <w:t>Oxonium salts (Me3O•BF4)</w:t>
      </w:r>
      <w:bookmarkEnd w:id="193"/>
      <w:bookmarkEnd w:id="194"/>
      <w:r w:rsidRPr="00656E7D">
        <w:t xml:space="preserve"> </w:t>
      </w:r>
    </w:p>
    <w:p w14:paraId="287C4AE1" w14:textId="77777777" w:rsidR="00814B16" w:rsidRPr="0036416F" w:rsidRDefault="00814B16" w:rsidP="0036416F">
      <w:pPr>
        <w:rPr>
          <w:lang w:val="en-US"/>
        </w:rPr>
      </w:pPr>
      <w:bookmarkStart w:id="195" w:name="_Toc356240474"/>
      <w:r w:rsidRPr="0036416F">
        <w:rPr>
          <w:lang w:val="en-US"/>
        </w:rPr>
        <w:t>In aqueous conditions, it is possible to use Meerwein methylation, using the corresponding oxonium salts (Me</w:t>
      </w:r>
      <w:r w:rsidRPr="0036416F">
        <w:rPr>
          <w:vertAlign w:val="subscript"/>
          <w:lang w:val="en-US"/>
        </w:rPr>
        <w:t>3</w:t>
      </w:r>
      <w:r w:rsidRPr="0036416F">
        <w:rPr>
          <w:lang w:val="en-US"/>
        </w:rPr>
        <w:t>O•BF</w:t>
      </w:r>
      <w:r w:rsidRPr="0036416F">
        <w:rPr>
          <w:vertAlign w:val="subscript"/>
          <w:lang w:val="en-US"/>
        </w:rPr>
        <w:t>4</w:t>
      </w:r>
      <w:r w:rsidRPr="0036416F">
        <w:rPr>
          <w:lang w:val="en-US"/>
        </w:rPr>
        <w:t>) with NaHCO</w:t>
      </w:r>
      <w:r w:rsidRPr="0036416F">
        <w:rPr>
          <w:vertAlign w:val="subscript"/>
          <w:lang w:val="en-US"/>
        </w:rPr>
        <w:t>3</w:t>
      </w:r>
      <w:r w:rsidRPr="0036416F">
        <w:rPr>
          <w:lang w:val="en-US"/>
        </w:rPr>
        <w:t>. However, these salts are rapidly hydrolyzed in water. A better procedure with these reagents is to use dichloromethane as solvent and a bulky amine as base. Under these conditions, even sterically hindered or sensitive acids can be alkylated.</w:t>
      </w:r>
      <w:r w:rsidRPr="0036416F">
        <w:rPr>
          <w:vertAlign w:val="superscript"/>
          <w:lang w:val="en-US"/>
        </w:rPr>
        <w:t>11</w:t>
      </w:r>
    </w:p>
    <w:p w14:paraId="4351663D" w14:textId="77777777" w:rsidR="00814B16" w:rsidRPr="0036416F" w:rsidRDefault="00814B16" w:rsidP="0036416F">
      <w:pPr>
        <w:jc w:val="center"/>
        <w:rPr>
          <w:lang w:val="en-US"/>
        </w:rPr>
      </w:pPr>
      <w:r w:rsidRPr="00AA204A">
        <w:rPr>
          <w:rFonts w:hint="eastAsia"/>
          <w:noProof/>
          <w:lang w:val="en-US" w:eastAsia="en-US"/>
        </w:rPr>
        <w:lastRenderedPageBreak/>
        <w:drawing>
          <wp:inline distT="0" distB="0" distL="0" distR="0" wp14:anchorId="24CC1D76" wp14:editId="4592EF8A">
            <wp:extent cx="3581400" cy="678439"/>
            <wp:effectExtent l="0" t="0" r="0" b="7620"/>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665625" cy="694394"/>
                    </a:xfrm>
                    <a:prstGeom prst="rect">
                      <a:avLst/>
                    </a:prstGeom>
                    <a:noFill/>
                    <a:ln>
                      <a:noFill/>
                    </a:ln>
                  </pic:spPr>
                </pic:pic>
              </a:graphicData>
            </a:graphic>
          </wp:inline>
        </w:drawing>
      </w:r>
    </w:p>
    <w:p w14:paraId="71DE2E5D" w14:textId="77777777" w:rsidR="00656E7D" w:rsidRPr="00656E7D" w:rsidRDefault="00656E7D" w:rsidP="00413E4A">
      <w:pPr>
        <w:pStyle w:val="Heading4"/>
      </w:pPr>
      <w:bookmarkStart w:id="196" w:name="_Toc483916070"/>
      <w:r w:rsidRPr="00656E7D">
        <w:t>1.2.</w:t>
      </w:r>
      <w:r w:rsidRPr="00656E7D">
        <w:rPr>
          <w:rFonts w:hint="eastAsia"/>
        </w:rPr>
        <w:t>4</w:t>
      </w:r>
      <w:r w:rsidRPr="00656E7D">
        <w:rPr>
          <w:rFonts w:hint="eastAsia"/>
        </w:rPr>
        <w:tab/>
      </w:r>
      <w:r w:rsidRPr="00656E7D">
        <w:t>Tetramethylammonium salts</w:t>
      </w:r>
      <w:bookmarkEnd w:id="195"/>
      <w:bookmarkEnd w:id="196"/>
    </w:p>
    <w:p w14:paraId="71743944" w14:textId="77777777" w:rsidR="00215425" w:rsidRPr="0036416F" w:rsidRDefault="00215425" w:rsidP="0036416F">
      <w:pPr>
        <w:rPr>
          <w:lang w:val="en-US"/>
        </w:rPr>
      </w:pPr>
      <w:bookmarkStart w:id="197" w:name="_Toc356240475"/>
      <w:r w:rsidRPr="0036416F">
        <w:rPr>
          <w:lang w:val="en-US"/>
        </w:rPr>
        <w:t>Tetramethylammonium salts are other replacement alkylating agents which are non-volatile and non-carcinogenic. However, due to their lower reactivity, high temperatures (such as the injection port during a gas chromatographic analysis) are required. For the alkylation of phenols, microwave conditions have been used with success. The reaction is chemoselective for the phenolic hydroxyl group over the alcohol.</w:t>
      </w:r>
      <w:r w:rsidRPr="0036416F">
        <w:rPr>
          <w:vertAlign w:val="superscript"/>
          <w:lang w:val="en-US"/>
        </w:rPr>
        <w:t>12</w:t>
      </w:r>
    </w:p>
    <w:p w14:paraId="12C5D26D" w14:textId="77777777" w:rsidR="00215425" w:rsidRPr="0036416F" w:rsidRDefault="00215425" w:rsidP="0036416F">
      <w:pPr>
        <w:jc w:val="center"/>
        <w:rPr>
          <w:lang w:val="en-US"/>
        </w:rPr>
      </w:pPr>
      <w:r w:rsidRPr="00AA204A">
        <w:rPr>
          <w:rFonts w:hint="eastAsia"/>
          <w:noProof/>
          <w:lang w:val="en-US" w:eastAsia="en-US"/>
        </w:rPr>
        <w:drawing>
          <wp:inline distT="0" distB="0" distL="0" distR="0" wp14:anchorId="4A2668A7" wp14:editId="3E89AC54">
            <wp:extent cx="3543354" cy="635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590195" cy="643394"/>
                    </a:xfrm>
                    <a:prstGeom prst="rect">
                      <a:avLst/>
                    </a:prstGeom>
                    <a:noFill/>
                    <a:ln>
                      <a:noFill/>
                    </a:ln>
                  </pic:spPr>
                </pic:pic>
              </a:graphicData>
            </a:graphic>
          </wp:inline>
        </w:drawing>
      </w:r>
    </w:p>
    <w:p w14:paraId="040EC850" w14:textId="77777777" w:rsidR="00656E7D" w:rsidRPr="00656E7D" w:rsidRDefault="00656E7D" w:rsidP="00413E4A">
      <w:pPr>
        <w:pStyle w:val="Heading3"/>
      </w:pPr>
      <w:bookmarkStart w:id="198" w:name="_Toc483916071"/>
      <w:bookmarkStart w:id="199" w:name="_Toc484164369"/>
      <w:r w:rsidRPr="00656E7D">
        <w:t>1.3</w:t>
      </w:r>
      <w:r w:rsidRPr="00656E7D">
        <w:tab/>
        <w:t>Methylating agent used under neutral conditions</w:t>
      </w:r>
      <w:bookmarkEnd w:id="197"/>
      <w:bookmarkEnd w:id="198"/>
      <w:bookmarkEnd w:id="199"/>
    </w:p>
    <w:p w14:paraId="46274608" w14:textId="77777777" w:rsidR="00656E7D" w:rsidRPr="00656E7D" w:rsidRDefault="00656E7D" w:rsidP="00413E4A">
      <w:pPr>
        <w:pStyle w:val="Heading4"/>
      </w:pPr>
      <w:bookmarkStart w:id="200" w:name="_Toc356240476"/>
      <w:bookmarkStart w:id="201" w:name="_Toc483916072"/>
      <w:r w:rsidRPr="00656E7D">
        <w:t>1</w:t>
      </w:r>
      <w:r w:rsidRPr="00656E7D">
        <w:rPr>
          <w:rFonts w:hint="eastAsia"/>
        </w:rPr>
        <w:t>.</w:t>
      </w:r>
      <w:r w:rsidRPr="00656E7D">
        <w:t>3</w:t>
      </w:r>
      <w:r w:rsidRPr="00656E7D">
        <w:rPr>
          <w:rFonts w:hint="eastAsia"/>
        </w:rPr>
        <w:t>.1</w:t>
      </w:r>
      <w:r w:rsidRPr="00656E7D">
        <w:tab/>
        <w:t>Formaldehyde aqueous solution</w:t>
      </w:r>
      <w:bookmarkEnd w:id="200"/>
      <w:bookmarkEnd w:id="201"/>
    </w:p>
    <w:p w14:paraId="167F35E0" w14:textId="77777777" w:rsidR="00215425" w:rsidRPr="0036416F" w:rsidRDefault="00215425" w:rsidP="0036416F">
      <w:pPr>
        <w:rPr>
          <w:lang w:val="en-US"/>
        </w:rPr>
      </w:pPr>
      <w:bookmarkStart w:id="202" w:name="_Toc356240477"/>
      <w:r w:rsidRPr="0036416F">
        <w:rPr>
          <w:lang w:val="en-US"/>
        </w:rPr>
        <w:t>Formaldehyde aqueous solution can be used in methylation of primary or secondary amine (Eschweiler–Clarke reaction). Formic acid or H</w:t>
      </w:r>
      <w:r w:rsidRPr="0036416F">
        <w:rPr>
          <w:vertAlign w:val="subscript"/>
          <w:lang w:val="en-US"/>
        </w:rPr>
        <w:t>2</w:t>
      </w:r>
      <w:r w:rsidRPr="0036416F">
        <w:rPr>
          <w:lang w:val="en-US"/>
        </w:rPr>
        <w:t>/Pt</w:t>
      </w:r>
      <w:r w:rsidRPr="0036416F">
        <w:rPr>
          <w:vertAlign w:val="subscript"/>
          <w:lang w:val="en-US"/>
        </w:rPr>
        <w:t xml:space="preserve"> </w:t>
      </w:r>
      <w:r w:rsidRPr="0036416F">
        <w:rPr>
          <w:lang w:val="en-US"/>
        </w:rPr>
        <w:t>is also needed as the source of hydride. This reaction will not produce quaternary ammonium salts, but instead will stop at the tertiary amine stage.</w:t>
      </w:r>
      <w:r w:rsidRPr="0036416F">
        <w:rPr>
          <w:vertAlign w:val="superscript"/>
          <w:lang w:val="en-US"/>
        </w:rPr>
        <w:t>13</w:t>
      </w:r>
    </w:p>
    <w:p w14:paraId="787D4935" w14:textId="2CB24D86" w:rsidR="00215425" w:rsidRPr="00AA204A" w:rsidRDefault="00215425" w:rsidP="00215425">
      <w:pPr>
        <w:jc w:val="center"/>
        <w:rPr>
          <w:lang w:val="en-US"/>
        </w:rPr>
      </w:pPr>
      <w:r>
        <w:rPr>
          <w:noProof/>
          <w:lang w:val="en-US" w:eastAsia="en-US"/>
        </w:rPr>
        <w:drawing>
          <wp:inline distT="0" distB="0" distL="0" distR="0" wp14:anchorId="7D5A9125" wp14:editId="32D4E718">
            <wp:extent cx="2499360" cy="467360"/>
            <wp:effectExtent l="0" t="0" r="0" b="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499360" cy="467360"/>
                    </a:xfrm>
                    <a:prstGeom prst="rect">
                      <a:avLst/>
                    </a:prstGeom>
                    <a:noFill/>
                    <a:ln>
                      <a:noFill/>
                    </a:ln>
                  </pic:spPr>
                </pic:pic>
              </a:graphicData>
            </a:graphic>
          </wp:inline>
        </w:drawing>
      </w:r>
    </w:p>
    <w:p w14:paraId="353A645D" w14:textId="77777777" w:rsidR="00656E7D" w:rsidRPr="00656E7D" w:rsidRDefault="00656E7D" w:rsidP="00413E4A">
      <w:pPr>
        <w:pStyle w:val="Heading4"/>
      </w:pPr>
      <w:bookmarkStart w:id="203" w:name="_Toc483916073"/>
      <w:r w:rsidRPr="00656E7D">
        <w:t>1.3.2</w:t>
      </w:r>
      <w:r w:rsidRPr="00656E7D">
        <w:tab/>
        <w:t>Diazomethane</w:t>
      </w:r>
      <w:bookmarkEnd w:id="202"/>
      <w:bookmarkEnd w:id="203"/>
    </w:p>
    <w:p w14:paraId="1BE7A86A" w14:textId="77777777" w:rsidR="00215425" w:rsidRPr="0036416F" w:rsidRDefault="00215425" w:rsidP="0036416F">
      <w:pPr>
        <w:rPr>
          <w:lang w:val="en-US"/>
        </w:rPr>
      </w:pPr>
      <w:bookmarkStart w:id="204" w:name="_Toc356240478"/>
      <w:r w:rsidRPr="0036416F">
        <w:rPr>
          <w:lang w:val="en-US"/>
        </w:rPr>
        <w:t>The methylation of carboxylic acids and other acidic functional groups is often carried out in neutral conditions using diazomethane (CH</w:t>
      </w:r>
      <w:r w:rsidRPr="0036416F">
        <w:rPr>
          <w:vertAlign w:val="subscript"/>
          <w:lang w:val="en-US"/>
        </w:rPr>
        <w:t>2</w:t>
      </w:r>
      <w:r w:rsidRPr="0036416F">
        <w:rPr>
          <w:lang w:val="en-US"/>
        </w:rPr>
        <w:t>N</w:t>
      </w:r>
      <w:r w:rsidRPr="0036416F">
        <w:rPr>
          <w:vertAlign w:val="subscript"/>
          <w:lang w:val="en-US"/>
        </w:rPr>
        <w:t>2</w:t>
      </w:r>
      <w:r w:rsidRPr="0036416F">
        <w:rPr>
          <w:lang w:val="en-US"/>
        </w:rPr>
        <w:t>).</w:t>
      </w:r>
      <w:r w:rsidRPr="0036416F">
        <w:rPr>
          <w:vertAlign w:val="superscript"/>
          <w:lang w:val="en-US"/>
        </w:rPr>
        <w:t>14</w:t>
      </w:r>
      <w:r w:rsidRPr="0036416F">
        <w:rPr>
          <w:lang w:val="en-US"/>
        </w:rPr>
        <w:t xml:space="preserve"> However, due to its toxicity and the explosive nature of diazomethane (as well as the danger in the preparation and the carcinogenicity of the commercially available precursors), several alternative reagents recently have been developed.</w:t>
      </w:r>
    </w:p>
    <w:p w14:paraId="2134BA29" w14:textId="77777777" w:rsidR="00215425" w:rsidRPr="0036416F" w:rsidRDefault="00215425" w:rsidP="0036416F">
      <w:pPr>
        <w:jc w:val="center"/>
        <w:rPr>
          <w:lang w:val="en-US"/>
        </w:rPr>
      </w:pPr>
      <w:r w:rsidRPr="00AA204A">
        <w:rPr>
          <w:noProof/>
          <w:lang w:val="en-US" w:eastAsia="en-US"/>
        </w:rPr>
        <w:drawing>
          <wp:inline distT="0" distB="0" distL="0" distR="0" wp14:anchorId="7ED66D97" wp14:editId="03372AA0">
            <wp:extent cx="4756150" cy="701540"/>
            <wp:effectExtent l="0" t="0" r="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776049" cy="704475"/>
                    </a:xfrm>
                    <a:prstGeom prst="rect">
                      <a:avLst/>
                    </a:prstGeom>
                    <a:noFill/>
                    <a:ln>
                      <a:noFill/>
                    </a:ln>
                  </pic:spPr>
                </pic:pic>
              </a:graphicData>
            </a:graphic>
          </wp:inline>
        </w:drawing>
      </w:r>
    </w:p>
    <w:p w14:paraId="3AE007FA" w14:textId="77777777" w:rsidR="00656E7D" w:rsidRPr="00656E7D" w:rsidRDefault="00656E7D" w:rsidP="00413E4A">
      <w:pPr>
        <w:pStyle w:val="Heading4"/>
      </w:pPr>
      <w:bookmarkStart w:id="205" w:name="_Toc483916074"/>
      <w:r w:rsidRPr="00656E7D">
        <w:t>1.3.</w:t>
      </w:r>
      <w:r w:rsidRPr="00656E7D">
        <w:rPr>
          <w:rFonts w:hint="eastAsia"/>
        </w:rPr>
        <w:t>3</w:t>
      </w:r>
      <w:r w:rsidRPr="00656E7D">
        <w:rPr>
          <w:rFonts w:hint="eastAsia"/>
        </w:rPr>
        <w:tab/>
      </w:r>
      <w:r w:rsidRPr="00656E7D">
        <w:t>Trimethylsilyldiazomethane</w:t>
      </w:r>
      <w:r w:rsidRPr="00656E7D">
        <w:rPr>
          <w:rFonts w:hint="eastAsia"/>
        </w:rPr>
        <w:t xml:space="preserve">, </w:t>
      </w:r>
      <w:r w:rsidRPr="00656E7D">
        <w:t>TMSCHN2</w:t>
      </w:r>
      <w:bookmarkEnd w:id="204"/>
      <w:bookmarkEnd w:id="205"/>
      <w:r w:rsidRPr="00656E7D">
        <w:rPr>
          <w:rFonts w:hint="eastAsia"/>
        </w:rPr>
        <w:t xml:space="preserve"> </w:t>
      </w:r>
    </w:p>
    <w:p w14:paraId="50ED20A2" w14:textId="77777777" w:rsidR="00215425" w:rsidRPr="0036416F" w:rsidRDefault="00215425" w:rsidP="0036416F">
      <w:pPr>
        <w:rPr>
          <w:lang w:val="en-US"/>
        </w:rPr>
      </w:pPr>
      <w:bookmarkStart w:id="206" w:name="_Toc356240479"/>
      <w:r w:rsidRPr="0036416F">
        <w:rPr>
          <w:lang w:val="en-US"/>
        </w:rPr>
        <w:t>Trimethylsilyldiazomethane (TMSD) has been touted as a stable and safe alternative to diazomethane, but its use is constrained by its high cost and lower efficiency.</w:t>
      </w:r>
      <w:r w:rsidRPr="0036416F">
        <w:rPr>
          <w:vertAlign w:val="superscript"/>
          <w:lang w:val="en-US"/>
        </w:rPr>
        <w:t>15</w:t>
      </w:r>
    </w:p>
    <w:p w14:paraId="3EA672AC" w14:textId="71ED2A2D" w:rsidR="001C1CF5" w:rsidRPr="00AA204A" w:rsidRDefault="001C1CF5" w:rsidP="001C1CF5">
      <w:pPr>
        <w:jc w:val="center"/>
        <w:rPr>
          <w:lang w:val="en-US"/>
        </w:rPr>
      </w:pPr>
      <w:r>
        <w:rPr>
          <w:noProof/>
          <w:lang w:val="en-US" w:eastAsia="en-US"/>
        </w:rPr>
        <w:lastRenderedPageBreak/>
        <w:drawing>
          <wp:inline distT="0" distB="0" distL="0" distR="0" wp14:anchorId="43BCD78F" wp14:editId="635C95D6">
            <wp:extent cx="3677920" cy="1838960"/>
            <wp:effectExtent l="0" t="0" r="508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677920" cy="1838960"/>
                    </a:xfrm>
                    <a:prstGeom prst="rect">
                      <a:avLst/>
                    </a:prstGeom>
                    <a:noFill/>
                    <a:ln>
                      <a:noFill/>
                    </a:ln>
                  </pic:spPr>
                </pic:pic>
              </a:graphicData>
            </a:graphic>
          </wp:inline>
        </w:drawing>
      </w:r>
    </w:p>
    <w:p w14:paraId="186BB6F2" w14:textId="77777777" w:rsidR="00656E7D" w:rsidRPr="00656E7D" w:rsidRDefault="00656E7D" w:rsidP="00413E4A">
      <w:pPr>
        <w:pStyle w:val="Heading4"/>
      </w:pPr>
      <w:bookmarkStart w:id="207" w:name="_Toc483916075"/>
      <w:r w:rsidRPr="00656E7D">
        <w:t>1.3.4</w:t>
      </w:r>
      <w:r w:rsidRPr="00656E7D">
        <w:tab/>
        <w:t xml:space="preserve">Methylnitronitrosoguanidine, </w:t>
      </w:r>
      <w:proofErr w:type="gramStart"/>
      <w:r w:rsidRPr="00656E7D">
        <w:t>MNNG</w:t>
      </w:r>
      <w:r w:rsidRPr="00656E7D">
        <w:rPr>
          <w:rFonts w:hint="eastAsia"/>
        </w:rPr>
        <w:t xml:space="preserve"> ,</w:t>
      </w:r>
      <w:proofErr w:type="gramEnd"/>
      <w:r w:rsidRPr="00656E7D">
        <w:rPr>
          <w:rFonts w:hint="eastAsia"/>
        </w:rPr>
        <w:t xml:space="preserve"> </w:t>
      </w:r>
      <w:r w:rsidRPr="00656E7D">
        <w:t>N-methyl-N-nitrosourea, MNU</w:t>
      </w:r>
      <w:r w:rsidRPr="00656E7D">
        <w:rPr>
          <w:rFonts w:hint="eastAsia"/>
        </w:rPr>
        <w:t xml:space="preserve"> , </w:t>
      </w:r>
      <w:r w:rsidRPr="00656E7D">
        <w:t>Azoxymethane, AOM</w:t>
      </w:r>
      <w:r w:rsidRPr="00656E7D">
        <w:rPr>
          <w:rFonts w:hint="eastAsia"/>
        </w:rPr>
        <w:t xml:space="preserve"> , </w:t>
      </w:r>
      <w:r w:rsidRPr="00656E7D">
        <w:t>N-Nitrosodimethylamine, NDMA</w:t>
      </w:r>
      <w:r w:rsidRPr="00656E7D">
        <w:rPr>
          <w:rFonts w:hint="eastAsia"/>
        </w:rPr>
        <w:t xml:space="preserve"> , </w:t>
      </w:r>
      <w:r w:rsidRPr="00656E7D">
        <w:t>1,2-dimethylhydrazine, DMH</w:t>
      </w:r>
      <w:bookmarkEnd w:id="206"/>
      <w:bookmarkEnd w:id="207"/>
    </w:p>
    <w:p w14:paraId="7D44ACA0" w14:textId="77777777" w:rsidR="00215425" w:rsidRPr="0036416F" w:rsidRDefault="00656E7D" w:rsidP="00215425">
      <w:pPr>
        <w:rPr>
          <w:lang w:val="en-US"/>
        </w:rPr>
      </w:pPr>
      <w:r w:rsidRPr="00656E7D">
        <w:t xml:space="preserve"> </w:t>
      </w:r>
      <w:r w:rsidRPr="00656E7D">
        <w:rPr>
          <w:rFonts w:hint="eastAsia"/>
        </w:rPr>
        <w:t xml:space="preserve"> </w:t>
      </w:r>
    </w:p>
    <w:p w14:paraId="56322A32" w14:textId="260D83D5" w:rsidR="00215425" w:rsidRPr="00AA204A" w:rsidRDefault="00215425" w:rsidP="00215425">
      <w:pPr>
        <w:jc w:val="center"/>
        <w:rPr>
          <w:lang w:val="en-US"/>
        </w:rPr>
      </w:pPr>
      <w:r>
        <w:rPr>
          <w:noProof/>
          <w:lang w:val="en-US" w:eastAsia="en-US"/>
        </w:rPr>
        <w:drawing>
          <wp:inline distT="0" distB="0" distL="0" distR="0" wp14:anchorId="28B68623" wp14:editId="4A4722C4">
            <wp:extent cx="3119120" cy="640080"/>
            <wp:effectExtent l="0" t="0" r="5080" b="0"/>
            <wp:docPr id="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119120" cy="640080"/>
                    </a:xfrm>
                    <a:prstGeom prst="rect">
                      <a:avLst/>
                    </a:prstGeom>
                    <a:noFill/>
                    <a:ln>
                      <a:noFill/>
                    </a:ln>
                  </pic:spPr>
                </pic:pic>
              </a:graphicData>
            </a:graphic>
          </wp:inline>
        </w:drawing>
      </w:r>
    </w:p>
    <w:p w14:paraId="6C31B24A" w14:textId="2D74589D" w:rsidR="00656E7D" w:rsidRPr="00656E7D" w:rsidRDefault="00215425" w:rsidP="00215425">
      <w:r w:rsidRPr="0036416F">
        <w:rPr>
          <w:lang w:val="en-US"/>
        </w:rPr>
        <w:t>MNNG, NMU, AOM, NDMA, and DMH are reliable carcinogen, mutagen, and teratogen in biological research. They all exhibit the toxicity by transferring methyl group to nucleobases in nucleic acids, which can lead to AT</w:t>
      </w:r>
      <w:proofErr w:type="gramStart"/>
      <w:r w:rsidRPr="0036416F">
        <w:rPr>
          <w:lang w:val="en-US"/>
        </w:rPr>
        <w:t>:GC</w:t>
      </w:r>
      <w:proofErr w:type="gramEnd"/>
      <w:r w:rsidRPr="0036416F">
        <w:rPr>
          <w:lang w:val="en-US"/>
        </w:rPr>
        <w:t xml:space="preserve"> transition mutations. The corresponding mechanisms of methylation are similar to diazomethane.</w:t>
      </w:r>
      <w:r w:rsidRPr="0036416F">
        <w:rPr>
          <w:vertAlign w:val="superscript"/>
          <w:lang w:val="en-US"/>
        </w:rPr>
        <w:t>8</w:t>
      </w:r>
    </w:p>
    <w:p w14:paraId="4991AF54" w14:textId="77777777" w:rsidR="00656E7D" w:rsidRPr="00656E7D" w:rsidRDefault="00656E7D" w:rsidP="00413E4A">
      <w:pPr>
        <w:pStyle w:val="Heading4"/>
      </w:pPr>
      <w:bookmarkStart w:id="208" w:name="_Toc356240480"/>
      <w:bookmarkStart w:id="209" w:name="_Toc483916076"/>
      <w:r w:rsidRPr="00656E7D">
        <w:t>1.3.5</w:t>
      </w:r>
      <w:r w:rsidRPr="00656E7D">
        <w:tab/>
        <w:t>Aromatic triazenes</w:t>
      </w:r>
      <w:bookmarkEnd w:id="208"/>
      <w:bookmarkEnd w:id="209"/>
    </w:p>
    <w:p w14:paraId="007A9560" w14:textId="77777777" w:rsidR="00215425" w:rsidRPr="0036416F" w:rsidRDefault="00215425" w:rsidP="00215425">
      <w:pPr>
        <w:rPr>
          <w:lang w:val="en-US"/>
        </w:rPr>
      </w:pPr>
      <w:bookmarkStart w:id="210" w:name="_Toc356240481"/>
      <w:r w:rsidRPr="0036416F">
        <w:rPr>
          <w:lang w:val="en-US"/>
        </w:rPr>
        <w:t xml:space="preserve">The aromatic triazenes, especially of </w:t>
      </w:r>
      <w:r w:rsidRPr="0036416F">
        <w:rPr>
          <w:i/>
          <w:lang w:val="en-US"/>
        </w:rPr>
        <w:t>p</w:t>
      </w:r>
      <w:r w:rsidRPr="0036416F">
        <w:rPr>
          <w:lang w:val="en-US"/>
        </w:rPr>
        <w:t>-toluidine, can be used as alkylating agents of carboxylic acids and vinylogous acids. However, these reagents are also carcinogenic and have the risk of being explosive.</w:t>
      </w:r>
      <w:r w:rsidRPr="0036416F">
        <w:rPr>
          <w:vertAlign w:val="superscript"/>
          <w:lang w:val="en-US"/>
        </w:rPr>
        <w:t>16</w:t>
      </w:r>
    </w:p>
    <w:p w14:paraId="79C131A7" w14:textId="77777777" w:rsidR="00215425" w:rsidRPr="0036416F" w:rsidRDefault="00215425" w:rsidP="0036416F">
      <w:pPr>
        <w:jc w:val="center"/>
        <w:rPr>
          <w:lang w:val="en-US"/>
        </w:rPr>
      </w:pPr>
      <w:r w:rsidRPr="00AA204A">
        <w:rPr>
          <w:noProof/>
          <w:lang w:val="en-US" w:eastAsia="en-US"/>
        </w:rPr>
        <w:drawing>
          <wp:inline distT="0" distB="0" distL="0" distR="0" wp14:anchorId="039AD333" wp14:editId="65A51062">
            <wp:extent cx="3238500" cy="818846"/>
            <wp:effectExtent l="0" t="0" r="0" b="635"/>
            <wp:docPr id="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256633" cy="823431"/>
                    </a:xfrm>
                    <a:prstGeom prst="rect">
                      <a:avLst/>
                    </a:prstGeom>
                    <a:noFill/>
                    <a:ln>
                      <a:noFill/>
                    </a:ln>
                  </pic:spPr>
                </pic:pic>
              </a:graphicData>
            </a:graphic>
          </wp:inline>
        </w:drawing>
      </w:r>
    </w:p>
    <w:p w14:paraId="20E7C4E8" w14:textId="77777777" w:rsidR="00656E7D" w:rsidRPr="00656E7D" w:rsidRDefault="00656E7D" w:rsidP="00413E4A">
      <w:pPr>
        <w:pStyle w:val="Heading4"/>
      </w:pPr>
      <w:bookmarkStart w:id="211" w:name="_Toc483916077"/>
      <w:r w:rsidRPr="00656E7D">
        <w:t>1.</w:t>
      </w:r>
      <w:r w:rsidRPr="00656E7D">
        <w:rPr>
          <w:rFonts w:hint="eastAsia"/>
        </w:rPr>
        <w:t>3.6</w:t>
      </w:r>
      <w:r w:rsidRPr="00656E7D">
        <w:rPr>
          <w:rFonts w:hint="eastAsia"/>
        </w:rPr>
        <w:tab/>
      </w:r>
      <w:r w:rsidRPr="00656E7D">
        <w:t>Dimethyl acetals of N</w:t>
      </w:r>
      <w:proofErr w:type="gramStart"/>
      <w:r w:rsidRPr="00656E7D">
        <w:t>,N</w:t>
      </w:r>
      <w:proofErr w:type="gramEnd"/>
      <w:r w:rsidRPr="00656E7D">
        <w:t>-dimethylformamide (DMF)</w:t>
      </w:r>
      <w:bookmarkEnd w:id="210"/>
      <w:bookmarkEnd w:id="211"/>
      <w:r w:rsidRPr="00656E7D">
        <w:t xml:space="preserve"> </w:t>
      </w:r>
    </w:p>
    <w:p w14:paraId="5E13F764" w14:textId="77777777" w:rsidR="00215425" w:rsidRPr="0036416F" w:rsidRDefault="00215425" w:rsidP="0036416F">
      <w:pPr>
        <w:rPr>
          <w:lang w:val="en-US"/>
        </w:rPr>
      </w:pPr>
      <w:bookmarkStart w:id="212" w:name="_Toc356240482"/>
      <w:r w:rsidRPr="0036416F">
        <w:rPr>
          <w:lang w:val="en-US"/>
        </w:rPr>
        <w:t xml:space="preserve">Dimethyl acetals of </w:t>
      </w:r>
      <w:r w:rsidRPr="0036416F">
        <w:rPr>
          <w:i/>
          <w:lang w:val="en-US"/>
        </w:rPr>
        <w:t>N</w:t>
      </w:r>
      <w:proofErr w:type="gramStart"/>
      <w:r w:rsidRPr="0036416F">
        <w:rPr>
          <w:i/>
          <w:lang w:val="en-US"/>
        </w:rPr>
        <w:t>,N</w:t>
      </w:r>
      <w:proofErr w:type="gramEnd"/>
      <w:r w:rsidRPr="0036416F">
        <w:rPr>
          <w:lang w:val="en-US"/>
        </w:rPr>
        <w:t>-dimethylformamide (DMF) is often useful alkylating agents under neutral conditions. It is most commonly used to form the corresponding esters. Heterocycles with SH, NH and OH can also be methylated with DMF dimethyl acetal.</w:t>
      </w:r>
      <w:r w:rsidRPr="0036416F">
        <w:rPr>
          <w:vertAlign w:val="superscript"/>
          <w:lang w:val="en-US"/>
        </w:rPr>
        <w:t>17</w:t>
      </w:r>
    </w:p>
    <w:p w14:paraId="7D126CBA" w14:textId="59A12F70" w:rsidR="00215425" w:rsidRPr="00AA204A" w:rsidRDefault="001C1CF5" w:rsidP="001C1CF5">
      <w:pPr>
        <w:jc w:val="center"/>
        <w:rPr>
          <w:lang w:val="en-US"/>
        </w:rPr>
      </w:pPr>
      <w:r>
        <w:rPr>
          <w:noProof/>
          <w:lang w:val="en-US" w:eastAsia="en-US"/>
        </w:rPr>
        <w:drawing>
          <wp:inline distT="0" distB="0" distL="0" distR="0" wp14:anchorId="007E3FFE" wp14:editId="6D04ABC3">
            <wp:extent cx="3119120" cy="1351280"/>
            <wp:effectExtent l="0" t="0" r="508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119120" cy="1351280"/>
                    </a:xfrm>
                    <a:prstGeom prst="rect">
                      <a:avLst/>
                    </a:prstGeom>
                    <a:noFill/>
                    <a:ln>
                      <a:noFill/>
                    </a:ln>
                  </pic:spPr>
                </pic:pic>
              </a:graphicData>
            </a:graphic>
          </wp:inline>
        </w:drawing>
      </w:r>
    </w:p>
    <w:p w14:paraId="458E0515" w14:textId="77777777" w:rsidR="00656E7D" w:rsidRPr="00656E7D" w:rsidRDefault="00656E7D" w:rsidP="00413E4A">
      <w:pPr>
        <w:pStyle w:val="Heading4"/>
      </w:pPr>
      <w:bookmarkStart w:id="213" w:name="_Toc483916078"/>
      <w:r w:rsidRPr="00656E7D">
        <w:lastRenderedPageBreak/>
        <w:t>1.3.7</w:t>
      </w:r>
      <w:r w:rsidRPr="00656E7D">
        <w:tab/>
        <w:t>O-Methylcaprolactam</w:t>
      </w:r>
      <w:bookmarkEnd w:id="212"/>
      <w:bookmarkEnd w:id="213"/>
    </w:p>
    <w:p w14:paraId="7284D462" w14:textId="77777777" w:rsidR="00215425" w:rsidRPr="0036416F" w:rsidRDefault="00215425" w:rsidP="0036416F">
      <w:pPr>
        <w:rPr>
          <w:lang w:val="en-US"/>
        </w:rPr>
      </w:pPr>
      <w:bookmarkStart w:id="214" w:name="_Toc356240483"/>
      <w:r w:rsidRPr="0036416F">
        <w:rPr>
          <w:lang w:val="en-US"/>
        </w:rPr>
        <w:t>Related to the DMF acetals are the corresponding lactim ethers of cyclic amides. For example,</w:t>
      </w:r>
      <w:r w:rsidRPr="0036416F">
        <w:rPr>
          <w:i/>
          <w:lang w:val="en-US"/>
        </w:rPr>
        <w:t xml:space="preserve"> O</w:t>
      </w:r>
      <w:r w:rsidRPr="0036416F">
        <w:rPr>
          <w:lang w:val="en-US"/>
        </w:rPr>
        <w:t>-methylcaprolactam has been shown to alkylate carboxylic acids at high temperatures.</w:t>
      </w:r>
      <w:r w:rsidRPr="0036416F">
        <w:rPr>
          <w:vertAlign w:val="superscript"/>
          <w:lang w:val="en-US"/>
        </w:rPr>
        <w:t>18</w:t>
      </w:r>
    </w:p>
    <w:p w14:paraId="6CD4ACFC" w14:textId="77777777" w:rsidR="00215425" w:rsidRPr="0036416F" w:rsidRDefault="00215425" w:rsidP="0036416F">
      <w:pPr>
        <w:jc w:val="center"/>
        <w:rPr>
          <w:lang w:val="en-US"/>
        </w:rPr>
      </w:pPr>
      <w:r w:rsidRPr="00AA204A">
        <w:rPr>
          <w:noProof/>
          <w:lang w:val="en-US" w:eastAsia="en-US"/>
        </w:rPr>
        <w:drawing>
          <wp:inline distT="0" distB="0" distL="0" distR="0" wp14:anchorId="35FD2347" wp14:editId="4B3F2BA4">
            <wp:extent cx="3643941" cy="6731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716496" cy="686502"/>
                    </a:xfrm>
                    <a:prstGeom prst="rect">
                      <a:avLst/>
                    </a:prstGeom>
                    <a:noFill/>
                    <a:ln>
                      <a:noFill/>
                    </a:ln>
                  </pic:spPr>
                </pic:pic>
              </a:graphicData>
            </a:graphic>
          </wp:inline>
        </w:drawing>
      </w:r>
    </w:p>
    <w:p w14:paraId="1F13FBEE" w14:textId="77777777" w:rsidR="00656E7D" w:rsidRPr="00656E7D" w:rsidRDefault="00656E7D" w:rsidP="00413E4A">
      <w:pPr>
        <w:pStyle w:val="Heading4"/>
      </w:pPr>
      <w:bookmarkStart w:id="215" w:name="_Toc483916079"/>
      <w:r w:rsidRPr="00656E7D">
        <w:t>1.3.8</w:t>
      </w:r>
      <w:r w:rsidRPr="00656E7D">
        <w:tab/>
        <w:t>O-Methyl isourea</w:t>
      </w:r>
      <w:bookmarkEnd w:id="214"/>
      <w:bookmarkEnd w:id="215"/>
      <w:r w:rsidRPr="00656E7D">
        <w:rPr>
          <w:rFonts w:hint="eastAsia"/>
        </w:rPr>
        <w:t xml:space="preserve"> </w:t>
      </w:r>
    </w:p>
    <w:p w14:paraId="7086AA59" w14:textId="18E572D8" w:rsidR="00215425" w:rsidRPr="0036416F" w:rsidRDefault="00215425" w:rsidP="0036416F">
      <w:pPr>
        <w:rPr>
          <w:lang w:val="en-US"/>
        </w:rPr>
      </w:pPr>
      <w:bookmarkStart w:id="216" w:name="_Toc356240484"/>
      <w:r w:rsidRPr="0036416F">
        <w:rPr>
          <w:lang w:val="en-US"/>
        </w:rPr>
        <w:t xml:space="preserve">A variety of esters can be </w:t>
      </w:r>
      <w:proofErr w:type="gramStart"/>
      <w:r w:rsidRPr="0036416F">
        <w:rPr>
          <w:lang w:val="en-US"/>
        </w:rPr>
        <w:t>prepared,</w:t>
      </w:r>
      <w:proofErr w:type="gramEnd"/>
      <w:r w:rsidRPr="0036416F">
        <w:rPr>
          <w:lang w:val="en-US"/>
        </w:rPr>
        <w:t xml:space="preserve"> even in the presence of various functional groups with </w:t>
      </w:r>
      <w:r w:rsidRPr="0036416F">
        <w:rPr>
          <w:i/>
          <w:lang w:val="en-US"/>
        </w:rPr>
        <w:t>O</w:t>
      </w:r>
      <w:r w:rsidRPr="0036416F">
        <w:rPr>
          <w:lang w:val="en-US"/>
        </w:rPr>
        <w:t>-methyl isourea.</w:t>
      </w:r>
      <w:r w:rsidRPr="0036416F">
        <w:rPr>
          <w:vertAlign w:val="superscript"/>
          <w:lang w:val="en-US"/>
        </w:rPr>
        <w:t>19</w:t>
      </w:r>
      <w:r w:rsidRPr="0036416F">
        <w:rPr>
          <w:lang w:val="en-US"/>
        </w:rPr>
        <w:t xml:space="preserve"> </w:t>
      </w:r>
      <w:r w:rsidRPr="0036416F">
        <w:rPr>
          <w:i/>
          <w:lang w:val="en-US"/>
        </w:rPr>
        <w:t>O</w:t>
      </w:r>
      <w:r w:rsidRPr="0036416F">
        <w:rPr>
          <w:lang w:val="en-US"/>
        </w:rPr>
        <w:t>-Methyl isourea is easily formed from methanol and dicyclohexylcarbodiimide (DCC) or diisopropylcarbodiimide (DIC).</w:t>
      </w:r>
    </w:p>
    <w:p w14:paraId="73E59D48" w14:textId="1467802F" w:rsidR="00215425" w:rsidRPr="00AA204A" w:rsidRDefault="00215425" w:rsidP="00215425">
      <w:pPr>
        <w:jc w:val="center"/>
        <w:rPr>
          <w:lang w:val="en-US"/>
        </w:rPr>
      </w:pPr>
      <w:r>
        <w:rPr>
          <w:noProof/>
          <w:lang w:val="en-US" w:eastAsia="en-US"/>
        </w:rPr>
        <w:drawing>
          <wp:inline distT="0" distB="0" distL="0" distR="0" wp14:anchorId="1B0A2DAB" wp14:editId="50B394FD">
            <wp:extent cx="3586480" cy="1351280"/>
            <wp:effectExtent l="0" t="0" r="0" b="0"/>
            <wp:docPr id="3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586480" cy="1351280"/>
                    </a:xfrm>
                    <a:prstGeom prst="rect">
                      <a:avLst/>
                    </a:prstGeom>
                    <a:noFill/>
                    <a:ln>
                      <a:noFill/>
                    </a:ln>
                  </pic:spPr>
                </pic:pic>
              </a:graphicData>
            </a:graphic>
          </wp:inline>
        </w:drawing>
      </w:r>
    </w:p>
    <w:p w14:paraId="51EB85D2" w14:textId="77777777" w:rsidR="00656E7D" w:rsidRPr="00656E7D" w:rsidRDefault="00656E7D" w:rsidP="00413E4A">
      <w:pPr>
        <w:pStyle w:val="Heading4"/>
      </w:pPr>
      <w:bookmarkStart w:id="217" w:name="_Toc483916080"/>
      <w:r w:rsidRPr="00656E7D">
        <w:t>1.3.9</w:t>
      </w:r>
      <w:r w:rsidRPr="00656E7D">
        <w:tab/>
        <w:t>Trimethyl Orthoformate</w:t>
      </w:r>
      <w:bookmarkEnd w:id="216"/>
      <w:bookmarkEnd w:id="217"/>
    </w:p>
    <w:p w14:paraId="3D0D3C34" w14:textId="77777777" w:rsidR="00215425" w:rsidRPr="0036416F" w:rsidRDefault="00215425" w:rsidP="0036416F">
      <w:pPr>
        <w:spacing w:before="120" w:after="120"/>
        <w:rPr>
          <w:lang w:val="en-US"/>
        </w:rPr>
      </w:pPr>
      <w:bookmarkStart w:id="218" w:name="_Toc356240485"/>
      <w:r w:rsidRPr="0036416F">
        <w:rPr>
          <w:lang w:val="en-US"/>
        </w:rPr>
        <w:t>Trimethyl Orthoformate can be used for the methylation of acids, including amino acids. The reaction is mild enough to chemoselectively form the ester in the presence of other functional groups. The reaction can also be run efficiently in room temperature ionic liquids as solvents.</w:t>
      </w:r>
      <w:r w:rsidRPr="0036416F">
        <w:rPr>
          <w:vertAlign w:val="superscript"/>
          <w:lang w:val="en-US"/>
        </w:rPr>
        <w:t>20</w:t>
      </w:r>
    </w:p>
    <w:p w14:paraId="3FCB7A65" w14:textId="77777777" w:rsidR="00215425" w:rsidRPr="0036416F" w:rsidRDefault="00215425" w:rsidP="0036416F">
      <w:pPr>
        <w:jc w:val="center"/>
        <w:rPr>
          <w:lang w:val="en-US"/>
        </w:rPr>
      </w:pPr>
      <w:r w:rsidRPr="00AA204A">
        <w:rPr>
          <w:noProof/>
          <w:lang w:val="en-US" w:eastAsia="en-US"/>
        </w:rPr>
        <w:drawing>
          <wp:inline distT="0" distB="0" distL="0" distR="0" wp14:anchorId="7C2356EB" wp14:editId="72CA7A97">
            <wp:extent cx="3422650" cy="833561"/>
            <wp:effectExtent l="0" t="0" r="635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443762" cy="838703"/>
                    </a:xfrm>
                    <a:prstGeom prst="rect">
                      <a:avLst/>
                    </a:prstGeom>
                    <a:noFill/>
                    <a:ln>
                      <a:noFill/>
                    </a:ln>
                  </pic:spPr>
                </pic:pic>
              </a:graphicData>
            </a:graphic>
          </wp:inline>
        </w:drawing>
      </w:r>
    </w:p>
    <w:p w14:paraId="762DF43E" w14:textId="77777777" w:rsidR="00656E7D" w:rsidRPr="00656E7D" w:rsidRDefault="00656E7D" w:rsidP="00413E4A">
      <w:pPr>
        <w:pStyle w:val="Heading4"/>
      </w:pPr>
      <w:bookmarkStart w:id="219" w:name="_Toc483916081"/>
      <w:r w:rsidRPr="00656E7D">
        <w:t>1.3.10</w:t>
      </w:r>
      <w:r w:rsidRPr="00656E7D">
        <w:tab/>
        <w:t>Alkoxy-λ6-sulfanenitriles (thiazynes)</w:t>
      </w:r>
      <w:bookmarkEnd w:id="218"/>
      <w:bookmarkEnd w:id="219"/>
      <w:r w:rsidRPr="00656E7D">
        <w:t xml:space="preserve"> </w:t>
      </w:r>
    </w:p>
    <w:p w14:paraId="115E43C5" w14:textId="77777777" w:rsidR="00215425" w:rsidRPr="0036416F" w:rsidRDefault="00215425" w:rsidP="0036416F">
      <w:pPr>
        <w:rPr>
          <w:lang w:val="en-US"/>
        </w:rPr>
      </w:pPr>
      <w:bookmarkStart w:id="220" w:name="_Toc356240486"/>
      <w:r w:rsidRPr="0036416F">
        <w:rPr>
          <w:lang w:val="en-US"/>
        </w:rPr>
        <w:t>The surprising chemistry of alkoxy-λ6-sulfanenitriles (thiazynes) has been investigated and these compounds have been found to alkylate carboxylic acids, thiols, phenols and sulfonic acids in essentially quantitative yields at room temperature.</w:t>
      </w:r>
      <w:r w:rsidRPr="0036416F">
        <w:rPr>
          <w:vertAlign w:val="superscript"/>
          <w:lang w:val="en-US"/>
        </w:rPr>
        <w:t>21</w:t>
      </w:r>
    </w:p>
    <w:p w14:paraId="685A9B21" w14:textId="77777777" w:rsidR="00215425" w:rsidRPr="0036416F" w:rsidRDefault="00215425" w:rsidP="0036416F">
      <w:pPr>
        <w:jc w:val="center"/>
        <w:rPr>
          <w:lang w:val="en-US"/>
        </w:rPr>
      </w:pPr>
      <w:r w:rsidRPr="00AA204A">
        <w:rPr>
          <w:noProof/>
          <w:lang w:val="en-US" w:eastAsia="en-US"/>
        </w:rPr>
        <w:drawing>
          <wp:inline distT="0" distB="0" distL="0" distR="0" wp14:anchorId="76FE3486" wp14:editId="1131FC55">
            <wp:extent cx="2927350" cy="1174536"/>
            <wp:effectExtent l="0" t="0" r="635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961348" cy="1188177"/>
                    </a:xfrm>
                    <a:prstGeom prst="rect">
                      <a:avLst/>
                    </a:prstGeom>
                    <a:noFill/>
                    <a:ln>
                      <a:noFill/>
                    </a:ln>
                  </pic:spPr>
                </pic:pic>
              </a:graphicData>
            </a:graphic>
          </wp:inline>
        </w:drawing>
      </w:r>
    </w:p>
    <w:p w14:paraId="670420C9" w14:textId="77777777" w:rsidR="00656E7D" w:rsidRPr="00656E7D" w:rsidRDefault="00656E7D" w:rsidP="00413E4A">
      <w:pPr>
        <w:pStyle w:val="Heading4"/>
      </w:pPr>
      <w:bookmarkStart w:id="221" w:name="_Toc483916082"/>
      <w:r w:rsidRPr="00656E7D">
        <w:lastRenderedPageBreak/>
        <w:t>1.3.11</w:t>
      </w:r>
      <w:r w:rsidRPr="00656E7D">
        <w:tab/>
        <w:t>S-Propargyl xanthates</w:t>
      </w:r>
      <w:bookmarkEnd w:id="220"/>
      <w:bookmarkEnd w:id="221"/>
    </w:p>
    <w:p w14:paraId="350CCCCD" w14:textId="77777777" w:rsidR="001C1CF5" w:rsidRPr="00AA204A" w:rsidRDefault="001C1CF5" w:rsidP="001C1CF5">
      <w:pPr>
        <w:rPr>
          <w:lang w:val="en-US"/>
        </w:rPr>
      </w:pPr>
      <w:r w:rsidRPr="00AA204A">
        <w:rPr>
          <w:lang w:val="en-US"/>
        </w:rPr>
        <w:t>S-propargyl xanthates have been used for the esterification of acids. This method shows high reactivity (even for the synthesis of neopentyl esters, which are notoriously difficult to form) and complete inversion of stereochemistry for secondary alcohols.</w:t>
      </w:r>
      <w:r w:rsidRPr="00AA204A">
        <w:rPr>
          <w:vertAlign w:val="superscript"/>
          <w:lang w:val="en-US"/>
        </w:rPr>
        <w:t>22</w:t>
      </w:r>
    </w:p>
    <w:p w14:paraId="33BB7CF9" w14:textId="77777777" w:rsidR="001C1CF5" w:rsidRPr="003F378F" w:rsidRDefault="001C1CF5" w:rsidP="007E5803">
      <w:bookmarkStart w:id="222" w:name="_Toc483916083"/>
      <w:r w:rsidRPr="008D06EA">
        <w:rPr>
          <w:noProof/>
          <w:lang w:val="en-US" w:eastAsia="en-US"/>
        </w:rPr>
        <w:drawing>
          <wp:inline distT="0" distB="0" distL="0" distR="0" wp14:anchorId="0B396CBA" wp14:editId="2C709BEC">
            <wp:extent cx="3403600" cy="904240"/>
            <wp:effectExtent l="0" t="0" r="0" b="1016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403600" cy="904240"/>
                    </a:xfrm>
                    <a:prstGeom prst="rect">
                      <a:avLst/>
                    </a:prstGeom>
                    <a:noFill/>
                    <a:ln>
                      <a:noFill/>
                    </a:ln>
                  </pic:spPr>
                </pic:pic>
              </a:graphicData>
            </a:graphic>
          </wp:inline>
        </w:drawing>
      </w:r>
      <w:bookmarkEnd w:id="222"/>
    </w:p>
    <w:p w14:paraId="32CADA98" w14:textId="3AB63519" w:rsidR="00656E7D" w:rsidRPr="00656E7D" w:rsidRDefault="00656E7D" w:rsidP="00413E4A">
      <w:pPr>
        <w:pStyle w:val="Heading2"/>
      </w:pPr>
      <w:bookmarkStart w:id="223" w:name="_Toc484164370"/>
      <w:r w:rsidRPr="00656E7D">
        <w:rPr>
          <w:rFonts w:hint="eastAsia"/>
        </w:rPr>
        <w:t>Reference</w:t>
      </w:r>
      <w:r w:rsidRPr="00656E7D">
        <w:t>s</w:t>
      </w:r>
      <w:bookmarkEnd w:id="223"/>
    </w:p>
    <w:p w14:paraId="20C5746D" w14:textId="77777777" w:rsidR="00497F61" w:rsidRPr="0099336B" w:rsidRDefault="00497F61" w:rsidP="0015746F">
      <w:pPr>
        <w:pStyle w:val="Refs0"/>
        <w:spacing w:line="240" w:lineRule="auto"/>
        <w:ind w:left="562" w:hanging="562"/>
        <w:rPr>
          <w:rFonts w:ascii="Times New Roman" w:hAnsi="Times New Roman"/>
        </w:rPr>
      </w:pPr>
      <w:r w:rsidRPr="0099336B">
        <w:rPr>
          <w:rFonts w:ascii="Times New Roman" w:hAnsi="Times New Roman"/>
        </w:rPr>
        <w:t xml:space="preserve">1. Lamoureux, G.; Agüero C. </w:t>
      </w:r>
      <w:r w:rsidRPr="0099336B">
        <w:rPr>
          <w:rFonts w:ascii="Times New Roman" w:hAnsi="Times New Roman"/>
          <w:i/>
        </w:rPr>
        <w:t>ARKIVOC</w:t>
      </w:r>
      <w:r w:rsidRPr="0099336B">
        <w:rPr>
          <w:rFonts w:ascii="Times New Roman" w:hAnsi="Times New Roman"/>
        </w:rPr>
        <w:t xml:space="preserve"> </w:t>
      </w:r>
      <w:r w:rsidRPr="0099336B">
        <w:rPr>
          <w:rFonts w:ascii="Times New Roman" w:hAnsi="Times New Roman"/>
          <w:b/>
        </w:rPr>
        <w:t>2009</w:t>
      </w:r>
      <w:r w:rsidRPr="0099336B">
        <w:rPr>
          <w:rFonts w:ascii="Times New Roman" w:hAnsi="Times New Roman"/>
        </w:rPr>
        <w:t xml:space="preserve"> </w:t>
      </w:r>
      <w:r w:rsidRPr="0099336B">
        <w:rPr>
          <w:rFonts w:ascii="Times New Roman" w:hAnsi="Times New Roman"/>
          <w:i/>
        </w:rPr>
        <w:t>i</w:t>
      </w:r>
      <w:r w:rsidRPr="0099336B">
        <w:rPr>
          <w:rFonts w:ascii="Times New Roman" w:hAnsi="Times New Roman"/>
        </w:rPr>
        <w:t xml:space="preserve"> 251.</w:t>
      </w:r>
    </w:p>
    <w:p w14:paraId="52103FA8" w14:textId="77777777" w:rsidR="00497F61" w:rsidRPr="0099336B" w:rsidRDefault="00497F61" w:rsidP="0015746F">
      <w:pPr>
        <w:pStyle w:val="Refs0"/>
        <w:spacing w:line="240" w:lineRule="auto"/>
        <w:ind w:left="562" w:hanging="562"/>
        <w:rPr>
          <w:rFonts w:ascii="Times New Roman" w:hAnsi="Times New Roman"/>
        </w:rPr>
      </w:pPr>
      <w:r w:rsidRPr="0099336B">
        <w:rPr>
          <w:rFonts w:ascii="Times New Roman" w:hAnsi="Times New Roman"/>
        </w:rPr>
        <w:t>2. (</w:t>
      </w:r>
      <w:proofErr w:type="gramStart"/>
      <w:r w:rsidRPr="0099336B">
        <w:rPr>
          <w:rFonts w:ascii="Times New Roman" w:hAnsi="Times New Roman"/>
        </w:rPr>
        <w:t>a</w:t>
      </w:r>
      <w:proofErr w:type="gramEnd"/>
      <w:r w:rsidRPr="0099336B">
        <w:rPr>
          <w:rFonts w:ascii="Times New Roman" w:hAnsi="Times New Roman"/>
        </w:rPr>
        <w:t xml:space="preserve">) Zheng, D.; Darbre, T.; Keese, R. </w:t>
      </w:r>
      <w:r w:rsidRPr="0099336B">
        <w:rPr>
          <w:rFonts w:ascii="Times New Roman" w:hAnsi="Times New Roman"/>
          <w:i/>
        </w:rPr>
        <w:t xml:space="preserve">J. Inorg. </w:t>
      </w:r>
      <w:proofErr w:type="gramStart"/>
      <w:r w:rsidRPr="0099336B">
        <w:rPr>
          <w:rFonts w:ascii="Times New Roman" w:hAnsi="Times New Roman"/>
          <w:i/>
        </w:rPr>
        <w:t>Biochem.</w:t>
      </w:r>
      <w:proofErr w:type="gramEnd"/>
      <w:r w:rsidRPr="0099336B">
        <w:rPr>
          <w:rFonts w:ascii="Times New Roman" w:hAnsi="Times New Roman"/>
        </w:rPr>
        <w:t xml:space="preserve"> </w:t>
      </w:r>
      <w:r w:rsidRPr="0099336B">
        <w:rPr>
          <w:rFonts w:ascii="Times New Roman" w:hAnsi="Times New Roman"/>
          <w:b/>
        </w:rPr>
        <w:t>1999</w:t>
      </w:r>
      <w:r w:rsidRPr="0099336B">
        <w:rPr>
          <w:rFonts w:ascii="Times New Roman" w:hAnsi="Times New Roman"/>
        </w:rPr>
        <w:t xml:space="preserve">, </w:t>
      </w:r>
      <w:r w:rsidRPr="0099336B">
        <w:rPr>
          <w:rFonts w:ascii="Times New Roman" w:hAnsi="Times New Roman"/>
          <w:i/>
        </w:rPr>
        <w:t>73</w:t>
      </w:r>
      <w:r w:rsidRPr="0099336B">
        <w:rPr>
          <w:rFonts w:ascii="Times New Roman" w:hAnsi="Times New Roman"/>
        </w:rPr>
        <w:t xml:space="preserve">, 273; (b) Gooden, P. N.; Bourne, R. A.; Parrott, A. J.; Bevinakatti, H. S.; Irvine, D. J.; Poliakoff, M. </w:t>
      </w:r>
      <w:r w:rsidRPr="0099336B">
        <w:rPr>
          <w:rFonts w:ascii="Times New Roman" w:hAnsi="Times New Roman"/>
          <w:i/>
        </w:rPr>
        <w:t>Org. Process Res. Dev.</w:t>
      </w:r>
      <w:r w:rsidRPr="0099336B">
        <w:rPr>
          <w:rFonts w:ascii="Times New Roman" w:hAnsi="Times New Roman"/>
        </w:rPr>
        <w:t xml:space="preserve"> </w:t>
      </w:r>
      <w:r w:rsidRPr="0099336B">
        <w:rPr>
          <w:rFonts w:ascii="Times New Roman" w:hAnsi="Times New Roman"/>
          <w:b/>
        </w:rPr>
        <w:t>2010</w:t>
      </w:r>
      <w:r w:rsidRPr="0099336B">
        <w:rPr>
          <w:rFonts w:ascii="Times New Roman" w:hAnsi="Times New Roman"/>
        </w:rPr>
        <w:t xml:space="preserve">, </w:t>
      </w:r>
      <w:r w:rsidRPr="0099336B">
        <w:rPr>
          <w:rFonts w:ascii="Times New Roman" w:hAnsi="Times New Roman"/>
          <w:i/>
        </w:rPr>
        <w:t>14</w:t>
      </w:r>
      <w:r w:rsidRPr="0099336B">
        <w:rPr>
          <w:rFonts w:ascii="Times New Roman" w:hAnsi="Times New Roman"/>
        </w:rPr>
        <w:t>, 411.</w:t>
      </w:r>
    </w:p>
    <w:p w14:paraId="5466E380" w14:textId="77777777" w:rsidR="00497F61" w:rsidRPr="0099336B" w:rsidRDefault="00497F61" w:rsidP="0015746F">
      <w:pPr>
        <w:pStyle w:val="Refs0"/>
        <w:spacing w:line="240" w:lineRule="auto"/>
        <w:ind w:left="562" w:hanging="562"/>
        <w:rPr>
          <w:rFonts w:ascii="Times New Roman" w:hAnsi="Times New Roman"/>
        </w:rPr>
      </w:pPr>
      <w:r w:rsidRPr="0099336B">
        <w:rPr>
          <w:rFonts w:ascii="Times New Roman" w:hAnsi="Times New Roman"/>
        </w:rPr>
        <w:t>3. Sulikowski, G. A.; Sulikowski, M. M. e-EROS Encyclopedia of Reagents for Organic Synthesis (2005).</w:t>
      </w:r>
    </w:p>
    <w:p w14:paraId="0A328CAE" w14:textId="77777777" w:rsidR="00497F61" w:rsidRPr="0099336B" w:rsidRDefault="00497F61" w:rsidP="0015746F">
      <w:pPr>
        <w:pStyle w:val="Refs0"/>
        <w:spacing w:line="240" w:lineRule="auto"/>
        <w:ind w:left="562" w:hanging="562"/>
        <w:rPr>
          <w:rFonts w:ascii="Times New Roman" w:hAnsi="Times New Roman"/>
        </w:rPr>
      </w:pPr>
      <w:r w:rsidRPr="0099336B">
        <w:rPr>
          <w:rFonts w:ascii="Times New Roman" w:hAnsi="Times New Roman"/>
        </w:rPr>
        <w:t>4. Bolton, R. e-EROS Encyclopedia of Reagents for Organic Synthesis (2001).</w:t>
      </w:r>
    </w:p>
    <w:p w14:paraId="504BA742" w14:textId="77777777" w:rsidR="00497F61" w:rsidRPr="0099336B" w:rsidRDefault="00497F61" w:rsidP="0015746F">
      <w:pPr>
        <w:pStyle w:val="Refs0"/>
        <w:spacing w:line="240" w:lineRule="auto"/>
        <w:ind w:left="562" w:hanging="562"/>
        <w:rPr>
          <w:rFonts w:ascii="Times New Roman" w:hAnsi="Times New Roman"/>
        </w:rPr>
      </w:pPr>
      <w:r w:rsidRPr="0099336B">
        <w:rPr>
          <w:rFonts w:ascii="Times New Roman" w:hAnsi="Times New Roman"/>
        </w:rPr>
        <w:t>5. Merriman, G. e-EROS Encyclopedia of Reagents for Organic Synthesis (2001).</w:t>
      </w:r>
    </w:p>
    <w:p w14:paraId="015C63BA" w14:textId="77777777" w:rsidR="00497F61" w:rsidRPr="0099336B" w:rsidRDefault="00497F61" w:rsidP="0015746F">
      <w:pPr>
        <w:pStyle w:val="Refs0"/>
        <w:spacing w:line="240" w:lineRule="auto"/>
        <w:ind w:left="562" w:hanging="562"/>
        <w:rPr>
          <w:rFonts w:ascii="Times New Roman" w:hAnsi="Times New Roman"/>
        </w:rPr>
      </w:pPr>
      <w:r w:rsidRPr="0099336B">
        <w:rPr>
          <w:rFonts w:ascii="Times New Roman" w:hAnsi="Times New Roman"/>
        </w:rPr>
        <w:t xml:space="preserve">6. Tundo, P.; Selva, M. </w:t>
      </w:r>
      <w:r w:rsidRPr="0099336B">
        <w:rPr>
          <w:rFonts w:ascii="Times New Roman" w:hAnsi="Times New Roman"/>
          <w:i/>
        </w:rPr>
        <w:t>Acc. Chem. Res.</w:t>
      </w:r>
      <w:r w:rsidRPr="0099336B">
        <w:rPr>
          <w:rFonts w:ascii="Times New Roman" w:hAnsi="Times New Roman"/>
        </w:rPr>
        <w:t xml:space="preserve"> </w:t>
      </w:r>
      <w:r w:rsidRPr="0099336B">
        <w:rPr>
          <w:rFonts w:ascii="Times New Roman" w:hAnsi="Times New Roman"/>
          <w:b/>
        </w:rPr>
        <w:t>2002</w:t>
      </w:r>
      <w:r w:rsidRPr="0099336B">
        <w:rPr>
          <w:rFonts w:ascii="Times New Roman" w:hAnsi="Times New Roman"/>
        </w:rPr>
        <w:t xml:space="preserve">, </w:t>
      </w:r>
      <w:r w:rsidRPr="0099336B">
        <w:rPr>
          <w:rFonts w:ascii="Times New Roman" w:hAnsi="Times New Roman"/>
          <w:i/>
        </w:rPr>
        <w:t>35</w:t>
      </w:r>
      <w:r w:rsidRPr="0099336B">
        <w:rPr>
          <w:rFonts w:ascii="Times New Roman" w:hAnsi="Times New Roman"/>
        </w:rPr>
        <w:t>, 706.</w:t>
      </w:r>
    </w:p>
    <w:p w14:paraId="506A7464" w14:textId="77777777" w:rsidR="00497F61" w:rsidRPr="0099336B" w:rsidRDefault="00497F61" w:rsidP="0015746F">
      <w:pPr>
        <w:pStyle w:val="Refs0"/>
        <w:spacing w:line="240" w:lineRule="auto"/>
        <w:ind w:left="562" w:hanging="562"/>
        <w:rPr>
          <w:rFonts w:ascii="Times New Roman" w:hAnsi="Times New Roman"/>
        </w:rPr>
      </w:pPr>
      <w:r w:rsidRPr="0099336B">
        <w:rPr>
          <w:rFonts w:ascii="Times New Roman" w:hAnsi="Times New Roman"/>
        </w:rPr>
        <w:t>7. Alder, R. W.; Phillips, J. G. E.; Huang, L.; Huang, X. e-EROS Encyclopedia of Reagents for Organic Synthesis (2005).</w:t>
      </w:r>
    </w:p>
    <w:p w14:paraId="1F000569" w14:textId="77777777" w:rsidR="00497F61" w:rsidRPr="0099336B" w:rsidRDefault="00497F61" w:rsidP="0015746F">
      <w:pPr>
        <w:pStyle w:val="Refs0"/>
        <w:spacing w:line="240" w:lineRule="auto"/>
        <w:ind w:left="562" w:hanging="562"/>
        <w:rPr>
          <w:rFonts w:ascii="Times New Roman" w:hAnsi="Times New Roman"/>
        </w:rPr>
      </w:pPr>
      <w:r w:rsidRPr="0099336B">
        <w:rPr>
          <w:rFonts w:ascii="Times New Roman" w:hAnsi="Times New Roman"/>
        </w:rPr>
        <w:t>8. (</w:t>
      </w:r>
      <w:proofErr w:type="gramStart"/>
      <w:r w:rsidRPr="0099336B">
        <w:rPr>
          <w:rFonts w:ascii="Times New Roman" w:hAnsi="Times New Roman"/>
        </w:rPr>
        <w:t>a</w:t>
      </w:r>
      <w:proofErr w:type="gramEnd"/>
      <w:r w:rsidRPr="0099336B">
        <w:rPr>
          <w:rFonts w:ascii="Times New Roman" w:hAnsi="Times New Roman"/>
        </w:rPr>
        <w:t xml:space="preserve">) Yu, S.-W.; Yao, L.-F.; Lin, X.-F.; Yang, S.-Y. </w:t>
      </w:r>
      <w:proofErr w:type="gramStart"/>
      <w:r w:rsidRPr="0099336B">
        <w:rPr>
          <w:rFonts w:ascii="Times New Roman" w:hAnsi="Times New Roman"/>
          <w:i/>
        </w:rPr>
        <w:t>Comp. Theo. Chem.</w:t>
      </w:r>
      <w:r w:rsidRPr="0099336B">
        <w:rPr>
          <w:rFonts w:ascii="Times New Roman" w:hAnsi="Times New Roman"/>
        </w:rPr>
        <w:t xml:space="preserve"> </w:t>
      </w:r>
      <w:r w:rsidRPr="0099336B">
        <w:rPr>
          <w:rFonts w:ascii="Times New Roman" w:hAnsi="Times New Roman"/>
          <w:b/>
        </w:rPr>
        <w:t>2011</w:t>
      </w:r>
      <w:r w:rsidRPr="0099336B">
        <w:rPr>
          <w:rFonts w:ascii="Times New Roman" w:hAnsi="Times New Roman"/>
        </w:rPr>
        <w:t>,</w:t>
      </w:r>
      <w:r w:rsidRPr="0099336B">
        <w:rPr>
          <w:rFonts w:ascii="Times New Roman" w:hAnsi="Times New Roman"/>
          <w:i/>
        </w:rPr>
        <w:t xml:space="preserve"> 972</w:t>
      </w:r>
      <w:r w:rsidRPr="0099336B">
        <w:rPr>
          <w:rFonts w:ascii="Times New Roman" w:hAnsi="Times New Roman"/>
        </w:rPr>
        <w:t>, 25–31; (b) Y. Mishina, E.M. Duguid, C.</w:t>
      </w:r>
      <w:proofErr w:type="gramEnd"/>
      <w:r w:rsidRPr="0099336B">
        <w:rPr>
          <w:rFonts w:ascii="Times New Roman" w:hAnsi="Times New Roman"/>
        </w:rPr>
        <w:t xml:space="preserve"> </w:t>
      </w:r>
      <w:proofErr w:type="gramStart"/>
      <w:r w:rsidRPr="0099336B">
        <w:rPr>
          <w:rFonts w:ascii="Times New Roman" w:hAnsi="Times New Roman"/>
        </w:rPr>
        <w:t xml:space="preserve">He, </w:t>
      </w:r>
      <w:r w:rsidRPr="0099336B">
        <w:rPr>
          <w:rFonts w:ascii="Times New Roman" w:hAnsi="Times New Roman"/>
          <w:i/>
        </w:rPr>
        <w:t xml:space="preserve">Chem. Rev. </w:t>
      </w:r>
      <w:r w:rsidRPr="0099336B">
        <w:rPr>
          <w:rFonts w:ascii="Times New Roman" w:hAnsi="Times New Roman"/>
          <w:b/>
        </w:rPr>
        <w:t>2006</w:t>
      </w:r>
      <w:r w:rsidRPr="0099336B">
        <w:rPr>
          <w:rFonts w:ascii="Times New Roman" w:hAnsi="Times New Roman"/>
        </w:rPr>
        <w:t xml:space="preserve">, </w:t>
      </w:r>
      <w:r w:rsidRPr="0099336B">
        <w:rPr>
          <w:rFonts w:ascii="Times New Roman" w:hAnsi="Times New Roman"/>
          <w:i/>
        </w:rPr>
        <w:t>106</w:t>
      </w:r>
      <w:r w:rsidRPr="0099336B">
        <w:rPr>
          <w:rFonts w:ascii="Times New Roman" w:hAnsi="Times New Roman"/>
        </w:rPr>
        <w:t>, 215.</w:t>
      </w:r>
      <w:proofErr w:type="gramEnd"/>
    </w:p>
    <w:p w14:paraId="5EDC4D5B" w14:textId="77777777" w:rsidR="00497F61" w:rsidRPr="0099336B" w:rsidRDefault="00497F61" w:rsidP="0015746F">
      <w:pPr>
        <w:pStyle w:val="Refs0"/>
        <w:spacing w:line="240" w:lineRule="auto"/>
        <w:ind w:left="562" w:hanging="562"/>
        <w:rPr>
          <w:rFonts w:ascii="Times New Roman" w:hAnsi="Times New Roman"/>
        </w:rPr>
      </w:pPr>
      <w:r w:rsidRPr="0099336B">
        <w:rPr>
          <w:rFonts w:ascii="Times New Roman" w:hAnsi="Times New Roman"/>
        </w:rPr>
        <w:t>9. Fevig, J. M. e-EROS Encyclopedia of Reagents for Organic Synthesis (2001).</w:t>
      </w:r>
    </w:p>
    <w:p w14:paraId="44908F73" w14:textId="77777777" w:rsidR="00497F61" w:rsidRPr="0099336B" w:rsidRDefault="00497F61" w:rsidP="0015746F">
      <w:pPr>
        <w:pStyle w:val="Refs0"/>
        <w:spacing w:line="240" w:lineRule="auto"/>
        <w:ind w:left="562" w:hanging="562"/>
        <w:rPr>
          <w:rFonts w:ascii="Times New Roman" w:hAnsi="Times New Roman"/>
        </w:rPr>
      </w:pPr>
      <w:r w:rsidRPr="0099336B">
        <w:rPr>
          <w:rFonts w:ascii="Times New Roman" w:hAnsi="Times New Roman"/>
        </w:rPr>
        <w:t xml:space="preserve">10. Yoshino, T.; Togo, H. </w:t>
      </w:r>
      <w:r w:rsidRPr="0099336B">
        <w:rPr>
          <w:rFonts w:ascii="Times New Roman" w:hAnsi="Times New Roman"/>
          <w:i/>
        </w:rPr>
        <w:t xml:space="preserve">SynLett </w:t>
      </w:r>
      <w:r w:rsidRPr="0099336B">
        <w:rPr>
          <w:rFonts w:ascii="Times New Roman" w:hAnsi="Times New Roman"/>
          <w:b/>
        </w:rPr>
        <w:t>2005</w:t>
      </w:r>
      <w:r w:rsidRPr="0099336B">
        <w:rPr>
          <w:rFonts w:ascii="Times New Roman" w:hAnsi="Times New Roman"/>
        </w:rPr>
        <w:t>, 517.</w:t>
      </w:r>
    </w:p>
    <w:p w14:paraId="78DBFE20" w14:textId="77777777" w:rsidR="00497F61" w:rsidRPr="0099336B" w:rsidRDefault="00497F61" w:rsidP="0015746F">
      <w:pPr>
        <w:pStyle w:val="Refs0"/>
        <w:spacing w:line="240" w:lineRule="auto"/>
        <w:ind w:left="562" w:hanging="562"/>
        <w:rPr>
          <w:rFonts w:ascii="Times New Roman" w:hAnsi="Times New Roman"/>
        </w:rPr>
      </w:pPr>
      <w:r w:rsidRPr="0099336B">
        <w:rPr>
          <w:rFonts w:ascii="Times New Roman" w:hAnsi="Times New Roman"/>
        </w:rPr>
        <w:t xml:space="preserve">11. Raber, D. J.; Gariano, P.; Brod, A. O.; Gariano, A.; Guida, W. C.; Guida, A. R.; Herbst, M. D. </w:t>
      </w:r>
      <w:r w:rsidRPr="0099336B">
        <w:rPr>
          <w:rFonts w:ascii="Times New Roman" w:hAnsi="Times New Roman"/>
          <w:i/>
        </w:rPr>
        <w:t>J. Org. Chem.</w:t>
      </w:r>
      <w:r w:rsidRPr="0099336B">
        <w:rPr>
          <w:rFonts w:ascii="Times New Roman" w:hAnsi="Times New Roman"/>
        </w:rPr>
        <w:t xml:space="preserve"> </w:t>
      </w:r>
      <w:r w:rsidRPr="0099336B">
        <w:rPr>
          <w:rFonts w:ascii="Times New Roman" w:hAnsi="Times New Roman"/>
          <w:b/>
        </w:rPr>
        <w:t>1979</w:t>
      </w:r>
      <w:r w:rsidRPr="0099336B">
        <w:rPr>
          <w:rFonts w:ascii="Times New Roman" w:hAnsi="Times New Roman"/>
        </w:rPr>
        <w:t xml:space="preserve">, </w:t>
      </w:r>
      <w:r w:rsidRPr="0099336B">
        <w:rPr>
          <w:rFonts w:ascii="Times New Roman" w:hAnsi="Times New Roman"/>
          <w:i/>
        </w:rPr>
        <w:t>44</w:t>
      </w:r>
      <w:r w:rsidRPr="0099336B">
        <w:rPr>
          <w:rFonts w:ascii="Times New Roman" w:hAnsi="Times New Roman"/>
        </w:rPr>
        <w:t>, 1149.</w:t>
      </w:r>
    </w:p>
    <w:p w14:paraId="2AB0F92D" w14:textId="77777777" w:rsidR="00497F61" w:rsidRPr="0099336B" w:rsidRDefault="00497F61" w:rsidP="0015746F">
      <w:pPr>
        <w:pStyle w:val="Refs0"/>
        <w:spacing w:line="240" w:lineRule="auto"/>
        <w:ind w:left="562" w:hanging="562"/>
        <w:rPr>
          <w:rFonts w:ascii="Times New Roman" w:hAnsi="Times New Roman"/>
        </w:rPr>
      </w:pPr>
      <w:r w:rsidRPr="0099336B">
        <w:rPr>
          <w:rFonts w:ascii="Times New Roman" w:hAnsi="Times New Roman"/>
        </w:rPr>
        <w:t xml:space="preserve">12. Maras, N.; Polanc, S.; Kocevar, M. </w:t>
      </w:r>
      <w:r w:rsidRPr="0099336B">
        <w:rPr>
          <w:rFonts w:ascii="Times New Roman" w:hAnsi="Times New Roman"/>
          <w:i/>
        </w:rPr>
        <w:t xml:space="preserve">Tetrahedron </w:t>
      </w:r>
      <w:r w:rsidRPr="0099336B">
        <w:rPr>
          <w:rFonts w:ascii="Times New Roman" w:hAnsi="Times New Roman"/>
          <w:b/>
        </w:rPr>
        <w:t>2008</w:t>
      </w:r>
      <w:r w:rsidRPr="0099336B">
        <w:rPr>
          <w:rFonts w:ascii="Times New Roman" w:hAnsi="Times New Roman"/>
        </w:rPr>
        <w:t xml:space="preserve">, </w:t>
      </w:r>
      <w:r w:rsidRPr="0099336B">
        <w:rPr>
          <w:rFonts w:ascii="Times New Roman" w:hAnsi="Times New Roman"/>
          <w:i/>
        </w:rPr>
        <w:t>64</w:t>
      </w:r>
      <w:r w:rsidRPr="0099336B">
        <w:rPr>
          <w:rFonts w:ascii="Times New Roman" w:hAnsi="Times New Roman"/>
        </w:rPr>
        <w:t>, 11618.</w:t>
      </w:r>
    </w:p>
    <w:p w14:paraId="62540E62" w14:textId="77777777" w:rsidR="00497F61" w:rsidRPr="0099336B" w:rsidRDefault="00497F61" w:rsidP="0015746F">
      <w:pPr>
        <w:pStyle w:val="Refs0"/>
        <w:spacing w:line="240" w:lineRule="auto"/>
        <w:ind w:left="562" w:hanging="562"/>
        <w:rPr>
          <w:rFonts w:ascii="Times New Roman" w:hAnsi="Times New Roman"/>
        </w:rPr>
      </w:pPr>
      <w:r w:rsidRPr="0099336B">
        <w:rPr>
          <w:rFonts w:ascii="Times New Roman" w:hAnsi="Times New Roman"/>
        </w:rPr>
        <w:t xml:space="preserve">13. Clarke, H. T.; Gillespie, H. B.; Weisshaus, S. Z. </w:t>
      </w:r>
      <w:r w:rsidRPr="0099336B">
        <w:rPr>
          <w:rFonts w:ascii="Times New Roman" w:hAnsi="Times New Roman"/>
          <w:i/>
        </w:rPr>
        <w:t>J. Am. Chem. Soc.</w:t>
      </w:r>
      <w:r w:rsidRPr="0099336B">
        <w:rPr>
          <w:rFonts w:ascii="Times New Roman" w:hAnsi="Times New Roman"/>
          <w:b/>
        </w:rPr>
        <w:t xml:space="preserve"> 1933</w:t>
      </w:r>
      <w:r w:rsidRPr="0099336B">
        <w:rPr>
          <w:rFonts w:ascii="Times New Roman" w:hAnsi="Times New Roman"/>
        </w:rPr>
        <w:t>,</w:t>
      </w:r>
      <w:r w:rsidRPr="0099336B">
        <w:rPr>
          <w:rFonts w:ascii="Times New Roman" w:hAnsi="Times New Roman"/>
          <w:i/>
        </w:rPr>
        <w:t xml:space="preserve"> 55</w:t>
      </w:r>
      <w:r w:rsidRPr="0099336B">
        <w:rPr>
          <w:rFonts w:ascii="Times New Roman" w:hAnsi="Times New Roman"/>
        </w:rPr>
        <w:t>, 4571.</w:t>
      </w:r>
    </w:p>
    <w:p w14:paraId="4DB8BA0A" w14:textId="77777777" w:rsidR="00497F61" w:rsidRPr="0099336B" w:rsidRDefault="00497F61" w:rsidP="0015746F">
      <w:pPr>
        <w:pStyle w:val="Refs0"/>
        <w:spacing w:line="240" w:lineRule="auto"/>
        <w:ind w:left="562" w:hanging="562"/>
        <w:rPr>
          <w:rFonts w:ascii="Times New Roman" w:hAnsi="Times New Roman"/>
        </w:rPr>
      </w:pPr>
      <w:r w:rsidRPr="0099336B">
        <w:rPr>
          <w:rFonts w:ascii="Times New Roman" w:hAnsi="Times New Roman"/>
        </w:rPr>
        <w:t xml:space="preserve">14. Black, T.H. </w:t>
      </w:r>
      <w:r w:rsidRPr="0099336B">
        <w:rPr>
          <w:rFonts w:ascii="Times New Roman" w:hAnsi="Times New Roman"/>
          <w:i/>
        </w:rPr>
        <w:t xml:space="preserve">Aldrichimica Acta </w:t>
      </w:r>
      <w:r w:rsidRPr="0099336B">
        <w:rPr>
          <w:rFonts w:ascii="Times New Roman" w:hAnsi="Times New Roman"/>
          <w:b/>
        </w:rPr>
        <w:t>1983</w:t>
      </w:r>
      <w:r w:rsidRPr="0099336B">
        <w:rPr>
          <w:rFonts w:ascii="Times New Roman" w:hAnsi="Times New Roman"/>
        </w:rPr>
        <w:t xml:space="preserve">, </w:t>
      </w:r>
      <w:r w:rsidRPr="0099336B">
        <w:rPr>
          <w:rFonts w:ascii="Times New Roman" w:hAnsi="Times New Roman"/>
          <w:i/>
        </w:rPr>
        <w:t>16(1)</w:t>
      </w:r>
      <w:r w:rsidRPr="0099336B">
        <w:rPr>
          <w:rFonts w:ascii="Times New Roman" w:hAnsi="Times New Roman"/>
        </w:rPr>
        <w:t>, 3.</w:t>
      </w:r>
    </w:p>
    <w:p w14:paraId="42C5F5D0" w14:textId="77777777" w:rsidR="00497F61" w:rsidRPr="0099336B" w:rsidRDefault="00497F61" w:rsidP="0015746F">
      <w:pPr>
        <w:pStyle w:val="Refs0"/>
        <w:spacing w:line="240" w:lineRule="auto"/>
        <w:ind w:left="562" w:hanging="562"/>
        <w:rPr>
          <w:rFonts w:ascii="Times New Roman" w:hAnsi="Times New Roman"/>
        </w:rPr>
      </w:pPr>
      <w:r w:rsidRPr="0099336B">
        <w:rPr>
          <w:rFonts w:ascii="Times New Roman" w:hAnsi="Times New Roman"/>
        </w:rPr>
        <w:t xml:space="preserve">15. Hodnett, N. S. </w:t>
      </w:r>
      <w:r w:rsidRPr="0099336B">
        <w:rPr>
          <w:rFonts w:ascii="Times New Roman" w:hAnsi="Times New Roman"/>
          <w:i/>
        </w:rPr>
        <w:t xml:space="preserve">SynLett </w:t>
      </w:r>
      <w:r w:rsidRPr="0099336B">
        <w:rPr>
          <w:rFonts w:ascii="Times New Roman" w:hAnsi="Times New Roman"/>
          <w:b/>
        </w:rPr>
        <w:t>2003</w:t>
      </w:r>
      <w:r w:rsidRPr="0099336B">
        <w:rPr>
          <w:rFonts w:ascii="Times New Roman" w:hAnsi="Times New Roman"/>
        </w:rPr>
        <w:t>, 2095.</w:t>
      </w:r>
    </w:p>
    <w:p w14:paraId="3F7400C8" w14:textId="77777777" w:rsidR="00497F61" w:rsidRPr="0099336B" w:rsidRDefault="00497F61" w:rsidP="0015746F">
      <w:pPr>
        <w:pStyle w:val="Refs0"/>
        <w:spacing w:line="240" w:lineRule="auto"/>
        <w:ind w:left="562" w:hanging="562"/>
        <w:rPr>
          <w:rFonts w:ascii="Times New Roman" w:hAnsi="Times New Roman"/>
        </w:rPr>
      </w:pPr>
      <w:r w:rsidRPr="0099336B">
        <w:rPr>
          <w:rFonts w:ascii="Times New Roman" w:hAnsi="Times New Roman"/>
        </w:rPr>
        <w:t xml:space="preserve">16. Duplantier, A. J.; Andresen, C. J.; Cheng, J. B.; Cohan, V. L.; Decker, C.; DiCapua, F. M.; Kraus, K. G.; Johnson, K. L.; Turner, C. R.; UmLand, J. P.; Watson, J. W.; Wester, R. T.; Williams, A. S.; Williams, J. A. </w:t>
      </w:r>
      <w:r w:rsidRPr="0099336B">
        <w:rPr>
          <w:rFonts w:ascii="Times New Roman" w:hAnsi="Times New Roman"/>
          <w:i/>
        </w:rPr>
        <w:t xml:space="preserve">J. Med. Chem. </w:t>
      </w:r>
      <w:r w:rsidRPr="0099336B">
        <w:rPr>
          <w:rFonts w:ascii="Times New Roman" w:hAnsi="Times New Roman"/>
          <w:b/>
        </w:rPr>
        <w:t>1998</w:t>
      </w:r>
      <w:r w:rsidRPr="0099336B">
        <w:rPr>
          <w:rFonts w:ascii="Times New Roman" w:hAnsi="Times New Roman"/>
        </w:rPr>
        <w:t xml:space="preserve">, </w:t>
      </w:r>
      <w:r w:rsidRPr="0099336B">
        <w:rPr>
          <w:rFonts w:ascii="Times New Roman" w:hAnsi="Times New Roman"/>
          <w:i/>
        </w:rPr>
        <w:t>41</w:t>
      </w:r>
      <w:r w:rsidRPr="0099336B">
        <w:rPr>
          <w:rFonts w:ascii="Times New Roman" w:hAnsi="Times New Roman"/>
        </w:rPr>
        <w:t>, 2268.</w:t>
      </w:r>
    </w:p>
    <w:p w14:paraId="604ED8CA" w14:textId="77777777" w:rsidR="00497F61" w:rsidRPr="0099336B" w:rsidRDefault="00497F61" w:rsidP="0015746F">
      <w:pPr>
        <w:pStyle w:val="Refs0"/>
        <w:spacing w:line="240" w:lineRule="auto"/>
        <w:ind w:left="562" w:hanging="562"/>
        <w:rPr>
          <w:rFonts w:ascii="Times New Roman" w:hAnsi="Times New Roman"/>
        </w:rPr>
      </w:pPr>
      <w:r w:rsidRPr="0099336B">
        <w:rPr>
          <w:rFonts w:ascii="Times New Roman" w:hAnsi="Times New Roman"/>
        </w:rPr>
        <w:t xml:space="preserve">17. Stanovnik, B.; Tisler, M.; Hribar, A.; Barlin, G. B.; Brown, D. J. </w:t>
      </w:r>
      <w:r w:rsidRPr="0099336B">
        <w:rPr>
          <w:rFonts w:ascii="Times New Roman" w:hAnsi="Times New Roman"/>
          <w:i/>
        </w:rPr>
        <w:t xml:space="preserve">Aust. J. Chem. </w:t>
      </w:r>
      <w:r w:rsidRPr="0099336B">
        <w:rPr>
          <w:rFonts w:ascii="Times New Roman" w:hAnsi="Times New Roman"/>
          <w:b/>
        </w:rPr>
        <w:t>1981</w:t>
      </w:r>
      <w:r w:rsidRPr="0099336B">
        <w:rPr>
          <w:rFonts w:ascii="Times New Roman" w:hAnsi="Times New Roman"/>
        </w:rPr>
        <w:t xml:space="preserve">, </w:t>
      </w:r>
      <w:r w:rsidRPr="0099336B">
        <w:rPr>
          <w:rFonts w:ascii="Times New Roman" w:hAnsi="Times New Roman"/>
          <w:i/>
        </w:rPr>
        <w:t>34</w:t>
      </w:r>
      <w:r w:rsidRPr="0099336B">
        <w:rPr>
          <w:rFonts w:ascii="Times New Roman" w:hAnsi="Times New Roman"/>
        </w:rPr>
        <w:t>, 1729.</w:t>
      </w:r>
    </w:p>
    <w:p w14:paraId="4BDF98F2" w14:textId="77777777" w:rsidR="00497F61" w:rsidRPr="0099336B" w:rsidRDefault="00497F61" w:rsidP="0015746F">
      <w:pPr>
        <w:pStyle w:val="Refs0"/>
        <w:spacing w:line="240" w:lineRule="auto"/>
        <w:ind w:left="562" w:hanging="562"/>
        <w:rPr>
          <w:rFonts w:ascii="Times New Roman" w:hAnsi="Times New Roman"/>
        </w:rPr>
      </w:pPr>
      <w:r w:rsidRPr="0099336B">
        <w:rPr>
          <w:rFonts w:ascii="Times New Roman" w:hAnsi="Times New Roman"/>
        </w:rPr>
        <w:t xml:space="preserve">18. Mohacsi, E. </w:t>
      </w:r>
      <w:r w:rsidRPr="0099336B">
        <w:rPr>
          <w:rFonts w:ascii="Times New Roman" w:hAnsi="Times New Roman"/>
          <w:i/>
        </w:rPr>
        <w:t xml:space="preserve">Synth. </w:t>
      </w:r>
      <w:proofErr w:type="gramStart"/>
      <w:r w:rsidRPr="0099336B">
        <w:rPr>
          <w:rFonts w:ascii="Times New Roman" w:hAnsi="Times New Roman"/>
          <w:i/>
        </w:rPr>
        <w:t>Commun</w:t>
      </w:r>
      <w:r w:rsidRPr="0099336B">
        <w:rPr>
          <w:rFonts w:ascii="Times New Roman" w:hAnsi="Times New Roman"/>
        </w:rPr>
        <w:t>.</w:t>
      </w:r>
      <w:proofErr w:type="gramEnd"/>
      <w:r w:rsidRPr="0099336B">
        <w:rPr>
          <w:rFonts w:ascii="Times New Roman" w:hAnsi="Times New Roman"/>
        </w:rPr>
        <w:t xml:space="preserve"> </w:t>
      </w:r>
      <w:proofErr w:type="gramStart"/>
      <w:r w:rsidRPr="0099336B">
        <w:rPr>
          <w:rFonts w:ascii="Times New Roman" w:hAnsi="Times New Roman"/>
          <w:b/>
        </w:rPr>
        <w:t>1982</w:t>
      </w:r>
      <w:r w:rsidRPr="0099336B">
        <w:rPr>
          <w:rFonts w:ascii="Times New Roman" w:hAnsi="Times New Roman"/>
        </w:rPr>
        <w:t xml:space="preserve">, </w:t>
      </w:r>
      <w:r w:rsidRPr="0099336B">
        <w:rPr>
          <w:rFonts w:ascii="Times New Roman" w:hAnsi="Times New Roman"/>
          <w:i/>
        </w:rPr>
        <w:t>12</w:t>
      </w:r>
      <w:r w:rsidRPr="0099336B">
        <w:rPr>
          <w:rFonts w:ascii="Times New Roman" w:hAnsi="Times New Roman"/>
        </w:rPr>
        <w:t>, 453.</w:t>
      </w:r>
      <w:proofErr w:type="gramEnd"/>
    </w:p>
    <w:p w14:paraId="5BFB5467" w14:textId="77777777" w:rsidR="00497F61" w:rsidRPr="0099336B" w:rsidRDefault="00497F61" w:rsidP="0015746F">
      <w:pPr>
        <w:pStyle w:val="Refs0"/>
        <w:spacing w:line="240" w:lineRule="auto"/>
        <w:ind w:left="562" w:hanging="562"/>
        <w:rPr>
          <w:rFonts w:ascii="Times New Roman" w:hAnsi="Times New Roman"/>
        </w:rPr>
      </w:pPr>
      <w:r w:rsidRPr="0099336B">
        <w:rPr>
          <w:rFonts w:ascii="Times New Roman" w:hAnsi="Times New Roman"/>
        </w:rPr>
        <w:t xml:space="preserve">19. Liu, Y. </w:t>
      </w:r>
      <w:r w:rsidRPr="0099336B">
        <w:rPr>
          <w:rFonts w:ascii="Times New Roman" w:hAnsi="Times New Roman"/>
          <w:i/>
        </w:rPr>
        <w:t xml:space="preserve">SynLett </w:t>
      </w:r>
      <w:r w:rsidRPr="0099336B">
        <w:rPr>
          <w:rFonts w:ascii="Times New Roman" w:hAnsi="Times New Roman"/>
          <w:b/>
        </w:rPr>
        <w:t>2009</w:t>
      </w:r>
      <w:r w:rsidRPr="0099336B">
        <w:rPr>
          <w:rFonts w:ascii="Times New Roman" w:hAnsi="Times New Roman"/>
        </w:rPr>
        <w:t xml:space="preserve">, </w:t>
      </w:r>
      <w:r w:rsidRPr="0099336B">
        <w:rPr>
          <w:rFonts w:ascii="Times New Roman" w:hAnsi="Times New Roman"/>
          <w:i/>
        </w:rPr>
        <w:t>8</w:t>
      </w:r>
      <w:r w:rsidRPr="0099336B">
        <w:rPr>
          <w:rFonts w:ascii="Times New Roman" w:hAnsi="Times New Roman"/>
        </w:rPr>
        <w:t>, 1353.</w:t>
      </w:r>
    </w:p>
    <w:p w14:paraId="53E1E11D" w14:textId="77777777" w:rsidR="00497F61" w:rsidRPr="0099336B" w:rsidRDefault="00497F61" w:rsidP="0015746F">
      <w:pPr>
        <w:pStyle w:val="Refs0"/>
        <w:spacing w:line="240" w:lineRule="auto"/>
        <w:ind w:left="562" w:hanging="562"/>
        <w:rPr>
          <w:rFonts w:ascii="Times New Roman" w:hAnsi="Times New Roman"/>
        </w:rPr>
      </w:pPr>
      <w:r w:rsidRPr="0099336B">
        <w:rPr>
          <w:rFonts w:ascii="Times New Roman" w:hAnsi="Times New Roman"/>
        </w:rPr>
        <w:t>20. Pastó, M.; Castejón, P. Moyano, A.; Pericás, M. A.; Riera, A</w:t>
      </w:r>
      <w:r w:rsidRPr="0099336B">
        <w:rPr>
          <w:rFonts w:ascii="Times New Roman" w:hAnsi="Times New Roman"/>
          <w:i/>
        </w:rPr>
        <w:t>. J. Org. Chem</w:t>
      </w:r>
      <w:r w:rsidRPr="0099336B">
        <w:rPr>
          <w:rFonts w:ascii="Times New Roman" w:hAnsi="Times New Roman"/>
        </w:rPr>
        <w:t xml:space="preserve">. </w:t>
      </w:r>
      <w:r w:rsidRPr="0099336B">
        <w:rPr>
          <w:rFonts w:ascii="Times New Roman" w:hAnsi="Times New Roman"/>
          <w:b/>
        </w:rPr>
        <w:t>1996</w:t>
      </w:r>
      <w:r w:rsidRPr="0099336B">
        <w:rPr>
          <w:rFonts w:ascii="Times New Roman" w:hAnsi="Times New Roman"/>
        </w:rPr>
        <w:t xml:space="preserve">, </w:t>
      </w:r>
      <w:r w:rsidRPr="0099336B">
        <w:rPr>
          <w:rFonts w:ascii="Times New Roman" w:hAnsi="Times New Roman"/>
          <w:i/>
        </w:rPr>
        <w:t>61</w:t>
      </w:r>
      <w:r w:rsidRPr="0099336B">
        <w:rPr>
          <w:rFonts w:ascii="Times New Roman" w:hAnsi="Times New Roman"/>
        </w:rPr>
        <w:t>, 6033.</w:t>
      </w:r>
    </w:p>
    <w:p w14:paraId="1B85EC61" w14:textId="77777777" w:rsidR="00497F61" w:rsidRPr="0099336B" w:rsidRDefault="00497F61" w:rsidP="0015746F">
      <w:pPr>
        <w:pStyle w:val="Refs0"/>
        <w:spacing w:line="240" w:lineRule="auto"/>
        <w:ind w:left="562" w:hanging="562"/>
        <w:rPr>
          <w:rFonts w:ascii="Times New Roman" w:hAnsi="Times New Roman"/>
        </w:rPr>
      </w:pPr>
      <w:r w:rsidRPr="0099336B">
        <w:rPr>
          <w:rFonts w:ascii="Times New Roman" w:hAnsi="Times New Roman"/>
        </w:rPr>
        <w:t xml:space="preserve">21. Hao, W.; Fujii, T.; Dong, T.; Wakai, Y.; Yoshimura, T. </w:t>
      </w:r>
      <w:r w:rsidRPr="0099336B">
        <w:rPr>
          <w:rFonts w:ascii="Times New Roman" w:hAnsi="Times New Roman"/>
          <w:i/>
        </w:rPr>
        <w:t>Heteroatom Chem</w:t>
      </w:r>
      <w:r w:rsidRPr="0099336B">
        <w:rPr>
          <w:rFonts w:ascii="Times New Roman" w:hAnsi="Times New Roman"/>
        </w:rPr>
        <w:t xml:space="preserve">. </w:t>
      </w:r>
      <w:r w:rsidRPr="0099336B">
        <w:rPr>
          <w:rFonts w:ascii="Times New Roman" w:hAnsi="Times New Roman"/>
          <w:b/>
        </w:rPr>
        <w:t>2004</w:t>
      </w:r>
      <w:r w:rsidRPr="0099336B">
        <w:rPr>
          <w:rFonts w:ascii="Times New Roman" w:hAnsi="Times New Roman"/>
        </w:rPr>
        <w:t xml:space="preserve">, </w:t>
      </w:r>
      <w:r w:rsidRPr="0099336B">
        <w:rPr>
          <w:rFonts w:ascii="Times New Roman" w:hAnsi="Times New Roman"/>
          <w:i/>
        </w:rPr>
        <w:t>15</w:t>
      </w:r>
      <w:r w:rsidRPr="0099336B">
        <w:rPr>
          <w:rFonts w:ascii="Times New Roman" w:hAnsi="Times New Roman"/>
        </w:rPr>
        <w:t>, 193.</w:t>
      </w:r>
    </w:p>
    <w:p w14:paraId="7BCA0CB7" w14:textId="77777777" w:rsidR="00497F61" w:rsidRPr="0099336B" w:rsidRDefault="00497F61" w:rsidP="0015746F">
      <w:pPr>
        <w:pStyle w:val="Refs0"/>
        <w:spacing w:line="240" w:lineRule="auto"/>
        <w:ind w:left="562" w:hanging="562"/>
        <w:rPr>
          <w:rFonts w:ascii="Times New Roman" w:hAnsi="Times New Roman"/>
        </w:rPr>
      </w:pPr>
      <w:r w:rsidRPr="0099336B">
        <w:rPr>
          <w:rFonts w:ascii="Times New Roman" w:hAnsi="Times New Roman"/>
        </w:rPr>
        <w:t xml:space="preserve">22. Boivin, J.; Henriet, E.; Zard, S. Z. </w:t>
      </w:r>
      <w:r w:rsidRPr="0099336B">
        <w:rPr>
          <w:rFonts w:ascii="Times New Roman" w:hAnsi="Times New Roman"/>
          <w:i/>
        </w:rPr>
        <w:t>J. Am. Chem. Soc</w:t>
      </w:r>
      <w:r w:rsidRPr="0099336B">
        <w:rPr>
          <w:rFonts w:ascii="Times New Roman" w:hAnsi="Times New Roman"/>
        </w:rPr>
        <w:t xml:space="preserve">. </w:t>
      </w:r>
      <w:r w:rsidRPr="0099336B">
        <w:rPr>
          <w:rFonts w:ascii="Times New Roman" w:hAnsi="Times New Roman"/>
          <w:b/>
        </w:rPr>
        <w:t>1994</w:t>
      </w:r>
      <w:r w:rsidRPr="0099336B">
        <w:rPr>
          <w:rFonts w:ascii="Times New Roman" w:hAnsi="Times New Roman"/>
        </w:rPr>
        <w:t xml:space="preserve">, </w:t>
      </w:r>
      <w:r w:rsidRPr="0099336B">
        <w:rPr>
          <w:rFonts w:ascii="Times New Roman" w:hAnsi="Times New Roman"/>
          <w:i/>
        </w:rPr>
        <w:t>116</w:t>
      </w:r>
      <w:r w:rsidRPr="0099336B">
        <w:rPr>
          <w:rFonts w:ascii="Times New Roman" w:hAnsi="Times New Roman"/>
        </w:rPr>
        <w:t>, 9739.</w:t>
      </w:r>
    </w:p>
    <w:p w14:paraId="1156D3A0" w14:textId="77777777" w:rsidR="00497F61" w:rsidRPr="0099336B" w:rsidRDefault="00497F61" w:rsidP="0015746F">
      <w:pPr>
        <w:pStyle w:val="Refs0"/>
        <w:spacing w:line="240" w:lineRule="auto"/>
        <w:ind w:left="562" w:hanging="562"/>
        <w:rPr>
          <w:rFonts w:ascii="Times New Roman" w:hAnsi="Times New Roman"/>
        </w:rPr>
      </w:pPr>
      <w:r w:rsidRPr="0099336B">
        <w:rPr>
          <w:rFonts w:ascii="Times New Roman" w:hAnsi="Times New Roman"/>
        </w:rPr>
        <w:t>23. Rathman, T. L.; Araki, S.; Hirashita, T. e-EROS Encyclopedia of Reagents for Organic Synthesis (2006).</w:t>
      </w:r>
    </w:p>
    <w:p w14:paraId="7143C232" w14:textId="24B5A82A" w:rsidR="00A722E2" w:rsidRPr="00FD4EE9" w:rsidRDefault="00497F61" w:rsidP="00A722E2">
      <w:r w:rsidRPr="0099336B">
        <w:t xml:space="preserve">24. Sakai, S.; Jordan, K. D. </w:t>
      </w:r>
      <w:r w:rsidRPr="0099336B">
        <w:rPr>
          <w:i/>
        </w:rPr>
        <w:t xml:space="preserve">J. Am. Chem. Soc. </w:t>
      </w:r>
      <w:r w:rsidRPr="0099336B">
        <w:rPr>
          <w:b/>
        </w:rPr>
        <w:t>1982</w:t>
      </w:r>
      <w:r w:rsidRPr="0099336B">
        <w:t xml:space="preserve">, </w:t>
      </w:r>
      <w:r w:rsidRPr="0099336B">
        <w:rPr>
          <w:i/>
        </w:rPr>
        <w:t>104</w:t>
      </w:r>
      <w:r w:rsidRPr="0099336B">
        <w:t>, 4019.</w:t>
      </w:r>
      <w:r w:rsidR="00A722E2" w:rsidRPr="00FD4EE9">
        <w:br w:type="page"/>
      </w:r>
    </w:p>
    <w:p w14:paraId="4F7DDA9F" w14:textId="77777777" w:rsidR="00AD4B2A" w:rsidRDefault="009501A1" w:rsidP="00413E4A">
      <w:pPr>
        <w:pStyle w:val="Heading1"/>
        <w:rPr>
          <w:rStyle w:val="Heading1Char2"/>
          <w:rFonts w:ascii="Times New Roman" w:hAnsi="Times New Roman"/>
        </w:rPr>
      </w:pPr>
      <w:bookmarkStart w:id="224" w:name="_Toc295406142"/>
      <w:bookmarkStart w:id="225" w:name="_Toc484164371"/>
      <w:r w:rsidRPr="00FD4EE9">
        <w:rPr>
          <w:rStyle w:val="Heading1Char2"/>
          <w:rFonts w:ascii="Times New Roman" w:hAnsi="Times New Roman"/>
        </w:rPr>
        <w:lastRenderedPageBreak/>
        <w:t>6</w:t>
      </w:r>
      <w:r w:rsidR="002D15FF" w:rsidRPr="00FD4EE9">
        <w:rPr>
          <w:rStyle w:val="Heading1Char2"/>
          <w:rFonts w:ascii="Times New Roman" w:hAnsi="Times New Roman"/>
        </w:rPr>
        <w:tab/>
      </w:r>
      <w:r w:rsidR="00591AA8" w:rsidRPr="00FD4EE9">
        <w:rPr>
          <w:rStyle w:val="Heading1Char2"/>
          <w:rFonts w:ascii="Times New Roman" w:hAnsi="Times New Roman"/>
        </w:rPr>
        <w:t>Refrigeration, Air Conditioning and Heat Pumps TOC (RTOC)</w:t>
      </w:r>
      <w:bookmarkEnd w:id="123"/>
      <w:bookmarkEnd w:id="224"/>
      <w:r w:rsidR="00591AA8" w:rsidRPr="00FD4EE9">
        <w:rPr>
          <w:rStyle w:val="Heading1Char2"/>
          <w:rFonts w:ascii="Times New Roman" w:hAnsi="Times New Roman"/>
        </w:rPr>
        <w:t xml:space="preserve"> </w:t>
      </w:r>
      <w:r w:rsidR="00E70C38" w:rsidRPr="00FD4EE9">
        <w:rPr>
          <w:rStyle w:val="Heading1Char2"/>
          <w:rFonts w:ascii="Times New Roman" w:hAnsi="Times New Roman"/>
        </w:rPr>
        <w:t>Progress Report</w:t>
      </w:r>
      <w:bookmarkEnd w:id="225"/>
    </w:p>
    <w:p w14:paraId="4A24FCC5" w14:textId="07CA4E6C" w:rsidR="00CF01A0" w:rsidRPr="00147A78" w:rsidRDefault="00BF5037" w:rsidP="00413E4A">
      <w:pPr>
        <w:pStyle w:val="Heading2"/>
      </w:pPr>
      <w:bookmarkStart w:id="226" w:name="_Toc484164372"/>
      <w:r>
        <w:t>6.1.</w:t>
      </w:r>
      <w:r>
        <w:tab/>
      </w:r>
      <w:r w:rsidR="00CF01A0" w:rsidRPr="00147A78">
        <w:t>Introduction</w:t>
      </w:r>
      <w:bookmarkEnd w:id="226"/>
      <w:r w:rsidR="00CF01A0" w:rsidRPr="00147A78">
        <w:t xml:space="preserve"> </w:t>
      </w:r>
    </w:p>
    <w:p w14:paraId="0801E63D" w14:textId="49EE11D5" w:rsidR="00CF01A0" w:rsidRPr="00FD5ABF" w:rsidRDefault="00CF01A0" w:rsidP="00A140B1">
      <w:pPr>
        <w:widowControl w:val="0"/>
        <w:autoSpaceDE w:val="0"/>
        <w:autoSpaceDN w:val="0"/>
        <w:adjustRightInd w:val="0"/>
        <w:rPr>
          <w:szCs w:val="22"/>
        </w:rPr>
      </w:pPr>
      <w:r w:rsidRPr="00FD5ABF">
        <w:rPr>
          <w:szCs w:val="22"/>
        </w:rPr>
        <w:t>In March 2017, the RTOC met at Amman in Jordan. Attending members were from non-A5 Parties:</w:t>
      </w:r>
      <w:r>
        <w:rPr>
          <w:szCs w:val="22"/>
        </w:rPr>
        <w:t xml:space="preserve"> </w:t>
      </w:r>
      <w:r w:rsidRPr="00FD5ABF">
        <w:rPr>
          <w:szCs w:val="22"/>
        </w:rPr>
        <w:t>Czech Republic, Denmark, Germany, Italy, Japan, The Netherlands, Norway, UK, United States (</w:t>
      </w:r>
      <w:r w:rsidR="0070607D">
        <w:rPr>
          <w:szCs w:val="22"/>
        </w:rPr>
        <w:t>US</w:t>
      </w:r>
      <w:r w:rsidRPr="00FD5ABF">
        <w:rPr>
          <w:szCs w:val="22"/>
        </w:rPr>
        <w:t xml:space="preserve">), and from Article 5 Parties: Brazil, China, Egypt, India, Jamaica, Jordan, Lebanon and Saudi Arabia. </w:t>
      </w:r>
    </w:p>
    <w:p w14:paraId="4BEA6F60" w14:textId="4D5DD950" w:rsidR="00CF01A0" w:rsidRPr="00FD5ABF" w:rsidRDefault="00EF3582" w:rsidP="00357734">
      <w:pPr>
        <w:widowControl w:val="0"/>
        <w:autoSpaceDE w:val="0"/>
        <w:autoSpaceDN w:val="0"/>
        <w:adjustRightInd w:val="0"/>
        <w:rPr>
          <w:szCs w:val="22"/>
        </w:rPr>
      </w:pPr>
      <w:r w:rsidRPr="00FD5ABF">
        <w:rPr>
          <w:szCs w:val="22"/>
        </w:rPr>
        <w:t xml:space="preserve">The main purposes of the meeting were: (1) to update the RTOC members on the discussions and outcomes of Montreal Protocol meetings, (2) to illustrate the progress of the Task Force </w:t>
      </w:r>
      <w:r>
        <w:rPr>
          <w:szCs w:val="22"/>
        </w:rPr>
        <w:t xml:space="preserve">Decision </w:t>
      </w:r>
      <w:r w:rsidRPr="00FD5ABF">
        <w:rPr>
          <w:szCs w:val="22"/>
        </w:rPr>
        <w:t xml:space="preserve">XXVIII/4 </w:t>
      </w:r>
      <w:r w:rsidRPr="004137C2">
        <w:rPr>
          <w:i/>
          <w:szCs w:val="22"/>
        </w:rPr>
        <w:t>Establisment of regular consultations on safety standards</w:t>
      </w:r>
      <w:r>
        <w:rPr>
          <w:szCs w:val="22"/>
        </w:rPr>
        <w:t xml:space="preserve"> </w:t>
      </w:r>
      <w:r w:rsidRPr="00FD5ABF">
        <w:rPr>
          <w:szCs w:val="22"/>
        </w:rPr>
        <w:t xml:space="preserve">work, (3) to finish the 2017 RTOC Progress Report and (4) </w:t>
      </w:r>
      <w:r>
        <w:rPr>
          <w:szCs w:val="22"/>
        </w:rPr>
        <w:t>t</w:t>
      </w:r>
      <w:r w:rsidRPr="00FD5ABF">
        <w:rPr>
          <w:szCs w:val="22"/>
        </w:rPr>
        <w:t>o continue the work for the 2018 RTOC Assessment Report in terms of content and organization. The contents of the several chapters were reviewed as well the chapter’s membership</w:t>
      </w:r>
      <w:r w:rsidR="00CF01A0" w:rsidRPr="00FD5ABF">
        <w:rPr>
          <w:szCs w:val="22"/>
        </w:rPr>
        <w:t xml:space="preserve">. </w:t>
      </w:r>
    </w:p>
    <w:p w14:paraId="7BBF9F12" w14:textId="77777777" w:rsidR="00CF01A0" w:rsidRPr="00FD5ABF" w:rsidRDefault="00CF01A0" w:rsidP="00A140B1">
      <w:pPr>
        <w:widowControl w:val="0"/>
        <w:autoSpaceDE w:val="0"/>
        <w:autoSpaceDN w:val="0"/>
        <w:adjustRightInd w:val="0"/>
        <w:rPr>
          <w:szCs w:val="22"/>
        </w:rPr>
      </w:pPr>
      <w:r w:rsidRPr="00FD5ABF">
        <w:rPr>
          <w:szCs w:val="22"/>
        </w:rPr>
        <w:t xml:space="preserve">The co-chairs announced the appointment of one new member from non-A5 Party (i.e., UK). The membership of RTOC at the time of the meeting stood </w:t>
      </w:r>
      <w:r w:rsidRPr="002402EF">
        <w:rPr>
          <w:szCs w:val="22"/>
        </w:rPr>
        <w:t>at 38 members.</w:t>
      </w:r>
      <w:r w:rsidRPr="00FD5ABF">
        <w:rPr>
          <w:szCs w:val="22"/>
        </w:rPr>
        <w:t xml:space="preserve"> </w:t>
      </w:r>
    </w:p>
    <w:p w14:paraId="014676A5" w14:textId="77777777" w:rsidR="00CF01A0" w:rsidRPr="00FD5ABF" w:rsidRDefault="00CF01A0" w:rsidP="00A140B1">
      <w:pPr>
        <w:widowControl w:val="0"/>
        <w:autoSpaceDE w:val="0"/>
        <w:autoSpaceDN w:val="0"/>
        <w:adjustRightInd w:val="0"/>
        <w:rPr>
          <w:szCs w:val="22"/>
        </w:rPr>
      </w:pPr>
      <w:r w:rsidRPr="00FD5ABF">
        <w:rPr>
          <w:szCs w:val="22"/>
        </w:rPr>
        <w:t xml:space="preserve">Discussion among members focused on the progress report to be released within several weeks after the meeting, the XXVIII/4 report and the assessment report. </w:t>
      </w:r>
    </w:p>
    <w:p w14:paraId="07424A39" w14:textId="4B2B205E" w:rsidR="00CF01A0" w:rsidRPr="00FD5ABF" w:rsidRDefault="00CF01A0" w:rsidP="00A140B1">
      <w:pPr>
        <w:widowControl w:val="0"/>
        <w:autoSpaceDE w:val="0"/>
        <w:autoSpaceDN w:val="0"/>
        <w:adjustRightInd w:val="0"/>
        <w:rPr>
          <w:szCs w:val="22"/>
        </w:rPr>
      </w:pPr>
      <w:r w:rsidRPr="00FD5ABF">
        <w:rPr>
          <w:szCs w:val="22"/>
        </w:rPr>
        <w:t xml:space="preserve">In order to improve the communication among RTOC members a new web based system, supported by </w:t>
      </w:r>
      <w:r w:rsidR="00EF3582">
        <w:rPr>
          <w:szCs w:val="22"/>
        </w:rPr>
        <w:t xml:space="preserve">the </w:t>
      </w:r>
      <w:r w:rsidRPr="00FD5ABF">
        <w:rPr>
          <w:szCs w:val="22"/>
        </w:rPr>
        <w:t xml:space="preserve">Ozone Secretariat, is being established and it was described to the members </w:t>
      </w:r>
    </w:p>
    <w:p w14:paraId="15261B9E" w14:textId="77777777" w:rsidR="00CF01A0" w:rsidRPr="00FD5ABF" w:rsidRDefault="00CF01A0" w:rsidP="00A140B1">
      <w:pPr>
        <w:widowControl w:val="0"/>
        <w:autoSpaceDE w:val="0"/>
        <w:autoSpaceDN w:val="0"/>
        <w:adjustRightInd w:val="0"/>
        <w:rPr>
          <w:szCs w:val="22"/>
        </w:rPr>
      </w:pPr>
      <w:r w:rsidRPr="00FD5ABF">
        <w:rPr>
          <w:szCs w:val="22"/>
        </w:rPr>
        <w:t xml:space="preserve">In the following sections, the status of the different sub-sectors (chapters in the RTOC assessment report) is reported, focusing on updates to the technology. </w:t>
      </w:r>
    </w:p>
    <w:p w14:paraId="3F898598" w14:textId="772F38DB" w:rsidR="00CF01A0" w:rsidRPr="00FD5ABF" w:rsidRDefault="00BF5037" w:rsidP="00413E4A">
      <w:pPr>
        <w:pStyle w:val="Heading2"/>
      </w:pPr>
      <w:bookmarkStart w:id="227" w:name="_Toc484164373"/>
      <w:r>
        <w:t>6.2.</w:t>
      </w:r>
      <w:r>
        <w:tab/>
      </w:r>
      <w:r w:rsidR="00CF01A0" w:rsidRPr="00F00B48">
        <w:t>Refrigerants</w:t>
      </w:r>
      <w:bookmarkEnd w:id="227"/>
    </w:p>
    <w:p w14:paraId="64FC69D1" w14:textId="2466C395" w:rsidR="00EF3582" w:rsidRPr="00FD5ABF" w:rsidRDefault="00EF3582" w:rsidP="00A140B1">
      <w:pPr>
        <w:rPr>
          <w:szCs w:val="22"/>
        </w:rPr>
      </w:pPr>
      <w:r>
        <w:rPr>
          <w:szCs w:val="22"/>
        </w:rPr>
        <w:t>In</w:t>
      </w:r>
      <w:r w:rsidRPr="00FD5ABF">
        <w:rPr>
          <w:szCs w:val="22"/>
        </w:rPr>
        <w:t xml:space="preserve"> recent years </w:t>
      </w:r>
      <w:r>
        <w:rPr>
          <w:szCs w:val="22"/>
        </w:rPr>
        <w:t xml:space="preserve">there </w:t>
      </w:r>
      <w:r w:rsidRPr="00FD5ABF">
        <w:rPr>
          <w:szCs w:val="22"/>
        </w:rPr>
        <w:t>has been a focus on unsaturated fluorochemicals (HFOs)</w:t>
      </w:r>
      <w:r>
        <w:rPr>
          <w:szCs w:val="22"/>
        </w:rPr>
        <w:t xml:space="preserve"> alone, or in </w:t>
      </w:r>
      <w:r w:rsidRPr="00FD5ABF">
        <w:rPr>
          <w:szCs w:val="22"/>
        </w:rPr>
        <w:t>blends with saturated HFCs, to replace fluids with high</w:t>
      </w:r>
      <w:r>
        <w:rPr>
          <w:szCs w:val="22"/>
        </w:rPr>
        <w:t>-</w:t>
      </w:r>
      <w:r w:rsidRPr="00FD5ABF">
        <w:rPr>
          <w:szCs w:val="22"/>
        </w:rPr>
        <w:t>GWP. The use of HCs, R</w:t>
      </w:r>
      <w:r>
        <w:rPr>
          <w:szCs w:val="22"/>
        </w:rPr>
        <w:t>-</w:t>
      </w:r>
      <w:r w:rsidRPr="00FD5ABF">
        <w:rPr>
          <w:szCs w:val="22"/>
        </w:rPr>
        <w:t>717 (ammonia), and R</w:t>
      </w:r>
      <w:r>
        <w:rPr>
          <w:szCs w:val="22"/>
        </w:rPr>
        <w:t>-</w:t>
      </w:r>
      <w:r w:rsidRPr="00FD5ABF">
        <w:rPr>
          <w:szCs w:val="22"/>
        </w:rPr>
        <w:t>744 (carbon dioxide) continues. Interest also continues for R</w:t>
      </w:r>
      <w:r>
        <w:rPr>
          <w:szCs w:val="22"/>
        </w:rPr>
        <w:t>-</w:t>
      </w:r>
      <w:r w:rsidRPr="00FD5ABF">
        <w:rPr>
          <w:szCs w:val="22"/>
        </w:rPr>
        <w:t>718 (water) and R</w:t>
      </w:r>
      <w:r>
        <w:rPr>
          <w:szCs w:val="22"/>
        </w:rPr>
        <w:t>-</w:t>
      </w:r>
      <w:r w:rsidRPr="00FD5ABF">
        <w:rPr>
          <w:szCs w:val="22"/>
        </w:rPr>
        <w:t>728 (air).</w:t>
      </w:r>
    </w:p>
    <w:p w14:paraId="66B7B39E" w14:textId="31D87132" w:rsidR="00CF01A0" w:rsidRPr="00FD5ABF" w:rsidRDefault="00CF01A0" w:rsidP="00A140B1">
      <w:pPr>
        <w:rPr>
          <w:szCs w:val="22"/>
        </w:rPr>
      </w:pPr>
      <w:r w:rsidRPr="00FD5ABF">
        <w:rPr>
          <w:szCs w:val="22"/>
        </w:rPr>
        <w:t xml:space="preserve">Since the publication of the RTOC 2014 Assessment Report, </w:t>
      </w:r>
      <w:r>
        <w:rPr>
          <w:szCs w:val="22"/>
        </w:rPr>
        <w:t xml:space="preserve">over </w:t>
      </w:r>
      <w:r w:rsidRPr="00FD5ABF">
        <w:rPr>
          <w:szCs w:val="22"/>
        </w:rPr>
        <w:t>23 new refrigerants</w:t>
      </w:r>
      <w:r>
        <w:rPr>
          <w:szCs w:val="22"/>
        </w:rPr>
        <w:t xml:space="preserve"> (21</w:t>
      </w:r>
      <w:r w:rsidRPr="00FD5ABF">
        <w:rPr>
          <w:szCs w:val="22"/>
        </w:rPr>
        <w:t xml:space="preserve"> blends</w:t>
      </w:r>
      <w:r>
        <w:rPr>
          <w:szCs w:val="22"/>
        </w:rPr>
        <w:t>)</w:t>
      </w:r>
      <w:r w:rsidRPr="00FD5ABF">
        <w:rPr>
          <w:szCs w:val="22"/>
        </w:rPr>
        <w:t xml:space="preserve">, have </w:t>
      </w:r>
      <w:r>
        <w:rPr>
          <w:szCs w:val="22"/>
        </w:rPr>
        <w:t xml:space="preserve">been classified in the </w:t>
      </w:r>
      <w:r w:rsidRPr="00FD5ABF">
        <w:rPr>
          <w:szCs w:val="22"/>
        </w:rPr>
        <w:t xml:space="preserve">American Society of Heating, Refrigerating, and Air-Conditioning Engineers (ASHRAE) Standard 34 with anticipated adoption </w:t>
      </w:r>
      <w:r>
        <w:rPr>
          <w:szCs w:val="22"/>
        </w:rPr>
        <w:t xml:space="preserve">by the </w:t>
      </w:r>
      <w:r w:rsidRPr="00FD5ABF">
        <w:rPr>
          <w:szCs w:val="22"/>
        </w:rPr>
        <w:t xml:space="preserve">International </w:t>
      </w:r>
      <w:r w:rsidR="009C7E14">
        <w:rPr>
          <w:szCs w:val="22"/>
        </w:rPr>
        <w:t xml:space="preserve">Organisation for </w:t>
      </w:r>
      <w:r w:rsidRPr="00FD5ABF">
        <w:rPr>
          <w:szCs w:val="22"/>
        </w:rPr>
        <w:t>Standar</w:t>
      </w:r>
      <w:r w:rsidR="009C7E14">
        <w:rPr>
          <w:szCs w:val="22"/>
        </w:rPr>
        <w:t>i</w:t>
      </w:r>
      <w:r w:rsidRPr="00FD5ABF">
        <w:rPr>
          <w:szCs w:val="22"/>
        </w:rPr>
        <w:t xml:space="preserve">sation (ISO) 817. 16 of these refrigerants were listed in the </w:t>
      </w:r>
      <w:r w:rsidR="00EF3582">
        <w:rPr>
          <w:szCs w:val="22"/>
        </w:rPr>
        <w:t xml:space="preserve">RTOC </w:t>
      </w:r>
      <w:r w:rsidRPr="00FD5ABF">
        <w:rPr>
          <w:szCs w:val="22"/>
        </w:rPr>
        <w:t>2016 progress report.</w:t>
      </w:r>
      <w:r>
        <w:rPr>
          <w:szCs w:val="22"/>
        </w:rPr>
        <w:t xml:space="preserve"> T</w:t>
      </w:r>
      <w:r w:rsidRPr="00FD5ABF">
        <w:rPr>
          <w:szCs w:val="22"/>
        </w:rPr>
        <w:t xml:space="preserve">he two single-compound refrigerants, HFO </w:t>
      </w:r>
      <w:proofErr w:type="gramStart"/>
      <w:r w:rsidRPr="00FD5ABF">
        <w:rPr>
          <w:szCs w:val="22"/>
        </w:rPr>
        <w:t>1336mzz(</w:t>
      </w:r>
      <w:proofErr w:type="gramEnd"/>
      <w:r w:rsidRPr="00FD5ABF">
        <w:rPr>
          <w:szCs w:val="22"/>
        </w:rPr>
        <w:t>Z) and HCC</w:t>
      </w:r>
      <w:r w:rsidR="00EF3582">
        <w:rPr>
          <w:szCs w:val="22"/>
        </w:rPr>
        <w:t>-</w:t>
      </w:r>
      <w:r w:rsidRPr="00FD5ABF">
        <w:rPr>
          <w:szCs w:val="22"/>
        </w:rPr>
        <w:t xml:space="preserve">1130(E), are low-pressure fluids not yet commercially produced in significant quantities. With the exception of the fluid R-514A, which is a blend of </w:t>
      </w:r>
      <w:r>
        <w:rPr>
          <w:szCs w:val="22"/>
        </w:rPr>
        <w:t>these</w:t>
      </w:r>
      <w:r w:rsidRPr="00FD5ABF">
        <w:rPr>
          <w:szCs w:val="22"/>
        </w:rPr>
        <w:t xml:space="preserve"> two new single compound refrigerants, the other fluids are blends of components already included in the standards</w:t>
      </w:r>
      <w:r>
        <w:rPr>
          <w:szCs w:val="22"/>
        </w:rPr>
        <w:t>. The new blends are: R-407G, R-447B, R-449B, R-449C, R-452B, R-452C, R-453A, R-454A, R 454B, R-454C, R-455A, R-456A, R-457A, R-458A, R-459A, R-459B, R-460A, R-460B, R-513B, R-514A, and R-</w:t>
      </w:r>
      <w:r w:rsidRPr="00FD5ABF">
        <w:rPr>
          <w:szCs w:val="22"/>
        </w:rPr>
        <w:t xml:space="preserve">515A. </w:t>
      </w:r>
    </w:p>
    <w:p w14:paraId="3072AB50" w14:textId="58130F2F" w:rsidR="00CF01A0" w:rsidRDefault="00CF01A0" w:rsidP="00357734">
      <w:pPr>
        <w:rPr>
          <w:szCs w:val="22"/>
        </w:rPr>
      </w:pPr>
      <w:r w:rsidRPr="00FD5ABF">
        <w:rPr>
          <w:szCs w:val="22"/>
        </w:rPr>
        <w:t xml:space="preserve">The new fluids are listed in table </w:t>
      </w:r>
      <w:r w:rsidR="00357734">
        <w:rPr>
          <w:szCs w:val="22"/>
        </w:rPr>
        <w:t>6</w:t>
      </w:r>
      <w:r w:rsidRPr="00FD5ABF">
        <w:rPr>
          <w:szCs w:val="22"/>
        </w:rPr>
        <w:t xml:space="preserve">.1, </w:t>
      </w:r>
      <w:r w:rsidR="00357734">
        <w:rPr>
          <w:szCs w:val="22"/>
        </w:rPr>
        <w:t>6</w:t>
      </w:r>
      <w:r w:rsidRPr="00FD5ABF">
        <w:rPr>
          <w:szCs w:val="22"/>
        </w:rPr>
        <w:t xml:space="preserve">.2, and </w:t>
      </w:r>
      <w:r w:rsidR="00357734">
        <w:rPr>
          <w:szCs w:val="22"/>
        </w:rPr>
        <w:t>6</w:t>
      </w:r>
      <w:r w:rsidRPr="00FD5ABF">
        <w:rPr>
          <w:szCs w:val="22"/>
        </w:rPr>
        <w:t>.3, with GWP calculated as in the RTOC 2014 Assessment Report.</w:t>
      </w:r>
    </w:p>
    <w:p w14:paraId="791D627C" w14:textId="77777777" w:rsidR="00EF3582" w:rsidRPr="00FD5ABF" w:rsidRDefault="00EF3582" w:rsidP="00A140B1">
      <w:pPr>
        <w:rPr>
          <w:szCs w:val="22"/>
        </w:rPr>
      </w:pPr>
    </w:p>
    <w:p w14:paraId="6604C158" w14:textId="21418C51" w:rsidR="00CF01A0" w:rsidRPr="000B3584" w:rsidRDefault="00CF01A0" w:rsidP="0015746F">
      <w:pPr>
        <w:keepNext/>
        <w:keepLines/>
        <w:rPr>
          <w:b/>
          <w:sz w:val="24"/>
          <w:szCs w:val="24"/>
          <w:lang w:eastAsia="en-GB"/>
        </w:rPr>
      </w:pPr>
      <w:proofErr w:type="gramStart"/>
      <w:r w:rsidRPr="000B3584">
        <w:rPr>
          <w:b/>
          <w:i/>
          <w:sz w:val="24"/>
          <w:szCs w:val="24"/>
          <w:lang w:eastAsia="en-GB"/>
        </w:rPr>
        <w:lastRenderedPageBreak/>
        <w:t xml:space="preserve">Table </w:t>
      </w:r>
      <w:r w:rsidR="000B3584" w:rsidRPr="000B3584">
        <w:rPr>
          <w:b/>
          <w:i/>
          <w:sz w:val="24"/>
          <w:szCs w:val="24"/>
          <w:lang w:eastAsia="en-GB"/>
        </w:rPr>
        <w:t>6.</w:t>
      </w:r>
      <w:r w:rsidRPr="000B3584">
        <w:rPr>
          <w:b/>
          <w:i/>
          <w:sz w:val="24"/>
          <w:szCs w:val="24"/>
          <w:lang w:eastAsia="en-GB"/>
        </w:rPr>
        <w:t>1</w:t>
      </w:r>
      <w:r w:rsidR="000B3584" w:rsidRPr="000B3584">
        <w:rPr>
          <w:b/>
          <w:i/>
          <w:sz w:val="24"/>
          <w:szCs w:val="24"/>
          <w:lang w:eastAsia="en-GB"/>
        </w:rPr>
        <w:t>.</w:t>
      </w:r>
      <w:proofErr w:type="gramEnd"/>
      <w:r w:rsidRPr="000B3584">
        <w:rPr>
          <w:b/>
          <w:i/>
          <w:sz w:val="24"/>
          <w:szCs w:val="24"/>
          <w:lang w:eastAsia="en-GB"/>
        </w:rPr>
        <w:t xml:space="preserve"> Single-compound refrigerants</w:t>
      </w:r>
    </w:p>
    <w:tbl>
      <w:tblPr>
        <w:tblStyle w:val="MediumShading1-Accent5"/>
        <w:tblW w:w="9001" w:type="dxa"/>
        <w:tblLayout w:type="fixed"/>
        <w:tblLook w:val="04A0" w:firstRow="1" w:lastRow="0" w:firstColumn="1" w:lastColumn="0" w:noHBand="0" w:noVBand="1"/>
      </w:tblPr>
      <w:tblGrid>
        <w:gridCol w:w="1276"/>
        <w:gridCol w:w="1701"/>
        <w:gridCol w:w="1901"/>
        <w:gridCol w:w="1134"/>
        <w:gridCol w:w="850"/>
        <w:gridCol w:w="722"/>
        <w:gridCol w:w="709"/>
        <w:gridCol w:w="708"/>
      </w:tblGrid>
      <w:tr w:rsidR="00CF01A0" w:rsidRPr="003A5626" w14:paraId="5CBADE14" w14:textId="77777777" w:rsidTr="008D06EA">
        <w:trPr>
          <w:cnfStyle w:val="100000000000" w:firstRow="1" w:lastRow="0" w:firstColumn="0" w:lastColumn="0" w:oddVBand="0" w:evenVBand="0" w:oddHBand="0"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1276" w:type="dxa"/>
            <w:hideMark/>
          </w:tcPr>
          <w:p w14:paraId="5F7A3977" w14:textId="77777777" w:rsidR="00CF01A0" w:rsidRPr="003A5626" w:rsidRDefault="00CF01A0" w:rsidP="00CF01A0">
            <w:pPr>
              <w:rPr>
                <w:rFonts w:eastAsia="Times New Roman" w:cs="Times New Roman"/>
                <w:b w:val="0"/>
                <w:bCs w:val="0"/>
                <w:sz w:val="20"/>
                <w:szCs w:val="20"/>
                <w:lang w:eastAsia="en-GB"/>
              </w:rPr>
            </w:pPr>
            <w:r w:rsidRPr="003A5626">
              <w:rPr>
                <w:rFonts w:eastAsia="Times New Roman" w:cs="Times New Roman"/>
                <w:b w:val="0"/>
                <w:bCs w:val="0"/>
                <w:sz w:val="20"/>
                <w:szCs w:val="20"/>
                <w:lang w:eastAsia="en-GB"/>
              </w:rPr>
              <w:t>Refrigerant Number</w:t>
            </w:r>
          </w:p>
        </w:tc>
        <w:tc>
          <w:tcPr>
            <w:tcW w:w="1701" w:type="dxa"/>
            <w:hideMark/>
          </w:tcPr>
          <w:p w14:paraId="6EFB64AB" w14:textId="77777777" w:rsidR="00CF01A0" w:rsidRPr="003A5626" w:rsidRDefault="00CF01A0" w:rsidP="00CF01A0">
            <w:pP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 w:val="20"/>
                <w:szCs w:val="20"/>
                <w:lang w:eastAsia="en-GB"/>
              </w:rPr>
            </w:pPr>
            <w:r w:rsidRPr="003A5626">
              <w:rPr>
                <w:rFonts w:eastAsia="Times New Roman" w:cs="Times New Roman"/>
                <w:b w:val="0"/>
                <w:bCs w:val="0"/>
                <w:sz w:val="20"/>
                <w:szCs w:val="20"/>
                <w:lang w:eastAsia="en-GB"/>
              </w:rPr>
              <w:t xml:space="preserve">Chemical Formula </w:t>
            </w:r>
          </w:p>
        </w:tc>
        <w:tc>
          <w:tcPr>
            <w:tcW w:w="1901" w:type="dxa"/>
            <w:hideMark/>
          </w:tcPr>
          <w:p w14:paraId="3D51D72D" w14:textId="77777777" w:rsidR="00CF01A0" w:rsidRPr="003A5626" w:rsidRDefault="00CF01A0" w:rsidP="00CF01A0">
            <w:pP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 w:val="20"/>
                <w:szCs w:val="20"/>
                <w:lang w:eastAsia="en-GB"/>
              </w:rPr>
            </w:pPr>
            <w:r w:rsidRPr="003A5626">
              <w:rPr>
                <w:rFonts w:eastAsia="Times New Roman" w:cs="Times New Roman"/>
                <w:b w:val="0"/>
                <w:bCs w:val="0"/>
                <w:sz w:val="20"/>
                <w:szCs w:val="20"/>
                <w:lang w:eastAsia="en-GB"/>
              </w:rPr>
              <w:t xml:space="preserve">Chemical name </w:t>
            </w:r>
          </w:p>
        </w:tc>
        <w:tc>
          <w:tcPr>
            <w:tcW w:w="1134" w:type="dxa"/>
            <w:hideMark/>
          </w:tcPr>
          <w:p w14:paraId="07B8B849" w14:textId="77777777" w:rsidR="00CF01A0" w:rsidRPr="003A5626" w:rsidRDefault="00CF01A0" w:rsidP="00CF01A0">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 w:val="20"/>
                <w:szCs w:val="20"/>
                <w:lang w:eastAsia="en-GB"/>
              </w:rPr>
            </w:pPr>
            <w:r w:rsidRPr="003A5626">
              <w:rPr>
                <w:rFonts w:eastAsia="Times New Roman" w:cs="Times New Roman"/>
                <w:b w:val="0"/>
                <w:bCs w:val="0"/>
                <w:sz w:val="20"/>
                <w:szCs w:val="20"/>
                <w:lang w:eastAsia="en-GB"/>
              </w:rPr>
              <w:t>Molecular Weight</w:t>
            </w:r>
          </w:p>
        </w:tc>
        <w:tc>
          <w:tcPr>
            <w:tcW w:w="850" w:type="dxa"/>
            <w:hideMark/>
          </w:tcPr>
          <w:p w14:paraId="54828150" w14:textId="77777777" w:rsidR="00CF01A0" w:rsidRPr="003A5626" w:rsidRDefault="00CF01A0" w:rsidP="00CF01A0">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 w:val="20"/>
                <w:szCs w:val="20"/>
                <w:lang w:eastAsia="en-GB"/>
              </w:rPr>
            </w:pPr>
            <w:r w:rsidRPr="003A5626">
              <w:rPr>
                <w:rFonts w:eastAsia="Times New Roman" w:cs="Times New Roman"/>
                <w:b w:val="0"/>
                <w:bCs w:val="0"/>
                <w:sz w:val="20"/>
                <w:szCs w:val="20"/>
                <w:lang w:eastAsia="en-GB"/>
              </w:rPr>
              <w:t>Boiling Point</w:t>
            </w:r>
          </w:p>
        </w:tc>
        <w:tc>
          <w:tcPr>
            <w:tcW w:w="722" w:type="dxa"/>
            <w:hideMark/>
          </w:tcPr>
          <w:p w14:paraId="2DA7CE21" w14:textId="77777777" w:rsidR="00CF01A0" w:rsidRPr="003A5626" w:rsidRDefault="00CF01A0" w:rsidP="008D06EA">
            <w:pPr>
              <w:ind w:left="-106"/>
              <w:jc w:val="right"/>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 w:val="20"/>
                <w:szCs w:val="20"/>
                <w:lang w:eastAsia="en-GB"/>
              </w:rPr>
            </w:pPr>
            <w:r w:rsidRPr="003A5626">
              <w:rPr>
                <w:rFonts w:eastAsia="Times New Roman" w:cs="Times New Roman"/>
                <w:b w:val="0"/>
                <w:bCs w:val="0"/>
                <w:sz w:val="20"/>
                <w:szCs w:val="20"/>
                <w:lang w:eastAsia="en-GB"/>
              </w:rPr>
              <w:t>Safety Class</w:t>
            </w:r>
          </w:p>
        </w:tc>
        <w:tc>
          <w:tcPr>
            <w:tcW w:w="709" w:type="dxa"/>
            <w:hideMark/>
          </w:tcPr>
          <w:p w14:paraId="199B8954" w14:textId="77777777" w:rsidR="00CF01A0" w:rsidRPr="003A5626" w:rsidRDefault="00CF01A0" w:rsidP="00CF01A0">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 w:val="20"/>
                <w:szCs w:val="20"/>
                <w:lang w:eastAsia="en-GB"/>
              </w:rPr>
            </w:pPr>
            <w:r w:rsidRPr="003A5626">
              <w:rPr>
                <w:rFonts w:eastAsia="Times New Roman" w:cs="Times New Roman"/>
                <w:b w:val="0"/>
                <w:bCs w:val="0"/>
                <w:sz w:val="20"/>
                <w:szCs w:val="20"/>
                <w:lang w:eastAsia="en-GB"/>
              </w:rPr>
              <w:t>GWP 100y</w:t>
            </w:r>
          </w:p>
        </w:tc>
        <w:tc>
          <w:tcPr>
            <w:tcW w:w="708" w:type="dxa"/>
            <w:hideMark/>
          </w:tcPr>
          <w:p w14:paraId="7EF01DF9" w14:textId="77777777" w:rsidR="00CF01A0" w:rsidRPr="003A5626" w:rsidRDefault="00CF01A0" w:rsidP="00CF01A0">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 w:val="20"/>
                <w:szCs w:val="20"/>
                <w:lang w:eastAsia="en-GB"/>
              </w:rPr>
            </w:pPr>
            <w:r w:rsidRPr="003A5626">
              <w:rPr>
                <w:rFonts w:eastAsia="Times New Roman" w:cs="Times New Roman"/>
                <w:b w:val="0"/>
                <w:bCs w:val="0"/>
                <w:sz w:val="20"/>
                <w:szCs w:val="20"/>
                <w:lang w:eastAsia="en-GB"/>
              </w:rPr>
              <w:t>GWP 20y</w:t>
            </w:r>
          </w:p>
        </w:tc>
      </w:tr>
      <w:tr w:rsidR="00CF01A0" w:rsidRPr="003A5626" w14:paraId="1848300C" w14:textId="77777777" w:rsidTr="008D06EA">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276" w:type="dxa"/>
            <w:noWrap/>
            <w:hideMark/>
          </w:tcPr>
          <w:p w14:paraId="07E69297" w14:textId="77777777" w:rsidR="00CF01A0" w:rsidRPr="003A5626" w:rsidRDefault="00CF01A0" w:rsidP="00CF01A0">
            <w:pPr>
              <w:rPr>
                <w:rFonts w:eastAsia="Times New Roman" w:cs="Times New Roman"/>
                <w:sz w:val="20"/>
                <w:szCs w:val="20"/>
                <w:lang w:eastAsia="en-GB"/>
              </w:rPr>
            </w:pPr>
            <w:r w:rsidRPr="003A5626">
              <w:rPr>
                <w:rFonts w:eastAsia="Times New Roman" w:cs="Times New Roman"/>
                <w:sz w:val="20"/>
                <w:szCs w:val="20"/>
                <w:lang w:eastAsia="en-GB"/>
              </w:rPr>
              <w:t>HCC-1130(E)</w:t>
            </w:r>
          </w:p>
        </w:tc>
        <w:tc>
          <w:tcPr>
            <w:tcW w:w="1701" w:type="dxa"/>
            <w:noWrap/>
            <w:hideMark/>
          </w:tcPr>
          <w:p w14:paraId="33925EDB" w14:textId="77777777" w:rsidR="00CF01A0" w:rsidRPr="003A5626" w:rsidRDefault="00CF01A0" w:rsidP="00CF01A0">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GB"/>
              </w:rPr>
            </w:pPr>
            <w:r w:rsidRPr="003A5626">
              <w:rPr>
                <w:rFonts w:eastAsia="Times New Roman" w:cs="Times New Roman"/>
                <w:sz w:val="20"/>
                <w:szCs w:val="20"/>
                <w:lang w:eastAsia="en-GB"/>
              </w:rPr>
              <w:t>CHCl=CHCl</w:t>
            </w:r>
          </w:p>
        </w:tc>
        <w:tc>
          <w:tcPr>
            <w:tcW w:w="1901" w:type="dxa"/>
            <w:hideMark/>
          </w:tcPr>
          <w:p w14:paraId="114DD3A6" w14:textId="77777777" w:rsidR="00CF01A0" w:rsidRPr="003A5626" w:rsidRDefault="00CF01A0" w:rsidP="00CF01A0">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GB"/>
              </w:rPr>
            </w:pPr>
            <w:r w:rsidRPr="003A5626">
              <w:rPr>
                <w:rFonts w:eastAsia="Times New Roman" w:cs="Times New Roman"/>
                <w:sz w:val="20"/>
                <w:szCs w:val="20"/>
                <w:lang w:eastAsia="en-GB"/>
              </w:rPr>
              <w:t>trans-1,2-dichloroethene</w:t>
            </w:r>
          </w:p>
        </w:tc>
        <w:tc>
          <w:tcPr>
            <w:tcW w:w="1134" w:type="dxa"/>
            <w:noWrap/>
            <w:hideMark/>
          </w:tcPr>
          <w:p w14:paraId="71BD43D8" w14:textId="77777777" w:rsidR="00CF01A0" w:rsidRPr="003A5626" w:rsidRDefault="00CF01A0" w:rsidP="00CF01A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GB"/>
              </w:rPr>
            </w:pPr>
            <w:r w:rsidRPr="003A5626">
              <w:rPr>
                <w:rFonts w:eastAsia="Times New Roman" w:cs="Times New Roman"/>
                <w:sz w:val="20"/>
                <w:szCs w:val="20"/>
                <w:lang w:eastAsia="en-GB"/>
              </w:rPr>
              <w:t>96,9</w:t>
            </w:r>
          </w:p>
        </w:tc>
        <w:tc>
          <w:tcPr>
            <w:tcW w:w="850" w:type="dxa"/>
            <w:noWrap/>
            <w:hideMark/>
          </w:tcPr>
          <w:p w14:paraId="04E0ACAF" w14:textId="77777777" w:rsidR="00CF01A0" w:rsidRPr="003A5626" w:rsidRDefault="00CF01A0" w:rsidP="00CF01A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GB"/>
              </w:rPr>
            </w:pPr>
            <w:r w:rsidRPr="003A5626">
              <w:rPr>
                <w:rFonts w:eastAsia="Times New Roman" w:cs="Times New Roman"/>
                <w:sz w:val="20"/>
                <w:szCs w:val="20"/>
                <w:lang w:eastAsia="en-GB"/>
              </w:rPr>
              <w:t>47,7</w:t>
            </w:r>
          </w:p>
        </w:tc>
        <w:tc>
          <w:tcPr>
            <w:tcW w:w="722" w:type="dxa"/>
            <w:noWrap/>
            <w:hideMark/>
          </w:tcPr>
          <w:p w14:paraId="3A4D68C0" w14:textId="77777777" w:rsidR="00CF01A0" w:rsidRPr="003A5626" w:rsidRDefault="00CF01A0" w:rsidP="00CF01A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GB"/>
              </w:rPr>
            </w:pPr>
            <w:r w:rsidRPr="003A5626">
              <w:rPr>
                <w:rFonts w:eastAsia="Times New Roman" w:cs="Times New Roman"/>
                <w:sz w:val="20"/>
                <w:szCs w:val="20"/>
                <w:lang w:eastAsia="en-GB"/>
              </w:rPr>
              <w:t>B2</w:t>
            </w:r>
          </w:p>
        </w:tc>
        <w:tc>
          <w:tcPr>
            <w:tcW w:w="709" w:type="dxa"/>
            <w:noWrap/>
            <w:hideMark/>
          </w:tcPr>
          <w:p w14:paraId="46B869E9" w14:textId="77777777" w:rsidR="00CF01A0" w:rsidRPr="003A5626" w:rsidRDefault="00CF01A0" w:rsidP="00CF01A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GB"/>
              </w:rPr>
            </w:pPr>
            <w:r w:rsidRPr="003A5626">
              <w:rPr>
                <w:rFonts w:eastAsia="Times New Roman" w:cs="Times New Roman"/>
                <w:sz w:val="20"/>
                <w:szCs w:val="20"/>
                <w:lang w:eastAsia="en-GB"/>
              </w:rPr>
              <w:t>&lt;1</w:t>
            </w:r>
          </w:p>
        </w:tc>
        <w:tc>
          <w:tcPr>
            <w:tcW w:w="708" w:type="dxa"/>
            <w:noWrap/>
            <w:hideMark/>
          </w:tcPr>
          <w:p w14:paraId="2BC3F985" w14:textId="77777777" w:rsidR="00CF01A0" w:rsidRPr="003A5626" w:rsidRDefault="00CF01A0" w:rsidP="00CF01A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GB"/>
              </w:rPr>
            </w:pPr>
            <w:r w:rsidRPr="003A5626">
              <w:rPr>
                <w:rFonts w:eastAsia="Times New Roman" w:cs="Times New Roman"/>
                <w:sz w:val="20"/>
                <w:szCs w:val="20"/>
                <w:lang w:eastAsia="en-GB"/>
              </w:rPr>
              <w:t>3</w:t>
            </w:r>
          </w:p>
        </w:tc>
      </w:tr>
      <w:tr w:rsidR="00CF01A0" w:rsidRPr="003A5626" w14:paraId="54777A36" w14:textId="77777777" w:rsidTr="008D06EA">
        <w:trPr>
          <w:cnfStyle w:val="000000010000" w:firstRow="0" w:lastRow="0" w:firstColumn="0" w:lastColumn="0" w:oddVBand="0" w:evenVBand="0" w:oddHBand="0" w:evenHBand="1"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276" w:type="dxa"/>
            <w:noWrap/>
            <w:hideMark/>
          </w:tcPr>
          <w:p w14:paraId="2467EFD6" w14:textId="77777777" w:rsidR="00CF01A0" w:rsidRPr="003A5626" w:rsidRDefault="00CF01A0" w:rsidP="00CF01A0">
            <w:pPr>
              <w:rPr>
                <w:rFonts w:eastAsia="Times New Roman" w:cs="Times New Roman"/>
                <w:sz w:val="20"/>
                <w:szCs w:val="20"/>
                <w:lang w:eastAsia="en-GB"/>
              </w:rPr>
            </w:pPr>
            <w:r w:rsidRPr="003A5626">
              <w:rPr>
                <w:rFonts w:eastAsia="Times New Roman" w:cs="Times New Roman"/>
                <w:sz w:val="20"/>
                <w:szCs w:val="20"/>
                <w:lang w:eastAsia="en-GB"/>
              </w:rPr>
              <w:t>HFC-1336mzz(Z)</w:t>
            </w:r>
          </w:p>
        </w:tc>
        <w:tc>
          <w:tcPr>
            <w:tcW w:w="1701" w:type="dxa"/>
            <w:noWrap/>
            <w:hideMark/>
          </w:tcPr>
          <w:p w14:paraId="4268B66A" w14:textId="77777777" w:rsidR="00CF01A0" w:rsidRPr="003A5626" w:rsidRDefault="00CF01A0" w:rsidP="00CF01A0">
            <w:pP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n-GB"/>
              </w:rPr>
            </w:pPr>
            <w:r w:rsidRPr="003A5626">
              <w:rPr>
                <w:rFonts w:eastAsia="Times New Roman" w:cs="Times New Roman"/>
                <w:sz w:val="20"/>
                <w:szCs w:val="20"/>
                <w:lang w:eastAsia="en-GB"/>
              </w:rPr>
              <w:t>CF3CH=CHCF3</w:t>
            </w:r>
          </w:p>
        </w:tc>
        <w:tc>
          <w:tcPr>
            <w:tcW w:w="1901" w:type="dxa"/>
            <w:hideMark/>
          </w:tcPr>
          <w:p w14:paraId="462AD9E6" w14:textId="77777777" w:rsidR="00CF01A0" w:rsidRPr="003A5626" w:rsidRDefault="00CF01A0" w:rsidP="00CF01A0">
            <w:pP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n-GB"/>
              </w:rPr>
            </w:pPr>
            <w:r w:rsidRPr="003A5626">
              <w:rPr>
                <w:rFonts w:eastAsia="Times New Roman" w:cs="Times New Roman"/>
                <w:sz w:val="20"/>
                <w:szCs w:val="20"/>
                <w:lang w:eastAsia="en-GB"/>
              </w:rPr>
              <w:t>cis-1,1,1,4,4,4-hexafluoro-2-butene</w:t>
            </w:r>
          </w:p>
        </w:tc>
        <w:tc>
          <w:tcPr>
            <w:tcW w:w="1134" w:type="dxa"/>
            <w:noWrap/>
            <w:hideMark/>
          </w:tcPr>
          <w:p w14:paraId="74F61AC7" w14:textId="77777777" w:rsidR="00CF01A0" w:rsidRPr="003A5626" w:rsidRDefault="00CF01A0" w:rsidP="00CF01A0">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n-GB"/>
              </w:rPr>
            </w:pPr>
            <w:r w:rsidRPr="003A5626">
              <w:rPr>
                <w:rFonts w:eastAsia="Times New Roman" w:cs="Times New Roman"/>
                <w:sz w:val="20"/>
                <w:szCs w:val="20"/>
                <w:lang w:eastAsia="en-GB"/>
              </w:rPr>
              <w:t>164,1</w:t>
            </w:r>
          </w:p>
        </w:tc>
        <w:tc>
          <w:tcPr>
            <w:tcW w:w="850" w:type="dxa"/>
            <w:noWrap/>
            <w:hideMark/>
          </w:tcPr>
          <w:p w14:paraId="206E3669" w14:textId="77777777" w:rsidR="00CF01A0" w:rsidRPr="003A5626" w:rsidRDefault="00CF01A0" w:rsidP="00CF01A0">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n-GB"/>
              </w:rPr>
            </w:pPr>
            <w:r w:rsidRPr="003A5626">
              <w:rPr>
                <w:rFonts w:eastAsia="Times New Roman" w:cs="Times New Roman"/>
                <w:sz w:val="20"/>
                <w:szCs w:val="20"/>
                <w:lang w:eastAsia="en-GB"/>
              </w:rPr>
              <w:t>33,4</w:t>
            </w:r>
          </w:p>
        </w:tc>
        <w:tc>
          <w:tcPr>
            <w:tcW w:w="722" w:type="dxa"/>
            <w:noWrap/>
            <w:hideMark/>
          </w:tcPr>
          <w:p w14:paraId="3F2A2632" w14:textId="77777777" w:rsidR="00CF01A0" w:rsidRPr="003A5626" w:rsidRDefault="00CF01A0" w:rsidP="00CF01A0">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n-GB"/>
              </w:rPr>
            </w:pPr>
            <w:r w:rsidRPr="003A5626">
              <w:rPr>
                <w:rFonts w:eastAsia="Times New Roman" w:cs="Times New Roman"/>
                <w:sz w:val="20"/>
                <w:szCs w:val="20"/>
                <w:lang w:eastAsia="en-GB"/>
              </w:rPr>
              <w:t>A1</w:t>
            </w:r>
          </w:p>
        </w:tc>
        <w:tc>
          <w:tcPr>
            <w:tcW w:w="709" w:type="dxa"/>
            <w:noWrap/>
            <w:hideMark/>
          </w:tcPr>
          <w:p w14:paraId="4F083404" w14:textId="77777777" w:rsidR="00CF01A0" w:rsidRPr="003A5626" w:rsidRDefault="00CF01A0" w:rsidP="00CF01A0">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n-GB"/>
              </w:rPr>
            </w:pPr>
            <w:r w:rsidRPr="003A5626">
              <w:rPr>
                <w:rFonts w:eastAsia="Times New Roman" w:cs="Times New Roman"/>
                <w:sz w:val="20"/>
                <w:szCs w:val="20"/>
                <w:lang w:eastAsia="en-GB"/>
              </w:rPr>
              <w:t>2</w:t>
            </w:r>
          </w:p>
        </w:tc>
        <w:tc>
          <w:tcPr>
            <w:tcW w:w="708" w:type="dxa"/>
            <w:noWrap/>
            <w:hideMark/>
          </w:tcPr>
          <w:p w14:paraId="08C04DDB" w14:textId="77777777" w:rsidR="00CF01A0" w:rsidRPr="003A5626" w:rsidRDefault="00CF01A0" w:rsidP="00CF01A0">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n-GB"/>
              </w:rPr>
            </w:pPr>
            <w:r w:rsidRPr="003A5626">
              <w:rPr>
                <w:rFonts w:eastAsia="Times New Roman" w:cs="Times New Roman"/>
                <w:sz w:val="20"/>
                <w:szCs w:val="20"/>
                <w:lang w:eastAsia="en-GB"/>
              </w:rPr>
              <w:t>6</w:t>
            </w:r>
          </w:p>
        </w:tc>
      </w:tr>
    </w:tbl>
    <w:p w14:paraId="0698578A" w14:textId="77777777" w:rsidR="00CF01A0" w:rsidRPr="003A5626" w:rsidRDefault="00CF01A0" w:rsidP="00CF01A0">
      <w:pPr>
        <w:rPr>
          <w:b/>
          <w:sz w:val="20"/>
          <w:lang w:eastAsia="en-GB"/>
        </w:rPr>
      </w:pPr>
    </w:p>
    <w:p w14:paraId="7C30BF6E" w14:textId="1A21FEB1" w:rsidR="00CF01A0" w:rsidRPr="000B3584" w:rsidRDefault="00CF01A0" w:rsidP="00CF01A0">
      <w:pPr>
        <w:keepNext/>
        <w:rPr>
          <w:b/>
          <w:i/>
          <w:sz w:val="24"/>
          <w:szCs w:val="24"/>
          <w:lang w:eastAsia="en-GB"/>
        </w:rPr>
      </w:pPr>
      <w:proofErr w:type="gramStart"/>
      <w:r w:rsidRPr="000B3584">
        <w:rPr>
          <w:b/>
          <w:i/>
          <w:sz w:val="24"/>
          <w:szCs w:val="24"/>
          <w:lang w:eastAsia="en-GB"/>
        </w:rPr>
        <w:t xml:space="preserve">Table </w:t>
      </w:r>
      <w:r w:rsidR="000B3584">
        <w:rPr>
          <w:b/>
          <w:i/>
          <w:sz w:val="24"/>
          <w:szCs w:val="24"/>
          <w:lang w:eastAsia="en-GB"/>
        </w:rPr>
        <w:t>6.</w:t>
      </w:r>
      <w:r w:rsidRPr="000B3584">
        <w:rPr>
          <w:b/>
          <w:i/>
          <w:sz w:val="24"/>
          <w:szCs w:val="24"/>
          <w:lang w:eastAsia="en-GB"/>
        </w:rPr>
        <w:t>2</w:t>
      </w:r>
      <w:r w:rsidR="000B3584">
        <w:rPr>
          <w:b/>
          <w:i/>
          <w:sz w:val="24"/>
          <w:szCs w:val="24"/>
          <w:lang w:eastAsia="en-GB"/>
        </w:rPr>
        <w:t>.</w:t>
      </w:r>
      <w:proofErr w:type="gramEnd"/>
      <w:r w:rsidR="000B3584">
        <w:rPr>
          <w:b/>
          <w:i/>
          <w:sz w:val="24"/>
          <w:szCs w:val="24"/>
          <w:lang w:eastAsia="en-GB"/>
        </w:rPr>
        <w:t xml:space="preserve"> </w:t>
      </w:r>
      <w:r w:rsidRPr="000B3584">
        <w:rPr>
          <w:b/>
          <w:i/>
          <w:sz w:val="24"/>
          <w:szCs w:val="24"/>
          <w:lang w:eastAsia="en-GB"/>
        </w:rPr>
        <w:t xml:space="preserve"> Zeotropic refrigerant blends</w:t>
      </w:r>
    </w:p>
    <w:tbl>
      <w:tblPr>
        <w:tblStyle w:val="MediumShading1-Accent3"/>
        <w:tblW w:w="8505" w:type="dxa"/>
        <w:tblLayout w:type="fixed"/>
        <w:tblLook w:val="04A0" w:firstRow="1" w:lastRow="0" w:firstColumn="1" w:lastColumn="0" w:noHBand="0" w:noVBand="1"/>
      </w:tblPr>
      <w:tblGrid>
        <w:gridCol w:w="1276"/>
        <w:gridCol w:w="2552"/>
        <w:gridCol w:w="1134"/>
        <w:gridCol w:w="1134"/>
        <w:gridCol w:w="850"/>
        <w:gridCol w:w="709"/>
        <w:gridCol w:w="850"/>
      </w:tblGrid>
      <w:tr w:rsidR="00CF01A0" w:rsidRPr="0000233D" w14:paraId="74A9D371" w14:textId="77777777" w:rsidTr="0015746F">
        <w:trPr>
          <w:cnfStyle w:val="100000000000" w:firstRow="1" w:lastRow="0" w:firstColumn="0" w:lastColumn="0" w:oddVBand="0" w:evenVBand="0" w:oddHBand="0" w:evenHBand="0" w:firstRowFirstColumn="0" w:firstRowLastColumn="0" w:lastRowFirstColumn="0" w:lastRowLastColumn="0"/>
          <w:trHeight w:val="620"/>
          <w:tblHeader/>
        </w:trPr>
        <w:tc>
          <w:tcPr>
            <w:cnfStyle w:val="001000000000" w:firstRow="0" w:lastRow="0" w:firstColumn="1" w:lastColumn="0" w:oddVBand="0" w:evenVBand="0" w:oddHBand="0" w:evenHBand="0" w:firstRowFirstColumn="0" w:firstRowLastColumn="0" w:lastRowFirstColumn="0" w:lastRowLastColumn="0"/>
            <w:tcW w:w="1276" w:type="dxa"/>
            <w:hideMark/>
          </w:tcPr>
          <w:p w14:paraId="752CEB39" w14:textId="77777777" w:rsidR="00CF01A0" w:rsidRPr="008D06EA" w:rsidRDefault="00CF01A0" w:rsidP="00CF01A0">
            <w:pPr>
              <w:rPr>
                <w:rFonts w:eastAsia="Times New Roman" w:cs="Times New Roman"/>
                <w:b w:val="0"/>
                <w:sz w:val="18"/>
                <w:szCs w:val="18"/>
                <w:lang w:eastAsia="en-GB"/>
              </w:rPr>
            </w:pPr>
            <w:r w:rsidRPr="008D06EA">
              <w:rPr>
                <w:sz w:val="18"/>
                <w:szCs w:val="18"/>
                <w:lang w:eastAsia="en-GB"/>
              </w:rPr>
              <w:t>Refrigerant Number</w:t>
            </w:r>
          </w:p>
        </w:tc>
        <w:tc>
          <w:tcPr>
            <w:tcW w:w="2552" w:type="dxa"/>
            <w:hideMark/>
          </w:tcPr>
          <w:p w14:paraId="5748EB1B" w14:textId="77777777" w:rsidR="00CF01A0" w:rsidRPr="008D06EA" w:rsidRDefault="00CF01A0" w:rsidP="00CF01A0">
            <w:pPr>
              <w:cnfStyle w:val="100000000000" w:firstRow="1" w:lastRow="0" w:firstColumn="0" w:lastColumn="0" w:oddVBand="0" w:evenVBand="0" w:oddHBand="0" w:evenHBand="0" w:firstRowFirstColumn="0" w:firstRowLastColumn="0" w:lastRowFirstColumn="0" w:lastRowLastColumn="0"/>
              <w:rPr>
                <w:rFonts w:eastAsia="Times New Roman" w:cs="Times New Roman"/>
                <w:b w:val="0"/>
                <w:sz w:val="18"/>
                <w:szCs w:val="18"/>
                <w:lang w:eastAsia="en-GB"/>
              </w:rPr>
            </w:pPr>
            <w:r w:rsidRPr="008D06EA">
              <w:rPr>
                <w:sz w:val="18"/>
                <w:szCs w:val="18"/>
                <w:lang w:eastAsia="en-GB"/>
              </w:rPr>
              <w:t xml:space="preserve">Refrigerant Composition </w:t>
            </w:r>
          </w:p>
          <w:p w14:paraId="23705F53" w14:textId="77777777" w:rsidR="00CF01A0" w:rsidRPr="008D06EA" w:rsidRDefault="00CF01A0" w:rsidP="00CF01A0">
            <w:pPr>
              <w:cnfStyle w:val="100000000000" w:firstRow="1" w:lastRow="0" w:firstColumn="0" w:lastColumn="0" w:oddVBand="0" w:evenVBand="0" w:oddHBand="0" w:evenHBand="0" w:firstRowFirstColumn="0" w:firstRowLastColumn="0" w:lastRowFirstColumn="0" w:lastRowLastColumn="0"/>
              <w:rPr>
                <w:rFonts w:eastAsia="Times New Roman" w:cs="Times New Roman"/>
                <w:b w:val="0"/>
                <w:sz w:val="18"/>
                <w:szCs w:val="18"/>
                <w:lang w:eastAsia="en-GB"/>
              </w:rPr>
            </w:pPr>
            <w:r w:rsidRPr="008D06EA">
              <w:rPr>
                <w:sz w:val="18"/>
                <w:szCs w:val="18"/>
                <w:lang w:eastAsia="en-GB"/>
              </w:rPr>
              <w:t>(Mass % )</w:t>
            </w:r>
          </w:p>
        </w:tc>
        <w:tc>
          <w:tcPr>
            <w:tcW w:w="1134" w:type="dxa"/>
            <w:hideMark/>
          </w:tcPr>
          <w:p w14:paraId="2905B7F0" w14:textId="77777777" w:rsidR="00CF01A0" w:rsidRPr="008D06EA" w:rsidRDefault="00CF01A0" w:rsidP="008D06EA">
            <w:pPr>
              <w:ind w:left="-48"/>
              <w:jc w:val="right"/>
              <w:cnfStyle w:val="100000000000" w:firstRow="1" w:lastRow="0" w:firstColumn="0" w:lastColumn="0" w:oddVBand="0" w:evenVBand="0" w:oddHBand="0" w:evenHBand="0" w:firstRowFirstColumn="0" w:firstRowLastColumn="0" w:lastRowFirstColumn="0" w:lastRowLastColumn="0"/>
              <w:rPr>
                <w:rFonts w:eastAsia="Times New Roman" w:cs="Times New Roman"/>
                <w:b w:val="0"/>
                <w:sz w:val="18"/>
                <w:szCs w:val="18"/>
                <w:lang w:eastAsia="en-GB"/>
              </w:rPr>
            </w:pPr>
            <w:r w:rsidRPr="008D06EA">
              <w:rPr>
                <w:sz w:val="18"/>
                <w:szCs w:val="18"/>
                <w:lang w:eastAsia="en-GB"/>
              </w:rPr>
              <w:t>Molecular Weight</w:t>
            </w:r>
          </w:p>
        </w:tc>
        <w:tc>
          <w:tcPr>
            <w:tcW w:w="1134" w:type="dxa"/>
            <w:hideMark/>
          </w:tcPr>
          <w:p w14:paraId="5B6E4249" w14:textId="77777777" w:rsidR="00CF01A0" w:rsidRPr="008D06EA" w:rsidRDefault="00CF01A0" w:rsidP="00CF01A0">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b w:val="0"/>
                <w:sz w:val="18"/>
                <w:szCs w:val="18"/>
                <w:lang w:eastAsia="en-GB"/>
              </w:rPr>
            </w:pPr>
            <w:r w:rsidRPr="008D06EA">
              <w:rPr>
                <w:sz w:val="18"/>
                <w:szCs w:val="18"/>
                <w:lang w:eastAsia="en-GB"/>
              </w:rPr>
              <w:t>Bubble point/dew point (°C)</w:t>
            </w:r>
          </w:p>
        </w:tc>
        <w:tc>
          <w:tcPr>
            <w:tcW w:w="850" w:type="dxa"/>
            <w:hideMark/>
          </w:tcPr>
          <w:p w14:paraId="2FF1CB07" w14:textId="77777777" w:rsidR="00CF01A0" w:rsidRPr="008D06EA" w:rsidRDefault="00CF01A0" w:rsidP="00CF01A0">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b w:val="0"/>
                <w:sz w:val="18"/>
                <w:szCs w:val="18"/>
                <w:lang w:eastAsia="en-GB"/>
              </w:rPr>
            </w:pPr>
            <w:r w:rsidRPr="008D06EA">
              <w:rPr>
                <w:sz w:val="18"/>
                <w:szCs w:val="18"/>
                <w:lang w:eastAsia="en-GB"/>
              </w:rPr>
              <w:t>Safety class</w:t>
            </w:r>
          </w:p>
        </w:tc>
        <w:tc>
          <w:tcPr>
            <w:tcW w:w="709" w:type="dxa"/>
            <w:hideMark/>
          </w:tcPr>
          <w:p w14:paraId="6A06A395" w14:textId="77777777" w:rsidR="00CF01A0" w:rsidRPr="008D06EA" w:rsidRDefault="00CF01A0" w:rsidP="00CF01A0">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b w:val="0"/>
                <w:sz w:val="18"/>
                <w:szCs w:val="18"/>
                <w:lang w:eastAsia="en-GB"/>
              </w:rPr>
            </w:pPr>
            <w:r w:rsidRPr="008D06EA">
              <w:rPr>
                <w:sz w:val="18"/>
                <w:szCs w:val="18"/>
                <w:lang w:eastAsia="en-GB"/>
              </w:rPr>
              <w:t>GWP 100y</w:t>
            </w:r>
          </w:p>
        </w:tc>
        <w:tc>
          <w:tcPr>
            <w:tcW w:w="850" w:type="dxa"/>
            <w:hideMark/>
          </w:tcPr>
          <w:p w14:paraId="1BBE7561" w14:textId="77777777" w:rsidR="00CF01A0" w:rsidRPr="008D06EA" w:rsidRDefault="00CF01A0" w:rsidP="00CF01A0">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b w:val="0"/>
                <w:sz w:val="18"/>
                <w:szCs w:val="18"/>
                <w:lang w:eastAsia="en-GB"/>
              </w:rPr>
            </w:pPr>
            <w:r w:rsidRPr="008D06EA">
              <w:rPr>
                <w:sz w:val="18"/>
                <w:szCs w:val="18"/>
                <w:lang w:eastAsia="en-GB"/>
              </w:rPr>
              <w:t>GWP 20y</w:t>
            </w:r>
          </w:p>
        </w:tc>
      </w:tr>
      <w:tr w:rsidR="00CF01A0" w:rsidRPr="0000233D" w14:paraId="3BBBADC1" w14:textId="77777777" w:rsidTr="00CF01A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6" w:type="dxa"/>
            <w:noWrap/>
            <w:hideMark/>
          </w:tcPr>
          <w:p w14:paraId="322181A6" w14:textId="77777777" w:rsidR="00CF01A0" w:rsidRPr="008D06EA" w:rsidRDefault="00CF01A0" w:rsidP="00CF01A0">
            <w:pPr>
              <w:rPr>
                <w:rFonts w:eastAsia="Times New Roman" w:cs="Times New Roman"/>
                <w:sz w:val="18"/>
                <w:szCs w:val="18"/>
                <w:lang w:eastAsia="en-GB"/>
              </w:rPr>
            </w:pPr>
            <w:r w:rsidRPr="008D06EA">
              <w:rPr>
                <w:sz w:val="18"/>
                <w:szCs w:val="18"/>
                <w:lang w:eastAsia="en-GB"/>
              </w:rPr>
              <w:t>R-407G</w:t>
            </w:r>
          </w:p>
        </w:tc>
        <w:tc>
          <w:tcPr>
            <w:tcW w:w="2552" w:type="dxa"/>
            <w:hideMark/>
          </w:tcPr>
          <w:p w14:paraId="4A7790D9" w14:textId="77777777" w:rsidR="00CF01A0" w:rsidRPr="008D06EA" w:rsidRDefault="00CF01A0" w:rsidP="00CF01A0">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8D06EA">
              <w:rPr>
                <w:sz w:val="18"/>
                <w:szCs w:val="18"/>
                <w:lang w:eastAsia="en-GB"/>
              </w:rPr>
              <w:t>R-32/125/134a (2,5/2,5/95,0)</w:t>
            </w:r>
          </w:p>
        </w:tc>
        <w:tc>
          <w:tcPr>
            <w:tcW w:w="1134" w:type="dxa"/>
            <w:noWrap/>
            <w:hideMark/>
          </w:tcPr>
          <w:p w14:paraId="67FCC2F9" w14:textId="77777777" w:rsidR="00CF01A0" w:rsidRPr="008D06EA" w:rsidRDefault="00CF01A0" w:rsidP="00CF01A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8D06EA">
              <w:rPr>
                <w:sz w:val="18"/>
                <w:szCs w:val="18"/>
                <w:lang w:eastAsia="en-GB"/>
              </w:rPr>
              <w:t>100</w:t>
            </w:r>
          </w:p>
        </w:tc>
        <w:tc>
          <w:tcPr>
            <w:tcW w:w="1134" w:type="dxa"/>
            <w:noWrap/>
            <w:hideMark/>
          </w:tcPr>
          <w:p w14:paraId="66D0CB1B" w14:textId="77777777" w:rsidR="00CF01A0" w:rsidRPr="008D06EA" w:rsidRDefault="00CF01A0" w:rsidP="00CF01A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8D06EA">
              <w:rPr>
                <w:sz w:val="18"/>
                <w:szCs w:val="18"/>
                <w:lang w:eastAsia="en-GB"/>
              </w:rPr>
              <w:t>-29,2/-27,2</w:t>
            </w:r>
          </w:p>
        </w:tc>
        <w:tc>
          <w:tcPr>
            <w:tcW w:w="850" w:type="dxa"/>
            <w:noWrap/>
            <w:hideMark/>
          </w:tcPr>
          <w:p w14:paraId="730CC64A" w14:textId="77777777" w:rsidR="00CF01A0" w:rsidRPr="008D06EA" w:rsidRDefault="00CF01A0" w:rsidP="00CF01A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8D06EA">
              <w:rPr>
                <w:sz w:val="18"/>
                <w:szCs w:val="18"/>
                <w:lang w:eastAsia="en-GB"/>
              </w:rPr>
              <w:t>A1</w:t>
            </w:r>
          </w:p>
        </w:tc>
        <w:tc>
          <w:tcPr>
            <w:tcW w:w="709" w:type="dxa"/>
            <w:noWrap/>
            <w:hideMark/>
          </w:tcPr>
          <w:p w14:paraId="4C1FEBE9" w14:textId="77777777" w:rsidR="00CF01A0" w:rsidRPr="008D06EA" w:rsidRDefault="00CF01A0" w:rsidP="00CF01A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8D06EA">
              <w:rPr>
                <w:sz w:val="18"/>
                <w:szCs w:val="18"/>
                <w:lang w:eastAsia="en-GB"/>
              </w:rPr>
              <w:t>1 400</w:t>
            </w:r>
          </w:p>
        </w:tc>
        <w:tc>
          <w:tcPr>
            <w:tcW w:w="850" w:type="dxa"/>
            <w:noWrap/>
            <w:hideMark/>
          </w:tcPr>
          <w:p w14:paraId="7FAA1A30" w14:textId="77777777" w:rsidR="00CF01A0" w:rsidRPr="008D06EA" w:rsidRDefault="00CF01A0" w:rsidP="00CF01A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8D06EA">
              <w:rPr>
                <w:sz w:val="18"/>
                <w:szCs w:val="18"/>
                <w:lang w:eastAsia="en-GB"/>
              </w:rPr>
              <w:t>3 800</w:t>
            </w:r>
          </w:p>
        </w:tc>
      </w:tr>
      <w:tr w:rsidR="00CF01A0" w:rsidRPr="0000233D" w14:paraId="003F971F" w14:textId="77777777" w:rsidTr="00CF01A0">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276" w:type="dxa"/>
            <w:noWrap/>
            <w:hideMark/>
          </w:tcPr>
          <w:p w14:paraId="2A05AAF1" w14:textId="77777777" w:rsidR="00CF01A0" w:rsidRPr="008D06EA" w:rsidRDefault="00CF01A0" w:rsidP="00CF01A0">
            <w:pPr>
              <w:rPr>
                <w:rFonts w:eastAsia="Times New Roman" w:cs="Times New Roman"/>
                <w:sz w:val="18"/>
                <w:szCs w:val="18"/>
                <w:lang w:eastAsia="en-GB"/>
              </w:rPr>
            </w:pPr>
            <w:r w:rsidRPr="008D06EA">
              <w:rPr>
                <w:sz w:val="18"/>
                <w:szCs w:val="18"/>
                <w:lang w:eastAsia="en-GB"/>
              </w:rPr>
              <w:t>R-447B</w:t>
            </w:r>
          </w:p>
        </w:tc>
        <w:tc>
          <w:tcPr>
            <w:tcW w:w="2552" w:type="dxa"/>
            <w:hideMark/>
          </w:tcPr>
          <w:p w14:paraId="367BB39F" w14:textId="77777777" w:rsidR="00CF01A0" w:rsidRPr="008D06EA" w:rsidRDefault="00CF01A0" w:rsidP="00CF01A0">
            <w:pP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en-GB"/>
              </w:rPr>
            </w:pPr>
            <w:r w:rsidRPr="008D06EA">
              <w:rPr>
                <w:sz w:val="18"/>
                <w:szCs w:val="18"/>
                <w:lang w:eastAsia="en-GB"/>
              </w:rPr>
              <w:t>R-32/125/1234ze(E) (68,0/8,0/24,0)</w:t>
            </w:r>
          </w:p>
        </w:tc>
        <w:tc>
          <w:tcPr>
            <w:tcW w:w="1134" w:type="dxa"/>
            <w:noWrap/>
            <w:hideMark/>
          </w:tcPr>
          <w:p w14:paraId="42A6ACF5" w14:textId="77777777" w:rsidR="00CF01A0" w:rsidRPr="008D06EA" w:rsidRDefault="00CF01A0" w:rsidP="00CF01A0">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en-GB"/>
              </w:rPr>
            </w:pPr>
            <w:r w:rsidRPr="008D06EA">
              <w:rPr>
                <w:sz w:val="18"/>
                <w:szCs w:val="18"/>
                <w:lang w:eastAsia="en-GB"/>
              </w:rPr>
              <w:t>63,1</w:t>
            </w:r>
          </w:p>
        </w:tc>
        <w:tc>
          <w:tcPr>
            <w:tcW w:w="1134" w:type="dxa"/>
            <w:noWrap/>
            <w:hideMark/>
          </w:tcPr>
          <w:p w14:paraId="0F4616D0" w14:textId="77777777" w:rsidR="00CF01A0" w:rsidRPr="008D06EA" w:rsidRDefault="00CF01A0" w:rsidP="00CF01A0">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en-GB"/>
              </w:rPr>
            </w:pPr>
            <w:r w:rsidRPr="008D06EA">
              <w:rPr>
                <w:sz w:val="18"/>
                <w:szCs w:val="18"/>
                <w:lang w:eastAsia="en-GB"/>
              </w:rPr>
              <w:t>-50,1/-46,0</w:t>
            </w:r>
          </w:p>
        </w:tc>
        <w:tc>
          <w:tcPr>
            <w:tcW w:w="850" w:type="dxa"/>
            <w:noWrap/>
            <w:hideMark/>
          </w:tcPr>
          <w:p w14:paraId="0EE5DAF2" w14:textId="77777777" w:rsidR="00CF01A0" w:rsidRPr="008D06EA" w:rsidRDefault="00CF01A0" w:rsidP="00CF01A0">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en-GB"/>
              </w:rPr>
            </w:pPr>
            <w:r w:rsidRPr="008D06EA">
              <w:rPr>
                <w:sz w:val="18"/>
                <w:szCs w:val="18"/>
                <w:lang w:eastAsia="en-GB"/>
              </w:rPr>
              <w:t>A2L</w:t>
            </w:r>
          </w:p>
        </w:tc>
        <w:tc>
          <w:tcPr>
            <w:tcW w:w="709" w:type="dxa"/>
            <w:noWrap/>
            <w:hideMark/>
          </w:tcPr>
          <w:p w14:paraId="230D1DEE" w14:textId="77777777" w:rsidR="00CF01A0" w:rsidRPr="008D06EA" w:rsidRDefault="00CF01A0" w:rsidP="00CF01A0">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en-GB"/>
              </w:rPr>
            </w:pPr>
            <w:r w:rsidRPr="008D06EA">
              <w:rPr>
                <w:sz w:val="18"/>
                <w:szCs w:val="18"/>
                <w:lang w:eastAsia="en-GB"/>
              </w:rPr>
              <w:t>750</w:t>
            </w:r>
          </w:p>
        </w:tc>
        <w:tc>
          <w:tcPr>
            <w:tcW w:w="850" w:type="dxa"/>
            <w:noWrap/>
            <w:hideMark/>
          </w:tcPr>
          <w:p w14:paraId="4941E6C9" w14:textId="77777777" w:rsidR="00CF01A0" w:rsidRPr="008D06EA" w:rsidRDefault="00CF01A0" w:rsidP="00CF01A0">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en-GB"/>
              </w:rPr>
            </w:pPr>
            <w:r w:rsidRPr="008D06EA">
              <w:rPr>
                <w:sz w:val="18"/>
                <w:szCs w:val="18"/>
                <w:lang w:eastAsia="en-GB"/>
              </w:rPr>
              <w:t>2 200</w:t>
            </w:r>
          </w:p>
        </w:tc>
      </w:tr>
      <w:tr w:rsidR="00CF01A0" w:rsidRPr="0000233D" w14:paraId="17FB96FE" w14:textId="77777777" w:rsidTr="00CF01A0">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276" w:type="dxa"/>
            <w:noWrap/>
            <w:hideMark/>
          </w:tcPr>
          <w:p w14:paraId="22953B88" w14:textId="77777777" w:rsidR="00CF01A0" w:rsidRPr="008D06EA" w:rsidRDefault="00CF01A0" w:rsidP="00CF01A0">
            <w:pPr>
              <w:rPr>
                <w:rFonts w:eastAsia="Times New Roman" w:cs="Times New Roman"/>
                <w:sz w:val="18"/>
                <w:szCs w:val="18"/>
                <w:lang w:eastAsia="en-GB"/>
              </w:rPr>
            </w:pPr>
            <w:r w:rsidRPr="008D06EA">
              <w:rPr>
                <w:sz w:val="18"/>
                <w:szCs w:val="18"/>
                <w:lang w:eastAsia="en-GB"/>
              </w:rPr>
              <w:t>R-449B</w:t>
            </w:r>
          </w:p>
        </w:tc>
        <w:tc>
          <w:tcPr>
            <w:tcW w:w="2552" w:type="dxa"/>
            <w:hideMark/>
          </w:tcPr>
          <w:p w14:paraId="52199DE2" w14:textId="77777777" w:rsidR="00CF01A0" w:rsidRPr="008D06EA" w:rsidRDefault="00CF01A0" w:rsidP="00CF01A0">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8D06EA">
              <w:rPr>
                <w:sz w:val="18"/>
                <w:szCs w:val="18"/>
                <w:lang w:eastAsia="en-GB"/>
              </w:rPr>
              <w:t>R-32/125/1234yf/134a (25,2/24,3/23,2/27,3)</w:t>
            </w:r>
          </w:p>
        </w:tc>
        <w:tc>
          <w:tcPr>
            <w:tcW w:w="1134" w:type="dxa"/>
            <w:noWrap/>
            <w:hideMark/>
          </w:tcPr>
          <w:p w14:paraId="3BCAC849" w14:textId="77777777" w:rsidR="00CF01A0" w:rsidRPr="008D06EA" w:rsidRDefault="00CF01A0" w:rsidP="00CF01A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8D06EA">
              <w:rPr>
                <w:sz w:val="18"/>
                <w:szCs w:val="18"/>
                <w:lang w:eastAsia="en-GB"/>
              </w:rPr>
              <w:t>86,4</w:t>
            </w:r>
          </w:p>
        </w:tc>
        <w:tc>
          <w:tcPr>
            <w:tcW w:w="1134" w:type="dxa"/>
            <w:noWrap/>
            <w:hideMark/>
          </w:tcPr>
          <w:p w14:paraId="6D72628C" w14:textId="77777777" w:rsidR="00CF01A0" w:rsidRPr="008D06EA" w:rsidRDefault="00CF01A0" w:rsidP="00CF01A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8D06EA">
              <w:rPr>
                <w:sz w:val="18"/>
                <w:szCs w:val="18"/>
                <w:lang w:eastAsia="en-GB"/>
              </w:rPr>
              <w:t>-46,1/-40,2</w:t>
            </w:r>
          </w:p>
        </w:tc>
        <w:tc>
          <w:tcPr>
            <w:tcW w:w="850" w:type="dxa"/>
            <w:noWrap/>
            <w:hideMark/>
          </w:tcPr>
          <w:p w14:paraId="583B8061" w14:textId="77777777" w:rsidR="00CF01A0" w:rsidRPr="008D06EA" w:rsidRDefault="00CF01A0" w:rsidP="00CF01A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8D06EA">
              <w:rPr>
                <w:sz w:val="18"/>
                <w:szCs w:val="18"/>
                <w:lang w:eastAsia="en-GB"/>
              </w:rPr>
              <w:t>A1</w:t>
            </w:r>
          </w:p>
        </w:tc>
        <w:tc>
          <w:tcPr>
            <w:tcW w:w="709" w:type="dxa"/>
            <w:noWrap/>
            <w:hideMark/>
          </w:tcPr>
          <w:p w14:paraId="7DB8FC40" w14:textId="77777777" w:rsidR="00CF01A0" w:rsidRPr="008D06EA" w:rsidRDefault="00CF01A0" w:rsidP="00CF01A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8D06EA">
              <w:rPr>
                <w:sz w:val="18"/>
                <w:szCs w:val="18"/>
                <w:lang w:eastAsia="en-GB"/>
              </w:rPr>
              <w:t>1 400</w:t>
            </w:r>
          </w:p>
        </w:tc>
        <w:tc>
          <w:tcPr>
            <w:tcW w:w="850" w:type="dxa"/>
            <w:noWrap/>
            <w:hideMark/>
          </w:tcPr>
          <w:p w14:paraId="3CB21C7C" w14:textId="77777777" w:rsidR="00CF01A0" w:rsidRPr="008D06EA" w:rsidRDefault="00CF01A0" w:rsidP="00CF01A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8D06EA">
              <w:rPr>
                <w:sz w:val="18"/>
                <w:szCs w:val="18"/>
                <w:lang w:eastAsia="en-GB"/>
              </w:rPr>
              <w:t>3 200</w:t>
            </w:r>
          </w:p>
        </w:tc>
      </w:tr>
      <w:tr w:rsidR="00CF01A0" w:rsidRPr="0000233D" w14:paraId="503B85E1" w14:textId="77777777" w:rsidTr="00CF01A0">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276" w:type="dxa"/>
            <w:noWrap/>
            <w:hideMark/>
          </w:tcPr>
          <w:p w14:paraId="29DC4EDD" w14:textId="77777777" w:rsidR="00CF01A0" w:rsidRPr="008D06EA" w:rsidRDefault="00CF01A0" w:rsidP="00CF01A0">
            <w:pPr>
              <w:rPr>
                <w:rFonts w:eastAsia="Times New Roman" w:cs="Times New Roman"/>
                <w:sz w:val="18"/>
                <w:szCs w:val="18"/>
                <w:lang w:eastAsia="en-GB"/>
              </w:rPr>
            </w:pPr>
            <w:r w:rsidRPr="008D06EA">
              <w:rPr>
                <w:sz w:val="18"/>
                <w:szCs w:val="18"/>
                <w:lang w:eastAsia="en-GB"/>
              </w:rPr>
              <w:t>R-449C</w:t>
            </w:r>
          </w:p>
        </w:tc>
        <w:tc>
          <w:tcPr>
            <w:tcW w:w="2552" w:type="dxa"/>
            <w:hideMark/>
          </w:tcPr>
          <w:p w14:paraId="03CA3DCB" w14:textId="77777777" w:rsidR="00CF01A0" w:rsidRPr="008D06EA" w:rsidRDefault="00CF01A0" w:rsidP="00CF01A0">
            <w:pP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en-GB"/>
              </w:rPr>
            </w:pPr>
            <w:r w:rsidRPr="008D06EA">
              <w:rPr>
                <w:sz w:val="18"/>
                <w:szCs w:val="18"/>
                <w:lang w:eastAsia="en-GB"/>
              </w:rPr>
              <w:t>R-32/125/1234yf/134a (20,0/20,0/31,0/29,0)</w:t>
            </w:r>
          </w:p>
        </w:tc>
        <w:tc>
          <w:tcPr>
            <w:tcW w:w="1134" w:type="dxa"/>
            <w:noWrap/>
            <w:hideMark/>
          </w:tcPr>
          <w:p w14:paraId="00B14F7E" w14:textId="77777777" w:rsidR="00CF01A0" w:rsidRPr="008D06EA" w:rsidRDefault="00CF01A0" w:rsidP="00CF01A0">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en-GB"/>
              </w:rPr>
            </w:pPr>
            <w:r w:rsidRPr="008D06EA">
              <w:rPr>
                <w:sz w:val="18"/>
                <w:szCs w:val="18"/>
                <w:lang w:eastAsia="en-GB"/>
              </w:rPr>
              <w:t>90,3</w:t>
            </w:r>
          </w:p>
        </w:tc>
        <w:tc>
          <w:tcPr>
            <w:tcW w:w="1134" w:type="dxa"/>
            <w:noWrap/>
            <w:hideMark/>
          </w:tcPr>
          <w:p w14:paraId="2D4357D6" w14:textId="77777777" w:rsidR="00CF01A0" w:rsidRPr="008D06EA" w:rsidRDefault="00CF01A0" w:rsidP="00CF01A0">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en-GB"/>
              </w:rPr>
            </w:pPr>
            <w:r w:rsidRPr="008D06EA">
              <w:rPr>
                <w:sz w:val="18"/>
                <w:szCs w:val="18"/>
                <w:lang w:eastAsia="en-GB"/>
              </w:rPr>
              <w:t>-44,6/-38,1</w:t>
            </w:r>
          </w:p>
        </w:tc>
        <w:tc>
          <w:tcPr>
            <w:tcW w:w="850" w:type="dxa"/>
            <w:noWrap/>
            <w:hideMark/>
          </w:tcPr>
          <w:p w14:paraId="0B8D7607" w14:textId="77777777" w:rsidR="00CF01A0" w:rsidRPr="008D06EA" w:rsidRDefault="00CF01A0" w:rsidP="00CF01A0">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en-GB"/>
              </w:rPr>
            </w:pPr>
            <w:r w:rsidRPr="008D06EA">
              <w:rPr>
                <w:sz w:val="18"/>
                <w:szCs w:val="18"/>
                <w:lang w:eastAsia="en-GB"/>
              </w:rPr>
              <w:t>A1</w:t>
            </w:r>
          </w:p>
        </w:tc>
        <w:tc>
          <w:tcPr>
            <w:tcW w:w="709" w:type="dxa"/>
            <w:noWrap/>
            <w:hideMark/>
          </w:tcPr>
          <w:p w14:paraId="4CF59BE2" w14:textId="77777777" w:rsidR="00CF01A0" w:rsidRPr="008D06EA" w:rsidRDefault="00CF01A0" w:rsidP="00CF01A0">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en-GB"/>
              </w:rPr>
            </w:pPr>
            <w:r w:rsidRPr="008D06EA">
              <w:rPr>
                <w:sz w:val="18"/>
                <w:szCs w:val="18"/>
                <w:lang w:eastAsia="en-GB"/>
              </w:rPr>
              <w:t>1 200</w:t>
            </w:r>
          </w:p>
        </w:tc>
        <w:tc>
          <w:tcPr>
            <w:tcW w:w="850" w:type="dxa"/>
            <w:noWrap/>
            <w:hideMark/>
          </w:tcPr>
          <w:p w14:paraId="056A0B2E" w14:textId="77777777" w:rsidR="00CF01A0" w:rsidRPr="008D06EA" w:rsidRDefault="00CF01A0" w:rsidP="00CF01A0">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en-GB"/>
              </w:rPr>
            </w:pPr>
            <w:r w:rsidRPr="008D06EA">
              <w:rPr>
                <w:sz w:val="18"/>
                <w:szCs w:val="18"/>
                <w:lang w:eastAsia="en-GB"/>
              </w:rPr>
              <w:t>2 900</w:t>
            </w:r>
          </w:p>
        </w:tc>
      </w:tr>
      <w:tr w:rsidR="00CF01A0" w:rsidRPr="0000233D" w14:paraId="0EF1FE51" w14:textId="77777777" w:rsidTr="00CF01A0">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276" w:type="dxa"/>
            <w:noWrap/>
            <w:hideMark/>
          </w:tcPr>
          <w:p w14:paraId="168BDBFD" w14:textId="77777777" w:rsidR="00CF01A0" w:rsidRPr="008D06EA" w:rsidRDefault="00CF01A0" w:rsidP="00CF01A0">
            <w:pPr>
              <w:rPr>
                <w:rFonts w:eastAsia="Times New Roman" w:cs="Times New Roman"/>
                <w:sz w:val="18"/>
                <w:szCs w:val="18"/>
                <w:lang w:eastAsia="en-GB"/>
              </w:rPr>
            </w:pPr>
            <w:r w:rsidRPr="008D06EA">
              <w:rPr>
                <w:sz w:val="18"/>
                <w:szCs w:val="18"/>
                <w:lang w:eastAsia="en-GB"/>
              </w:rPr>
              <w:t>R-452B</w:t>
            </w:r>
          </w:p>
        </w:tc>
        <w:tc>
          <w:tcPr>
            <w:tcW w:w="2552" w:type="dxa"/>
            <w:hideMark/>
          </w:tcPr>
          <w:p w14:paraId="0E8324D2" w14:textId="77777777" w:rsidR="00CF01A0" w:rsidRPr="008D06EA" w:rsidRDefault="00CF01A0" w:rsidP="00CF01A0">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8D06EA">
              <w:rPr>
                <w:sz w:val="18"/>
                <w:szCs w:val="18"/>
                <w:lang w:eastAsia="en-GB"/>
              </w:rPr>
              <w:t>R-32/125/1234yf (67,0/7,0/26,0)</w:t>
            </w:r>
          </w:p>
        </w:tc>
        <w:tc>
          <w:tcPr>
            <w:tcW w:w="1134" w:type="dxa"/>
            <w:noWrap/>
            <w:hideMark/>
          </w:tcPr>
          <w:p w14:paraId="582850B3" w14:textId="77777777" w:rsidR="00CF01A0" w:rsidRPr="008D06EA" w:rsidRDefault="00CF01A0" w:rsidP="00CF01A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8D06EA">
              <w:rPr>
                <w:sz w:val="18"/>
                <w:szCs w:val="18"/>
                <w:lang w:eastAsia="en-GB"/>
              </w:rPr>
              <w:t xml:space="preserve"> 63,5 </w:t>
            </w:r>
          </w:p>
        </w:tc>
        <w:tc>
          <w:tcPr>
            <w:tcW w:w="1134" w:type="dxa"/>
            <w:noWrap/>
            <w:hideMark/>
          </w:tcPr>
          <w:p w14:paraId="1DACB6A6" w14:textId="77777777" w:rsidR="00CF01A0" w:rsidRPr="008D06EA" w:rsidRDefault="00CF01A0" w:rsidP="00CF01A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8D06EA">
              <w:rPr>
                <w:sz w:val="18"/>
                <w:szCs w:val="18"/>
                <w:lang w:eastAsia="en-GB"/>
              </w:rPr>
              <w:t xml:space="preserve"> -51,0/-50,3 </w:t>
            </w:r>
          </w:p>
        </w:tc>
        <w:tc>
          <w:tcPr>
            <w:tcW w:w="850" w:type="dxa"/>
            <w:noWrap/>
            <w:hideMark/>
          </w:tcPr>
          <w:p w14:paraId="05E7CD0F" w14:textId="77777777" w:rsidR="00CF01A0" w:rsidRPr="008D06EA" w:rsidRDefault="00CF01A0" w:rsidP="00CF01A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8D06EA">
              <w:rPr>
                <w:sz w:val="18"/>
                <w:szCs w:val="18"/>
                <w:lang w:eastAsia="en-GB"/>
              </w:rPr>
              <w:t xml:space="preserve"> A2L </w:t>
            </w:r>
          </w:p>
        </w:tc>
        <w:tc>
          <w:tcPr>
            <w:tcW w:w="709" w:type="dxa"/>
            <w:noWrap/>
            <w:hideMark/>
          </w:tcPr>
          <w:p w14:paraId="28B26841" w14:textId="77777777" w:rsidR="00CF01A0" w:rsidRPr="008D06EA" w:rsidRDefault="00CF01A0" w:rsidP="00CF01A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8D06EA">
              <w:rPr>
                <w:sz w:val="18"/>
                <w:szCs w:val="18"/>
                <w:lang w:eastAsia="en-GB"/>
              </w:rPr>
              <w:t xml:space="preserve"> 710 </w:t>
            </w:r>
          </w:p>
        </w:tc>
        <w:tc>
          <w:tcPr>
            <w:tcW w:w="850" w:type="dxa"/>
            <w:noWrap/>
            <w:hideMark/>
          </w:tcPr>
          <w:p w14:paraId="5F565B1B" w14:textId="77777777" w:rsidR="00CF01A0" w:rsidRPr="008D06EA" w:rsidRDefault="00CF01A0" w:rsidP="00CF01A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8D06EA">
              <w:rPr>
                <w:sz w:val="18"/>
                <w:szCs w:val="18"/>
                <w:lang w:eastAsia="en-GB"/>
              </w:rPr>
              <w:t xml:space="preserve"> 2 100 </w:t>
            </w:r>
          </w:p>
        </w:tc>
      </w:tr>
      <w:tr w:rsidR="00CF01A0" w:rsidRPr="0000233D" w14:paraId="683A6C72" w14:textId="77777777" w:rsidTr="00CF01A0">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276" w:type="dxa"/>
            <w:noWrap/>
            <w:hideMark/>
          </w:tcPr>
          <w:p w14:paraId="74B6254A" w14:textId="77777777" w:rsidR="00CF01A0" w:rsidRPr="008D06EA" w:rsidRDefault="00CF01A0" w:rsidP="00CF01A0">
            <w:pPr>
              <w:rPr>
                <w:rFonts w:eastAsia="Times New Roman" w:cs="Times New Roman"/>
                <w:sz w:val="18"/>
                <w:szCs w:val="18"/>
                <w:lang w:eastAsia="en-GB"/>
              </w:rPr>
            </w:pPr>
            <w:r w:rsidRPr="008D06EA">
              <w:rPr>
                <w:sz w:val="18"/>
                <w:szCs w:val="18"/>
                <w:lang w:eastAsia="en-GB"/>
              </w:rPr>
              <w:t>R-452C</w:t>
            </w:r>
          </w:p>
        </w:tc>
        <w:tc>
          <w:tcPr>
            <w:tcW w:w="2552" w:type="dxa"/>
            <w:hideMark/>
          </w:tcPr>
          <w:p w14:paraId="0AC18D1C" w14:textId="77777777" w:rsidR="00CF01A0" w:rsidRPr="008D06EA" w:rsidRDefault="00CF01A0" w:rsidP="00CF01A0">
            <w:pP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en-GB"/>
              </w:rPr>
            </w:pPr>
            <w:r w:rsidRPr="008D06EA">
              <w:rPr>
                <w:sz w:val="18"/>
                <w:szCs w:val="18"/>
                <w:lang w:eastAsia="en-GB"/>
              </w:rPr>
              <w:t>R-32/125/1234yf (12,5/61,0/26,5)</w:t>
            </w:r>
          </w:p>
        </w:tc>
        <w:tc>
          <w:tcPr>
            <w:tcW w:w="1134" w:type="dxa"/>
            <w:noWrap/>
            <w:hideMark/>
          </w:tcPr>
          <w:p w14:paraId="3E4F1D26" w14:textId="77777777" w:rsidR="00CF01A0" w:rsidRPr="008D06EA" w:rsidRDefault="00CF01A0" w:rsidP="00CF01A0">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en-GB"/>
              </w:rPr>
            </w:pPr>
            <w:r w:rsidRPr="008D06EA">
              <w:rPr>
                <w:sz w:val="18"/>
                <w:szCs w:val="18"/>
                <w:lang w:eastAsia="en-GB"/>
              </w:rPr>
              <w:t xml:space="preserve"> 101,9 </w:t>
            </w:r>
          </w:p>
        </w:tc>
        <w:tc>
          <w:tcPr>
            <w:tcW w:w="1134" w:type="dxa"/>
            <w:noWrap/>
            <w:hideMark/>
          </w:tcPr>
          <w:p w14:paraId="7C1E1A8F" w14:textId="77777777" w:rsidR="00CF01A0" w:rsidRPr="008D06EA" w:rsidRDefault="00CF01A0" w:rsidP="00CF01A0">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en-GB"/>
              </w:rPr>
            </w:pPr>
            <w:r w:rsidRPr="008D06EA">
              <w:rPr>
                <w:sz w:val="18"/>
                <w:szCs w:val="18"/>
                <w:lang w:eastAsia="en-GB"/>
              </w:rPr>
              <w:t xml:space="preserve"> -47,5/-44,2 </w:t>
            </w:r>
          </w:p>
        </w:tc>
        <w:tc>
          <w:tcPr>
            <w:tcW w:w="850" w:type="dxa"/>
            <w:noWrap/>
            <w:hideMark/>
          </w:tcPr>
          <w:p w14:paraId="29EDE566" w14:textId="77777777" w:rsidR="00CF01A0" w:rsidRPr="008D06EA" w:rsidRDefault="00CF01A0" w:rsidP="00CF01A0">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en-GB"/>
              </w:rPr>
            </w:pPr>
            <w:r w:rsidRPr="008D06EA">
              <w:rPr>
                <w:sz w:val="18"/>
                <w:szCs w:val="18"/>
                <w:lang w:eastAsia="en-GB"/>
              </w:rPr>
              <w:t xml:space="preserve"> A1 </w:t>
            </w:r>
          </w:p>
        </w:tc>
        <w:tc>
          <w:tcPr>
            <w:tcW w:w="709" w:type="dxa"/>
            <w:noWrap/>
            <w:hideMark/>
          </w:tcPr>
          <w:p w14:paraId="268640DD" w14:textId="77777777" w:rsidR="00CF01A0" w:rsidRPr="008D06EA" w:rsidRDefault="00CF01A0" w:rsidP="00CF01A0">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en-GB"/>
              </w:rPr>
            </w:pPr>
            <w:r w:rsidRPr="008D06EA">
              <w:rPr>
                <w:sz w:val="18"/>
                <w:szCs w:val="18"/>
                <w:lang w:eastAsia="en-GB"/>
              </w:rPr>
              <w:t xml:space="preserve"> 2 200 </w:t>
            </w:r>
          </w:p>
        </w:tc>
        <w:tc>
          <w:tcPr>
            <w:tcW w:w="850" w:type="dxa"/>
            <w:noWrap/>
            <w:hideMark/>
          </w:tcPr>
          <w:p w14:paraId="07732AB7" w14:textId="77777777" w:rsidR="00CF01A0" w:rsidRPr="008D06EA" w:rsidRDefault="00CF01A0" w:rsidP="00CF01A0">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en-GB"/>
              </w:rPr>
            </w:pPr>
            <w:r w:rsidRPr="008D06EA">
              <w:rPr>
                <w:sz w:val="18"/>
                <w:szCs w:val="18"/>
                <w:lang w:eastAsia="en-GB"/>
              </w:rPr>
              <w:t xml:space="preserve"> 4 100 </w:t>
            </w:r>
          </w:p>
        </w:tc>
      </w:tr>
      <w:tr w:rsidR="00CF01A0" w:rsidRPr="0000233D" w14:paraId="7A0C4E58" w14:textId="77777777" w:rsidTr="00CF01A0">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276" w:type="dxa"/>
            <w:noWrap/>
            <w:hideMark/>
          </w:tcPr>
          <w:p w14:paraId="245F3392" w14:textId="77777777" w:rsidR="00CF01A0" w:rsidRPr="008D06EA" w:rsidRDefault="00CF01A0" w:rsidP="00CF01A0">
            <w:pPr>
              <w:rPr>
                <w:rFonts w:eastAsia="Times New Roman" w:cs="Times New Roman"/>
                <w:sz w:val="18"/>
                <w:szCs w:val="18"/>
                <w:lang w:eastAsia="en-GB"/>
              </w:rPr>
            </w:pPr>
            <w:r w:rsidRPr="008D06EA">
              <w:rPr>
                <w:sz w:val="18"/>
                <w:szCs w:val="18"/>
                <w:lang w:eastAsia="en-GB"/>
              </w:rPr>
              <w:t>R-453A</w:t>
            </w:r>
          </w:p>
        </w:tc>
        <w:tc>
          <w:tcPr>
            <w:tcW w:w="2552" w:type="dxa"/>
            <w:hideMark/>
          </w:tcPr>
          <w:p w14:paraId="734A3FED" w14:textId="77777777" w:rsidR="00CF01A0" w:rsidRPr="008D06EA" w:rsidRDefault="00CF01A0" w:rsidP="00CF01A0">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8D06EA">
              <w:rPr>
                <w:sz w:val="18"/>
                <w:szCs w:val="18"/>
                <w:lang w:eastAsia="en-GB"/>
              </w:rPr>
              <w:t>R-32/125/134a/227ea/600/601a (20,0/20,0/53,8/5,0/0,6/0,6)</w:t>
            </w:r>
          </w:p>
        </w:tc>
        <w:tc>
          <w:tcPr>
            <w:tcW w:w="1134" w:type="dxa"/>
            <w:noWrap/>
            <w:hideMark/>
          </w:tcPr>
          <w:p w14:paraId="028369C7" w14:textId="77777777" w:rsidR="00CF01A0" w:rsidRPr="008D06EA" w:rsidRDefault="00CF01A0" w:rsidP="00CF01A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8D06EA">
              <w:rPr>
                <w:sz w:val="18"/>
                <w:szCs w:val="18"/>
                <w:lang w:eastAsia="en-GB"/>
              </w:rPr>
              <w:t xml:space="preserve"> 88,8 </w:t>
            </w:r>
          </w:p>
        </w:tc>
        <w:tc>
          <w:tcPr>
            <w:tcW w:w="1134" w:type="dxa"/>
            <w:noWrap/>
            <w:hideMark/>
          </w:tcPr>
          <w:p w14:paraId="067DA261" w14:textId="77777777" w:rsidR="00CF01A0" w:rsidRPr="008D06EA" w:rsidRDefault="00CF01A0" w:rsidP="00CF01A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8D06EA">
              <w:rPr>
                <w:sz w:val="18"/>
                <w:szCs w:val="18"/>
                <w:lang w:eastAsia="en-GB"/>
              </w:rPr>
              <w:t xml:space="preserve"> -42,2/-35,0 </w:t>
            </w:r>
          </w:p>
        </w:tc>
        <w:tc>
          <w:tcPr>
            <w:tcW w:w="850" w:type="dxa"/>
            <w:noWrap/>
            <w:hideMark/>
          </w:tcPr>
          <w:p w14:paraId="1CCB27BA" w14:textId="77777777" w:rsidR="00CF01A0" w:rsidRPr="008D06EA" w:rsidRDefault="00CF01A0" w:rsidP="00CF01A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8D06EA">
              <w:rPr>
                <w:sz w:val="18"/>
                <w:szCs w:val="18"/>
                <w:lang w:eastAsia="en-GB"/>
              </w:rPr>
              <w:t xml:space="preserve"> A1 </w:t>
            </w:r>
          </w:p>
        </w:tc>
        <w:tc>
          <w:tcPr>
            <w:tcW w:w="709" w:type="dxa"/>
            <w:noWrap/>
            <w:hideMark/>
          </w:tcPr>
          <w:p w14:paraId="38BFD5CA" w14:textId="77777777" w:rsidR="00CF01A0" w:rsidRPr="008D06EA" w:rsidRDefault="00CF01A0" w:rsidP="00CF01A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8D06EA">
              <w:rPr>
                <w:sz w:val="18"/>
                <w:szCs w:val="18"/>
                <w:lang w:eastAsia="en-GB"/>
              </w:rPr>
              <w:t xml:space="preserve"> 1 700 </w:t>
            </w:r>
          </w:p>
        </w:tc>
        <w:tc>
          <w:tcPr>
            <w:tcW w:w="850" w:type="dxa"/>
            <w:noWrap/>
            <w:hideMark/>
          </w:tcPr>
          <w:p w14:paraId="32797F10" w14:textId="77777777" w:rsidR="00CF01A0" w:rsidRPr="008D06EA" w:rsidRDefault="00CF01A0" w:rsidP="00CF01A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8D06EA">
              <w:rPr>
                <w:sz w:val="18"/>
                <w:szCs w:val="18"/>
                <w:lang w:eastAsia="en-GB"/>
              </w:rPr>
              <w:t xml:space="preserve"> 4 100 </w:t>
            </w:r>
          </w:p>
        </w:tc>
      </w:tr>
      <w:tr w:rsidR="00CF01A0" w:rsidRPr="0000233D" w14:paraId="42ACB6EA" w14:textId="77777777" w:rsidTr="00CF01A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6" w:type="dxa"/>
            <w:noWrap/>
            <w:hideMark/>
          </w:tcPr>
          <w:p w14:paraId="45267563" w14:textId="77777777" w:rsidR="00CF01A0" w:rsidRPr="008D06EA" w:rsidRDefault="00CF01A0" w:rsidP="00CF01A0">
            <w:pPr>
              <w:rPr>
                <w:rFonts w:eastAsia="Times New Roman" w:cs="Times New Roman"/>
                <w:sz w:val="18"/>
                <w:szCs w:val="18"/>
                <w:lang w:eastAsia="en-GB"/>
              </w:rPr>
            </w:pPr>
            <w:r w:rsidRPr="008D06EA">
              <w:rPr>
                <w:sz w:val="18"/>
                <w:szCs w:val="18"/>
                <w:lang w:eastAsia="en-GB"/>
              </w:rPr>
              <w:t>R-454A</w:t>
            </w:r>
          </w:p>
        </w:tc>
        <w:tc>
          <w:tcPr>
            <w:tcW w:w="2552" w:type="dxa"/>
            <w:hideMark/>
          </w:tcPr>
          <w:p w14:paraId="6F7234B3" w14:textId="77777777" w:rsidR="00CF01A0" w:rsidRPr="008D06EA" w:rsidRDefault="00CF01A0" w:rsidP="00CF01A0">
            <w:pP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en-GB"/>
              </w:rPr>
            </w:pPr>
            <w:r w:rsidRPr="008D06EA">
              <w:rPr>
                <w:sz w:val="18"/>
                <w:szCs w:val="18"/>
                <w:lang w:eastAsia="en-GB"/>
              </w:rPr>
              <w:t>R-32/1234yf (35,0/65,0)</w:t>
            </w:r>
          </w:p>
        </w:tc>
        <w:tc>
          <w:tcPr>
            <w:tcW w:w="1134" w:type="dxa"/>
            <w:noWrap/>
            <w:hideMark/>
          </w:tcPr>
          <w:p w14:paraId="0B5C99C9" w14:textId="77777777" w:rsidR="00CF01A0" w:rsidRPr="008D06EA" w:rsidRDefault="00CF01A0" w:rsidP="00CF01A0">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en-GB"/>
              </w:rPr>
            </w:pPr>
            <w:r w:rsidRPr="008D06EA">
              <w:rPr>
                <w:sz w:val="18"/>
                <w:szCs w:val="18"/>
                <w:lang w:eastAsia="en-GB"/>
              </w:rPr>
              <w:t xml:space="preserve"> 80,5 </w:t>
            </w:r>
          </w:p>
        </w:tc>
        <w:tc>
          <w:tcPr>
            <w:tcW w:w="1134" w:type="dxa"/>
            <w:noWrap/>
            <w:hideMark/>
          </w:tcPr>
          <w:p w14:paraId="7A847714" w14:textId="77777777" w:rsidR="00CF01A0" w:rsidRPr="008D06EA" w:rsidRDefault="00CF01A0" w:rsidP="00CF01A0">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en-GB"/>
              </w:rPr>
            </w:pPr>
            <w:r w:rsidRPr="008D06EA">
              <w:rPr>
                <w:sz w:val="18"/>
                <w:szCs w:val="18"/>
                <w:lang w:eastAsia="en-GB"/>
              </w:rPr>
              <w:t xml:space="preserve"> -48,4/-41,6 </w:t>
            </w:r>
          </w:p>
        </w:tc>
        <w:tc>
          <w:tcPr>
            <w:tcW w:w="850" w:type="dxa"/>
            <w:noWrap/>
            <w:hideMark/>
          </w:tcPr>
          <w:p w14:paraId="46D929E9" w14:textId="77777777" w:rsidR="00CF01A0" w:rsidRPr="008D06EA" w:rsidRDefault="00CF01A0" w:rsidP="00CF01A0">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en-GB"/>
              </w:rPr>
            </w:pPr>
            <w:r w:rsidRPr="008D06EA">
              <w:rPr>
                <w:sz w:val="18"/>
                <w:szCs w:val="18"/>
                <w:lang w:eastAsia="en-GB"/>
              </w:rPr>
              <w:t xml:space="preserve"> A2L </w:t>
            </w:r>
          </w:p>
        </w:tc>
        <w:tc>
          <w:tcPr>
            <w:tcW w:w="709" w:type="dxa"/>
            <w:noWrap/>
            <w:hideMark/>
          </w:tcPr>
          <w:p w14:paraId="14299C00" w14:textId="77777777" w:rsidR="00CF01A0" w:rsidRPr="008D06EA" w:rsidRDefault="00CF01A0" w:rsidP="00CF01A0">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en-GB"/>
              </w:rPr>
            </w:pPr>
            <w:r w:rsidRPr="008D06EA">
              <w:rPr>
                <w:sz w:val="18"/>
                <w:szCs w:val="18"/>
                <w:lang w:eastAsia="en-GB"/>
              </w:rPr>
              <w:t xml:space="preserve"> 250 </w:t>
            </w:r>
          </w:p>
        </w:tc>
        <w:tc>
          <w:tcPr>
            <w:tcW w:w="850" w:type="dxa"/>
            <w:noWrap/>
            <w:hideMark/>
          </w:tcPr>
          <w:p w14:paraId="1B526300" w14:textId="77777777" w:rsidR="00CF01A0" w:rsidRPr="008D06EA" w:rsidRDefault="00CF01A0" w:rsidP="00CF01A0">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en-GB"/>
              </w:rPr>
            </w:pPr>
            <w:r w:rsidRPr="008D06EA">
              <w:rPr>
                <w:sz w:val="18"/>
                <w:szCs w:val="18"/>
                <w:lang w:eastAsia="en-GB"/>
              </w:rPr>
              <w:t xml:space="preserve"> 890 </w:t>
            </w:r>
          </w:p>
        </w:tc>
      </w:tr>
      <w:tr w:rsidR="00CF01A0" w:rsidRPr="0000233D" w14:paraId="2B863080" w14:textId="77777777" w:rsidTr="00CF01A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6" w:type="dxa"/>
            <w:noWrap/>
            <w:hideMark/>
          </w:tcPr>
          <w:p w14:paraId="76F20685" w14:textId="77777777" w:rsidR="00CF01A0" w:rsidRPr="008D06EA" w:rsidRDefault="00CF01A0" w:rsidP="00CF01A0">
            <w:pPr>
              <w:rPr>
                <w:rFonts w:eastAsia="Times New Roman" w:cs="Times New Roman"/>
                <w:sz w:val="18"/>
                <w:szCs w:val="18"/>
                <w:lang w:eastAsia="en-GB"/>
              </w:rPr>
            </w:pPr>
            <w:r w:rsidRPr="008D06EA">
              <w:rPr>
                <w:sz w:val="18"/>
                <w:szCs w:val="18"/>
                <w:lang w:eastAsia="en-GB"/>
              </w:rPr>
              <w:t>R-454B</w:t>
            </w:r>
          </w:p>
        </w:tc>
        <w:tc>
          <w:tcPr>
            <w:tcW w:w="2552" w:type="dxa"/>
            <w:hideMark/>
          </w:tcPr>
          <w:p w14:paraId="3DF12283" w14:textId="77777777" w:rsidR="00CF01A0" w:rsidRPr="008D06EA" w:rsidRDefault="00CF01A0" w:rsidP="00CF01A0">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8D06EA">
              <w:rPr>
                <w:sz w:val="18"/>
                <w:szCs w:val="18"/>
                <w:lang w:eastAsia="en-GB"/>
              </w:rPr>
              <w:t>R-32/1234yf (68,9/31,1)</w:t>
            </w:r>
          </w:p>
        </w:tc>
        <w:tc>
          <w:tcPr>
            <w:tcW w:w="1134" w:type="dxa"/>
            <w:noWrap/>
            <w:hideMark/>
          </w:tcPr>
          <w:p w14:paraId="66C5E1B7" w14:textId="77777777" w:rsidR="00CF01A0" w:rsidRPr="008D06EA" w:rsidRDefault="00CF01A0" w:rsidP="00CF01A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8D06EA">
              <w:rPr>
                <w:sz w:val="18"/>
                <w:szCs w:val="18"/>
                <w:lang w:eastAsia="en-GB"/>
              </w:rPr>
              <w:t xml:space="preserve"> 62,6 </w:t>
            </w:r>
          </w:p>
        </w:tc>
        <w:tc>
          <w:tcPr>
            <w:tcW w:w="1134" w:type="dxa"/>
            <w:noWrap/>
            <w:hideMark/>
          </w:tcPr>
          <w:p w14:paraId="5071196C" w14:textId="77777777" w:rsidR="00CF01A0" w:rsidRPr="008D06EA" w:rsidRDefault="00CF01A0" w:rsidP="00CF01A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8D06EA">
              <w:rPr>
                <w:sz w:val="18"/>
                <w:szCs w:val="18"/>
                <w:lang w:eastAsia="en-GB"/>
              </w:rPr>
              <w:t xml:space="preserve"> -50,9/-50,0 </w:t>
            </w:r>
          </w:p>
        </w:tc>
        <w:tc>
          <w:tcPr>
            <w:tcW w:w="850" w:type="dxa"/>
            <w:noWrap/>
            <w:hideMark/>
          </w:tcPr>
          <w:p w14:paraId="1DE92C50" w14:textId="77777777" w:rsidR="00CF01A0" w:rsidRPr="008D06EA" w:rsidRDefault="00CF01A0" w:rsidP="00CF01A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8D06EA">
              <w:rPr>
                <w:sz w:val="18"/>
                <w:szCs w:val="18"/>
                <w:lang w:eastAsia="en-GB"/>
              </w:rPr>
              <w:t xml:space="preserve"> A2L </w:t>
            </w:r>
          </w:p>
        </w:tc>
        <w:tc>
          <w:tcPr>
            <w:tcW w:w="709" w:type="dxa"/>
            <w:noWrap/>
            <w:hideMark/>
          </w:tcPr>
          <w:p w14:paraId="1555B801" w14:textId="77777777" w:rsidR="00CF01A0" w:rsidRPr="008D06EA" w:rsidRDefault="00CF01A0" w:rsidP="00CF01A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8D06EA">
              <w:rPr>
                <w:sz w:val="18"/>
                <w:szCs w:val="18"/>
                <w:lang w:eastAsia="en-GB"/>
              </w:rPr>
              <w:t xml:space="preserve"> 490 </w:t>
            </w:r>
          </w:p>
        </w:tc>
        <w:tc>
          <w:tcPr>
            <w:tcW w:w="850" w:type="dxa"/>
            <w:noWrap/>
            <w:hideMark/>
          </w:tcPr>
          <w:p w14:paraId="1480C805" w14:textId="77777777" w:rsidR="00CF01A0" w:rsidRPr="008D06EA" w:rsidRDefault="00CF01A0" w:rsidP="00CF01A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8D06EA">
              <w:rPr>
                <w:sz w:val="18"/>
                <w:szCs w:val="18"/>
                <w:lang w:eastAsia="en-GB"/>
              </w:rPr>
              <w:t xml:space="preserve"> 1 700 </w:t>
            </w:r>
          </w:p>
        </w:tc>
      </w:tr>
      <w:tr w:rsidR="00CF01A0" w:rsidRPr="0000233D" w14:paraId="752E3F60" w14:textId="77777777" w:rsidTr="00CF01A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6" w:type="dxa"/>
            <w:noWrap/>
            <w:hideMark/>
          </w:tcPr>
          <w:p w14:paraId="55FF5951" w14:textId="77777777" w:rsidR="00CF01A0" w:rsidRPr="008D06EA" w:rsidRDefault="00CF01A0" w:rsidP="00CF01A0">
            <w:pPr>
              <w:rPr>
                <w:rFonts w:eastAsia="Times New Roman" w:cs="Times New Roman"/>
                <w:sz w:val="18"/>
                <w:szCs w:val="18"/>
                <w:lang w:eastAsia="en-GB"/>
              </w:rPr>
            </w:pPr>
            <w:r w:rsidRPr="008D06EA">
              <w:rPr>
                <w:sz w:val="18"/>
                <w:szCs w:val="18"/>
                <w:lang w:eastAsia="en-GB"/>
              </w:rPr>
              <w:t>R-454C</w:t>
            </w:r>
          </w:p>
        </w:tc>
        <w:tc>
          <w:tcPr>
            <w:tcW w:w="2552" w:type="dxa"/>
            <w:hideMark/>
          </w:tcPr>
          <w:p w14:paraId="401268D2" w14:textId="77777777" w:rsidR="00CF01A0" w:rsidRPr="008D06EA" w:rsidRDefault="00CF01A0" w:rsidP="00CF01A0">
            <w:pP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en-GB"/>
              </w:rPr>
            </w:pPr>
            <w:r w:rsidRPr="008D06EA">
              <w:rPr>
                <w:sz w:val="18"/>
                <w:szCs w:val="18"/>
                <w:lang w:eastAsia="en-GB"/>
              </w:rPr>
              <w:t>R-32/1234yf (21,5/78,5)</w:t>
            </w:r>
          </w:p>
        </w:tc>
        <w:tc>
          <w:tcPr>
            <w:tcW w:w="1134" w:type="dxa"/>
            <w:noWrap/>
            <w:hideMark/>
          </w:tcPr>
          <w:p w14:paraId="1D4C0573" w14:textId="77777777" w:rsidR="00CF01A0" w:rsidRPr="008D06EA" w:rsidRDefault="00CF01A0" w:rsidP="00CF01A0">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en-GB"/>
              </w:rPr>
            </w:pPr>
            <w:r w:rsidRPr="008D06EA">
              <w:rPr>
                <w:sz w:val="18"/>
                <w:szCs w:val="18"/>
                <w:lang w:eastAsia="en-GB"/>
              </w:rPr>
              <w:t xml:space="preserve"> 90,8 </w:t>
            </w:r>
          </w:p>
        </w:tc>
        <w:tc>
          <w:tcPr>
            <w:tcW w:w="1134" w:type="dxa"/>
            <w:noWrap/>
            <w:hideMark/>
          </w:tcPr>
          <w:p w14:paraId="0879D95C" w14:textId="77777777" w:rsidR="00CF01A0" w:rsidRPr="008D06EA" w:rsidRDefault="00CF01A0" w:rsidP="00CF01A0">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en-GB"/>
              </w:rPr>
            </w:pPr>
            <w:r w:rsidRPr="008D06EA">
              <w:rPr>
                <w:sz w:val="18"/>
                <w:szCs w:val="18"/>
                <w:lang w:eastAsia="en-GB"/>
              </w:rPr>
              <w:t xml:space="preserve"> -46,0/-37,8 </w:t>
            </w:r>
          </w:p>
        </w:tc>
        <w:tc>
          <w:tcPr>
            <w:tcW w:w="850" w:type="dxa"/>
            <w:noWrap/>
            <w:hideMark/>
          </w:tcPr>
          <w:p w14:paraId="459443F6" w14:textId="77777777" w:rsidR="00CF01A0" w:rsidRPr="008D06EA" w:rsidRDefault="00CF01A0" w:rsidP="00CF01A0">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en-GB"/>
              </w:rPr>
            </w:pPr>
            <w:r w:rsidRPr="008D06EA">
              <w:rPr>
                <w:sz w:val="18"/>
                <w:szCs w:val="18"/>
                <w:lang w:eastAsia="en-GB"/>
              </w:rPr>
              <w:t xml:space="preserve"> A2L </w:t>
            </w:r>
          </w:p>
        </w:tc>
        <w:tc>
          <w:tcPr>
            <w:tcW w:w="709" w:type="dxa"/>
            <w:noWrap/>
            <w:hideMark/>
          </w:tcPr>
          <w:p w14:paraId="64000E47" w14:textId="77777777" w:rsidR="00CF01A0" w:rsidRPr="008D06EA" w:rsidRDefault="00CF01A0" w:rsidP="00CF01A0">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en-GB"/>
              </w:rPr>
            </w:pPr>
            <w:r w:rsidRPr="008D06EA">
              <w:rPr>
                <w:sz w:val="18"/>
                <w:szCs w:val="18"/>
                <w:lang w:eastAsia="en-GB"/>
              </w:rPr>
              <w:t xml:space="preserve"> 150 </w:t>
            </w:r>
          </w:p>
        </w:tc>
        <w:tc>
          <w:tcPr>
            <w:tcW w:w="850" w:type="dxa"/>
            <w:noWrap/>
            <w:hideMark/>
          </w:tcPr>
          <w:p w14:paraId="7130B8CB" w14:textId="77777777" w:rsidR="00CF01A0" w:rsidRPr="008D06EA" w:rsidRDefault="00CF01A0" w:rsidP="00CF01A0">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en-GB"/>
              </w:rPr>
            </w:pPr>
            <w:r w:rsidRPr="008D06EA">
              <w:rPr>
                <w:sz w:val="18"/>
                <w:szCs w:val="18"/>
                <w:lang w:eastAsia="en-GB"/>
              </w:rPr>
              <w:t xml:space="preserve"> 540 </w:t>
            </w:r>
          </w:p>
        </w:tc>
      </w:tr>
      <w:tr w:rsidR="00CF01A0" w:rsidRPr="0000233D" w14:paraId="7904E094" w14:textId="77777777" w:rsidTr="00CF01A0">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276" w:type="dxa"/>
            <w:noWrap/>
            <w:hideMark/>
          </w:tcPr>
          <w:p w14:paraId="0A423AFE" w14:textId="77777777" w:rsidR="00CF01A0" w:rsidRPr="008D06EA" w:rsidRDefault="00CF01A0" w:rsidP="00CF01A0">
            <w:pPr>
              <w:rPr>
                <w:rFonts w:eastAsia="Times New Roman" w:cs="Times New Roman"/>
                <w:sz w:val="18"/>
                <w:szCs w:val="18"/>
                <w:lang w:eastAsia="en-GB"/>
              </w:rPr>
            </w:pPr>
            <w:r w:rsidRPr="008D06EA">
              <w:rPr>
                <w:sz w:val="18"/>
                <w:szCs w:val="18"/>
                <w:lang w:eastAsia="en-GB"/>
              </w:rPr>
              <w:t>R-455A</w:t>
            </w:r>
          </w:p>
        </w:tc>
        <w:tc>
          <w:tcPr>
            <w:tcW w:w="2552" w:type="dxa"/>
            <w:hideMark/>
          </w:tcPr>
          <w:p w14:paraId="29DDD228" w14:textId="77777777" w:rsidR="00CF01A0" w:rsidRPr="008D06EA" w:rsidRDefault="00CF01A0" w:rsidP="00CF01A0">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8D06EA">
              <w:rPr>
                <w:sz w:val="18"/>
                <w:szCs w:val="18"/>
                <w:lang w:eastAsia="en-GB"/>
              </w:rPr>
              <w:t>R-744/32/1234yf (3,0/21,5/75,5)</w:t>
            </w:r>
          </w:p>
        </w:tc>
        <w:tc>
          <w:tcPr>
            <w:tcW w:w="1134" w:type="dxa"/>
            <w:noWrap/>
            <w:hideMark/>
          </w:tcPr>
          <w:p w14:paraId="3DD3FEA1" w14:textId="77777777" w:rsidR="00CF01A0" w:rsidRPr="008D06EA" w:rsidRDefault="00CF01A0" w:rsidP="00CF01A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8D06EA">
              <w:rPr>
                <w:sz w:val="18"/>
                <w:szCs w:val="18"/>
                <w:lang w:eastAsia="en-GB"/>
              </w:rPr>
              <w:t xml:space="preserve"> 87,5 </w:t>
            </w:r>
          </w:p>
        </w:tc>
        <w:tc>
          <w:tcPr>
            <w:tcW w:w="1134" w:type="dxa"/>
            <w:noWrap/>
            <w:hideMark/>
          </w:tcPr>
          <w:p w14:paraId="08DC45E0" w14:textId="77777777" w:rsidR="00CF01A0" w:rsidRPr="008D06EA" w:rsidRDefault="00CF01A0" w:rsidP="00CF01A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8D06EA">
              <w:rPr>
                <w:sz w:val="18"/>
                <w:szCs w:val="18"/>
                <w:lang w:eastAsia="en-GB"/>
              </w:rPr>
              <w:t xml:space="preserve"> -51,6/-39,1 </w:t>
            </w:r>
          </w:p>
        </w:tc>
        <w:tc>
          <w:tcPr>
            <w:tcW w:w="850" w:type="dxa"/>
            <w:noWrap/>
            <w:hideMark/>
          </w:tcPr>
          <w:p w14:paraId="05715E9F" w14:textId="77777777" w:rsidR="00CF01A0" w:rsidRPr="008D06EA" w:rsidRDefault="00CF01A0" w:rsidP="00CF01A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8D06EA">
              <w:rPr>
                <w:sz w:val="18"/>
                <w:szCs w:val="18"/>
                <w:lang w:eastAsia="en-GB"/>
              </w:rPr>
              <w:t xml:space="preserve"> A2L </w:t>
            </w:r>
          </w:p>
        </w:tc>
        <w:tc>
          <w:tcPr>
            <w:tcW w:w="709" w:type="dxa"/>
            <w:noWrap/>
            <w:hideMark/>
          </w:tcPr>
          <w:p w14:paraId="6947AEBC" w14:textId="77777777" w:rsidR="00CF01A0" w:rsidRPr="008D06EA" w:rsidRDefault="00CF01A0" w:rsidP="00CF01A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8D06EA">
              <w:rPr>
                <w:sz w:val="18"/>
                <w:szCs w:val="18"/>
                <w:lang w:eastAsia="en-GB"/>
              </w:rPr>
              <w:t xml:space="preserve"> 150 </w:t>
            </w:r>
          </w:p>
        </w:tc>
        <w:tc>
          <w:tcPr>
            <w:tcW w:w="850" w:type="dxa"/>
            <w:noWrap/>
            <w:hideMark/>
          </w:tcPr>
          <w:p w14:paraId="7E074C3E" w14:textId="77777777" w:rsidR="00CF01A0" w:rsidRPr="008D06EA" w:rsidRDefault="00CF01A0" w:rsidP="00CF01A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8D06EA">
              <w:rPr>
                <w:sz w:val="18"/>
                <w:szCs w:val="18"/>
                <w:lang w:eastAsia="en-GB"/>
              </w:rPr>
              <w:t xml:space="preserve"> 540 </w:t>
            </w:r>
          </w:p>
        </w:tc>
      </w:tr>
      <w:tr w:rsidR="00CF01A0" w:rsidRPr="0000233D" w14:paraId="61D9A10E" w14:textId="77777777" w:rsidTr="00CF01A0">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276" w:type="dxa"/>
            <w:noWrap/>
            <w:hideMark/>
          </w:tcPr>
          <w:p w14:paraId="4B2889EC" w14:textId="77777777" w:rsidR="00CF01A0" w:rsidRPr="008D06EA" w:rsidRDefault="00CF01A0" w:rsidP="00CF01A0">
            <w:pPr>
              <w:rPr>
                <w:rFonts w:eastAsia="Times New Roman" w:cs="Times New Roman"/>
                <w:sz w:val="18"/>
                <w:szCs w:val="18"/>
                <w:lang w:eastAsia="en-GB"/>
              </w:rPr>
            </w:pPr>
            <w:r w:rsidRPr="008D06EA">
              <w:rPr>
                <w:sz w:val="18"/>
                <w:szCs w:val="18"/>
                <w:lang w:eastAsia="en-GB"/>
              </w:rPr>
              <w:t>R-456A</w:t>
            </w:r>
          </w:p>
        </w:tc>
        <w:tc>
          <w:tcPr>
            <w:tcW w:w="2552" w:type="dxa"/>
            <w:hideMark/>
          </w:tcPr>
          <w:p w14:paraId="6D3FFBD2" w14:textId="77777777" w:rsidR="00CF01A0" w:rsidRPr="008D06EA" w:rsidRDefault="00CF01A0" w:rsidP="00CF01A0">
            <w:pP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en-GB"/>
              </w:rPr>
            </w:pPr>
            <w:r w:rsidRPr="008D06EA">
              <w:rPr>
                <w:sz w:val="18"/>
                <w:szCs w:val="18"/>
                <w:lang w:eastAsia="en-GB"/>
              </w:rPr>
              <w:t>R-32/134a/1234ze(E) (6,0/45,0/49,0)</w:t>
            </w:r>
          </w:p>
        </w:tc>
        <w:tc>
          <w:tcPr>
            <w:tcW w:w="1134" w:type="dxa"/>
            <w:noWrap/>
            <w:hideMark/>
          </w:tcPr>
          <w:p w14:paraId="4AACA65E" w14:textId="77777777" w:rsidR="00CF01A0" w:rsidRPr="008D06EA" w:rsidRDefault="00CF01A0" w:rsidP="00CF01A0">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en-GB"/>
              </w:rPr>
            </w:pPr>
            <w:r w:rsidRPr="008D06EA">
              <w:rPr>
                <w:sz w:val="18"/>
                <w:szCs w:val="18"/>
                <w:lang w:eastAsia="en-GB"/>
              </w:rPr>
              <w:t xml:space="preserve"> 101,4 </w:t>
            </w:r>
          </w:p>
        </w:tc>
        <w:tc>
          <w:tcPr>
            <w:tcW w:w="1134" w:type="dxa"/>
            <w:noWrap/>
            <w:hideMark/>
          </w:tcPr>
          <w:p w14:paraId="5C774062" w14:textId="77777777" w:rsidR="00CF01A0" w:rsidRPr="008D06EA" w:rsidRDefault="00CF01A0" w:rsidP="00CF01A0">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en-GB"/>
              </w:rPr>
            </w:pPr>
            <w:r w:rsidRPr="008D06EA">
              <w:rPr>
                <w:sz w:val="18"/>
                <w:szCs w:val="18"/>
                <w:lang w:eastAsia="en-GB"/>
              </w:rPr>
              <w:t xml:space="preserve"> -30,4/-25,6 </w:t>
            </w:r>
          </w:p>
        </w:tc>
        <w:tc>
          <w:tcPr>
            <w:tcW w:w="850" w:type="dxa"/>
            <w:noWrap/>
            <w:hideMark/>
          </w:tcPr>
          <w:p w14:paraId="65EDE071" w14:textId="77777777" w:rsidR="00CF01A0" w:rsidRPr="008D06EA" w:rsidRDefault="00CF01A0" w:rsidP="00CF01A0">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en-GB"/>
              </w:rPr>
            </w:pPr>
            <w:r w:rsidRPr="008D06EA">
              <w:rPr>
                <w:sz w:val="18"/>
                <w:szCs w:val="18"/>
                <w:lang w:eastAsia="en-GB"/>
              </w:rPr>
              <w:t xml:space="preserve"> A1/ A1 </w:t>
            </w:r>
          </w:p>
        </w:tc>
        <w:tc>
          <w:tcPr>
            <w:tcW w:w="709" w:type="dxa"/>
            <w:noWrap/>
            <w:hideMark/>
          </w:tcPr>
          <w:p w14:paraId="71C83E04" w14:textId="77777777" w:rsidR="00CF01A0" w:rsidRPr="008D06EA" w:rsidRDefault="00CF01A0" w:rsidP="00CF01A0">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en-GB"/>
              </w:rPr>
            </w:pPr>
            <w:r w:rsidRPr="008D06EA">
              <w:rPr>
                <w:sz w:val="18"/>
                <w:szCs w:val="18"/>
                <w:lang w:eastAsia="en-GB"/>
              </w:rPr>
              <w:t xml:space="preserve"> 650 </w:t>
            </w:r>
          </w:p>
        </w:tc>
        <w:tc>
          <w:tcPr>
            <w:tcW w:w="850" w:type="dxa"/>
            <w:noWrap/>
            <w:hideMark/>
          </w:tcPr>
          <w:p w14:paraId="2A002008" w14:textId="77777777" w:rsidR="00CF01A0" w:rsidRPr="008D06EA" w:rsidRDefault="00CF01A0" w:rsidP="00CF01A0">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en-GB"/>
              </w:rPr>
            </w:pPr>
            <w:r w:rsidRPr="008D06EA">
              <w:rPr>
                <w:sz w:val="18"/>
                <w:szCs w:val="18"/>
                <w:lang w:eastAsia="en-GB"/>
              </w:rPr>
              <w:t xml:space="preserve"> 1 900 </w:t>
            </w:r>
          </w:p>
        </w:tc>
      </w:tr>
      <w:tr w:rsidR="00CF01A0" w:rsidRPr="0000233D" w14:paraId="2F2934E2" w14:textId="77777777" w:rsidTr="00CF01A0">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276" w:type="dxa"/>
            <w:noWrap/>
            <w:hideMark/>
          </w:tcPr>
          <w:p w14:paraId="7504813B" w14:textId="77777777" w:rsidR="00CF01A0" w:rsidRPr="008D06EA" w:rsidRDefault="00CF01A0" w:rsidP="00CF01A0">
            <w:pPr>
              <w:rPr>
                <w:rFonts w:eastAsia="Times New Roman" w:cs="Times New Roman"/>
                <w:sz w:val="18"/>
                <w:szCs w:val="18"/>
                <w:lang w:eastAsia="en-GB"/>
              </w:rPr>
            </w:pPr>
            <w:r w:rsidRPr="008D06EA">
              <w:rPr>
                <w:sz w:val="18"/>
                <w:szCs w:val="18"/>
                <w:lang w:eastAsia="en-GB"/>
              </w:rPr>
              <w:t>R-457A</w:t>
            </w:r>
          </w:p>
        </w:tc>
        <w:tc>
          <w:tcPr>
            <w:tcW w:w="2552" w:type="dxa"/>
            <w:hideMark/>
          </w:tcPr>
          <w:p w14:paraId="48DEAAE5" w14:textId="77777777" w:rsidR="00CF01A0" w:rsidRPr="008D06EA" w:rsidRDefault="00CF01A0" w:rsidP="00CF01A0">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8D06EA">
              <w:rPr>
                <w:sz w:val="18"/>
                <w:szCs w:val="18"/>
                <w:lang w:eastAsia="en-GB"/>
              </w:rPr>
              <w:t>R-32/1234yf/152a (18,0/70,0/12,0)</w:t>
            </w:r>
          </w:p>
        </w:tc>
        <w:tc>
          <w:tcPr>
            <w:tcW w:w="1134" w:type="dxa"/>
            <w:noWrap/>
            <w:hideMark/>
          </w:tcPr>
          <w:p w14:paraId="214EF3C7" w14:textId="77777777" w:rsidR="00CF01A0" w:rsidRPr="008D06EA" w:rsidRDefault="00CF01A0" w:rsidP="00CF01A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8D06EA">
              <w:rPr>
                <w:sz w:val="18"/>
                <w:szCs w:val="18"/>
                <w:lang w:eastAsia="en-GB"/>
              </w:rPr>
              <w:t xml:space="preserve"> 87,6 </w:t>
            </w:r>
          </w:p>
        </w:tc>
        <w:tc>
          <w:tcPr>
            <w:tcW w:w="1134" w:type="dxa"/>
            <w:noWrap/>
            <w:hideMark/>
          </w:tcPr>
          <w:p w14:paraId="6CEAD1F0" w14:textId="77777777" w:rsidR="00CF01A0" w:rsidRPr="008D06EA" w:rsidRDefault="00CF01A0" w:rsidP="00CF01A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8D06EA">
              <w:rPr>
                <w:sz w:val="18"/>
                <w:szCs w:val="18"/>
                <w:lang w:eastAsia="en-GB"/>
              </w:rPr>
              <w:t xml:space="preserve"> -42,7/-35,5 </w:t>
            </w:r>
          </w:p>
        </w:tc>
        <w:tc>
          <w:tcPr>
            <w:tcW w:w="850" w:type="dxa"/>
            <w:noWrap/>
            <w:hideMark/>
          </w:tcPr>
          <w:p w14:paraId="0784CA52" w14:textId="77777777" w:rsidR="00CF01A0" w:rsidRPr="008D06EA" w:rsidRDefault="00CF01A0" w:rsidP="00CF01A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8D06EA">
              <w:rPr>
                <w:sz w:val="18"/>
                <w:szCs w:val="18"/>
                <w:lang w:eastAsia="en-GB"/>
              </w:rPr>
              <w:t xml:space="preserve"> A2L </w:t>
            </w:r>
          </w:p>
        </w:tc>
        <w:tc>
          <w:tcPr>
            <w:tcW w:w="709" w:type="dxa"/>
            <w:noWrap/>
            <w:hideMark/>
          </w:tcPr>
          <w:p w14:paraId="0C524F15" w14:textId="77777777" w:rsidR="00CF01A0" w:rsidRPr="008D06EA" w:rsidRDefault="00CF01A0" w:rsidP="00CF01A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8D06EA">
              <w:rPr>
                <w:sz w:val="18"/>
                <w:szCs w:val="18"/>
                <w:lang w:eastAsia="en-GB"/>
              </w:rPr>
              <w:t xml:space="preserve"> 150 </w:t>
            </w:r>
          </w:p>
        </w:tc>
        <w:tc>
          <w:tcPr>
            <w:tcW w:w="850" w:type="dxa"/>
            <w:noWrap/>
            <w:hideMark/>
          </w:tcPr>
          <w:p w14:paraId="4CB0A14F" w14:textId="77777777" w:rsidR="00CF01A0" w:rsidRPr="008D06EA" w:rsidRDefault="00CF01A0" w:rsidP="00CF01A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8D06EA">
              <w:rPr>
                <w:sz w:val="18"/>
                <w:szCs w:val="18"/>
                <w:lang w:eastAsia="en-GB"/>
              </w:rPr>
              <w:t xml:space="preserve"> 520 </w:t>
            </w:r>
          </w:p>
        </w:tc>
      </w:tr>
      <w:tr w:rsidR="00CF01A0" w:rsidRPr="0000233D" w14:paraId="33E9B059" w14:textId="77777777" w:rsidTr="00CF01A0">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276" w:type="dxa"/>
            <w:noWrap/>
            <w:hideMark/>
          </w:tcPr>
          <w:p w14:paraId="5ADE8C21" w14:textId="77777777" w:rsidR="00CF01A0" w:rsidRPr="008D06EA" w:rsidRDefault="00CF01A0" w:rsidP="00CF01A0">
            <w:pPr>
              <w:rPr>
                <w:rFonts w:eastAsia="Times New Roman" w:cs="Times New Roman"/>
                <w:sz w:val="18"/>
                <w:szCs w:val="18"/>
                <w:lang w:eastAsia="en-GB"/>
              </w:rPr>
            </w:pPr>
            <w:r w:rsidRPr="008D06EA">
              <w:rPr>
                <w:sz w:val="18"/>
                <w:szCs w:val="18"/>
                <w:lang w:eastAsia="en-GB"/>
              </w:rPr>
              <w:t>R-458A</w:t>
            </w:r>
          </w:p>
        </w:tc>
        <w:tc>
          <w:tcPr>
            <w:tcW w:w="2552" w:type="dxa"/>
            <w:hideMark/>
          </w:tcPr>
          <w:p w14:paraId="26B2B983" w14:textId="77777777" w:rsidR="00CF01A0" w:rsidRPr="008D06EA" w:rsidRDefault="00CF01A0" w:rsidP="00CF01A0">
            <w:pP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en-GB"/>
              </w:rPr>
            </w:pPr>
            <w:r w:rsidRPr="008D06EA">
              <w:rPr>
                <w:sz w:val="18"/>
                <w:szCs w:val="18"/>
                <w:lang w:eastAsia="en-GB"/>
              </w:rPr>
              <w:t>R-32/125/134a/227ea/236fa (20,5/4,0/61,4/13,5/0,6)</w:t>
            </w:r>
          </w:p>
        </w:tc>
        <w:tc>
          <w:tcPr>
            <w:tcW w:w="1134" w:type="dxa"/>
            <w:noWrap/>
            <w:hideMark/>
          </w:tcPr>
          <w:p w14:paraId="3183A32B" w14:textId="77777777" w:rsidR="00CF01A0" w:rsidRPr="008D06EA" w:rsidRDefault="00CF01A0" w:rsidP="00CF01A0">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en-GB"/>
              </w:rPr>
            </w:pPr>
            <w:r w:rsidRPr="008D06EA">
              <w:rPr>
                <w:sz w:val="18"/>
                <w:szCs w:val="18"/>
                <w:lang w:eastAsia="en-GB"/>
              </w:rPr>
              <w:t xml:space="preserve"> 89,9 </w:t>
            </w:r>
          </w:p>
        </w:tc>
        <w:tc>
          <w:tcPr>
            <w:tcW w:w="1134" w:type="dxa"/>
            <w:noWrap/>
            <w:hideMark/>
          </w:tcPr>
          <w:p w14:paraId="22177487" w14:textId="77777777" w:rsidR="00CF01A0" w:rsidRPr="008D06EA" w:rsidRDefault="00CF01A0" w:rsidP="00CF01A0">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en-GB"/>
              </w:rPr>
            </w:pPr>
            <w:r w:rsidRPr="008D06EA">
              <w:rPr>
                <w:sz w:val="18"/>
                <w:szCs w:val="18"/>
                <w:lang w:eastAsia="en-GB"/>
              </w:rPr>
              <w:t xml:space="preserve"> -39,8/-32,4 </w:t>
            </w:r>
          </w:p>
        </w:tc>
        <w:tc>
          <w:tcPr>
            <w:tcW w:w="850" w:type="dxa"/>
            <w:noWrap/>
            <w:hideMark/>
          </w:tcPr>
          <w:p w14:paraId="78DE1297" w14:textId="77777777" w:rsidR="00CF01A0" w:rsidRPr="008D06EA" w:rsidRDefault="00CF01A0" w:rsidP="00CF01A0">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en-GB"/>
              </w:rPr>
            </w:pPr>
            <w:r w:rsidRPr="008D06EA">
              <w:rPr>
                <w:sz w:val="18"/>
                <w:szCs w:val="18"/>
                <w:lang w:eastAsia="en-GB"/>
              </w:rPr>
              <w:t xml:space="preserve"> A1 </w:t>
            </w:r>
          </w:p>
        </w:tc>
        <w:tc>
          <w:tcPr>
            <w:tcW w:w="709" w:type="dxa"/>
            <w:noWrap/>
            <w:hideMark/>
          </w:tcPr>
          <w:p w14:paraId="7A7C29DB" w14:textId="77777777" w:rsidR="00CF01A0" w:rsidRPr="008D06EA" w:rsidRDefault="00CF01A0" w:rsidP="00CF01A0">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en-GB"/>
              </w:rPr>
            </w:pPr>
            <w:r w:rsidRPr="008D06EA">
              <w:rPr>
                <w:sz w:val="18"/>
                <w:szCs w:val="18"/>
                <w:lang w:eastAsia="en-GB"/>
              </w:rPr>
              <w:t xml:space="preserve"> 1 600 </w:t>
            </w:r>
          </w:p>
        </w:tc>
        <w:tc>
          <w:tcPr>
            <w:tcW w:w="850" w:type="dxa"/>
            <w:noWrap/>
            <w:hideMark/>
          </w:tcPr>
          <w:p w14:paraId="085EB245" w14:textId="77777777" w:rsidR="00CF01A0" w:rsidRPr="008D06EA" w:rsidRDefault="00CF01A0" w:rsidP="00CF01A0">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en-GB"/>
              </w:rPr>
            </w:pPr>
            <w:r w:rsidRPr="008D06EA">
              <w:rPr>
                <w:sz w:val="18"/>
                <w:szCs w:val="18"/>
                <w:lang w:eastAsia="en-GB"/>
              </w:rPr>
              <w:t xml:space="preserve"> 3 900 </w:t>
            </w:r>
          </w:p>
        </w:tc>
      </w:tr>
      <w:tr w:rsidR="00CF01A0" w:rsidRPr="0000233D" w14:paraId="65E826F1" w14:textId="77777777" w:rsidTr="00CF01A0">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276" w:type="dxa"/>
            <w:noWrap/>
            <w:hideMark/>
          </w:tcPr>
          <w:p w14:paraId="271F1169" w14:textId="77777777" w:rsidR="00CF01A0" w:rsidRPr="008D06EA" w:rsidRDefault="00CF01A0" w:rsidP="00CF01A0">
            <w:pPr>
              <w:rPr>
                <w:rFonts w:eastAsia="Times New Roman" w:cs="Times New Roman"/>
                <w:sz w:val="18"/>
                <w:szCs w:val="18"/>
                <w:lang w:eastAsia="en-GB"/>
              </w:rPr>
            </w:pPr>
            <w:r w:rsidRPr="008D06EA">
              <w:rPr>
                <w:sz w:val="18"/>
                <w:szCs w:val="18"/>
                <w:lang w:eastAsia="en-GB"/>
              </w:rPr>
              <w:lastRenderedPageBreak/>
              <w:t>R-459A</w:t>
            </w:r>
          </w:p>
        </w:tc>
        <w:tc>
          <w:tcPr>
            <w:tcW w:w="2552" w:type="dxa"/>
            <w:hideMark/>
          </w:tcPr>
          <w:p w14:paraId="6DEBC322" w14:textId="77777777" w:rsidR="00CF01A0" w:rsidRPr="008D06EA" w:rsidRDefault="00CF01A0" w:rsidP="00CF01A0">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8D06EA">
              <w:rPr>
                <w:sz w:val="18"/>
                <w:szCs w:val="18"/>
                <w:lang w:eastAsia="en-GB"/>
              </w:rPr>
              <w:t>R-32/1234yf/1234ze(E) (68,0/26,0/6,0)</w:t>
            </w:r>
          </w:p>
        </w:tc>
        <w:tc>
          <w:tcPr>
            <w:tcW w:w="1134" w:type="dxa"/>
            <w:noWrap/>
            <w:hideMark/>
          </w:tcPr>
          <w:p w14:paraId="08A9CEF7" w14:textId="77777777" w:rsidR="00CF01A0" w:rsidRPr="008D06EA" w:rsidRDefault="00CF01A0" w:rsidP="00CF01A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8D06EA">
              <w:rPr>
                <w:sz w:val="18"/>
                <w:szCs w:val="18"/>
                <w:lang w:eastAsia="en-GB"/>
              </w:rPr>
              <w:t xml:space="preserve"> 63 </w:t>
            </w:r>
          </w:p>
        </w:tc>
        <w:tc>
          <w:tcPr>
            <w:tcW w:w="1134" w:type="dxa"/>
            <w:noWrap/>
            <w:hideMark/>
          </w:tcPr>
          <w:p w14:paraId="75758483" w14:textId="77777777" w:rsidR="00CF01A0" w:rsidRPr="008D06EA" w:rsidRDefault="00CF01A0" w:rsidP="00CF01A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8D06EA">
              <w:rPr>
                <w:sz w:val="18"/>
                <w:szCs w:val="18"/>
                <w:lang w:eastAsia="en-GB"/>
              </w:rPr>
              <w:t xml:space="preserve"> -50,3/-48,6 </w:t>
            </w:r>
          </w:p>
        </w:tc>
        <w:tc>
          <w:tcPr>
            <w:tcW w:w="850" w:type="dxa"/>
            <w:noWrap/>
            <w:hideMark/>
          </w:tcPr>
          <w:p w14:paraId="38698AEE" w14:textId="77777777" w:rsidR="00CF01A0" w:rsidRPr="008D06EA" w:rsidRDefault="00CF01A0" w:rsidP="00CF01A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8D06EA">
              <w:rPr>
                <w:sz w:val="18"/>
                <w:szCs w:val="18"/>
                <w:lang w:eastAsia="en-GB"/>
              </w:rPr>
              <w:t xml:space="preserve"> A2L </w:t>
            </w:r>
          </w:p>
        </w:tc>
        <w:tc>
          <w:tcPr>
            <w:tcW w:w="709" w:type="dxa"/>
            <w:noWrap/>
            <w:hideMark/>
          </w:tcPr>
          <w:p w14:paraId="44039152" w14:textId="77777777" w:rsidR="00CF01A0" w:rsidRPr="008D06EA" w:rsidRDefault="00CF01A0" w:rsidP="00CF01A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8D06EA">
              <w:rPr>
                <w:sz w:val="18"/>
                <w:szCs w:val="18"/>
                <w:lang w:eastAsia="en-GB"/>
              </w:rPr>
              <w:t xml:space="preserve"> 480 </w:t>
            </w:r>
          </w:p>
        </w:tc>
        <w:tc>
          <w:tcPr>
            <w:tcW w:w="850" w:type="dxa"/>
            <w:noWrap/>
            <w:hideMark/>
          </w:tcPr>
          <w:p w14:paraId="57EACDDB" w14:textId="77777777" w:rsidR="00CF01A0" w:rsidRPr="008D06EA" w:rsidRDefault="00CF01A0" w:rsidP="00CF01A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8D06EA">
              <w:rPr>
                <w:sz w:val="18"/>
                <w:szCs w:val="18"/>
                <w:lang w:eastAsia="en-GB"/>
              </w:rPr>
              <w:t xml:space="preserve"> 1 700 </w:t>
            </w:r>
          </w:p>
        </w:tc>
      </w:tr>
      <w:tr w:rsidR="00CF01A0" w:rsidRPr="0000233D" w14:paraId="218F1D92" w14:textId="77777777" w:rsidTr="00CF01A0">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276" w:type="dxa"/>
            <w:noWrap/>
            <w:hideMark/>
          </w:tcPr>
          <w:p w14:paraId="162AEA55" w14:textId="77777777" w:rsidR="00CF01A0" w:rsidRPr="008D06EA" w:rsidRDefault="00CF01A0" w:rsidP="00CF01A0">
            <w:pPr>
              <w:rPr>
                <w:rFonts w:eastAsia="Times New Roman" w:cs="Times New Roman"/>
                <w:sz w:val="18"/>
                <w:szCs w:val="18"/>
                <w:lang w:eastAsia="en-GB"/>
              </w:rPr>
            </w:pPr>
            <w:r w:rsidRPr="008D06EA">
              <w:rPr>
                <w:sz w:val="18"/>
                <w:szCs w:val="18"/>
                <w:lang w:eastAsia="en-GB"/>
              </w:rPr>
              <w:t>R-459B</w:t>
            </w:r>
          </w:p>
        </w:tc>
        <w:tc>
          <w:tcPr>
            <w:tcW w:w="2552" w:type="dxa"/>
            <w:hideMark/>
          </w:tcPr>
          <w:p w14:paraId="076C7F3F" w14:textId="77777777" w:rsidR="00CF01A0" w:rsidRPr="008D06EA" w:rsidRDefault="00CF01A0" w:rsidP="00CF01A0">
            <w:pP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en-GB"/>
              </w:rPr>
            </w:pPr>
            <w:r w:rsidRPr="008D06EA">
              <w:rPr>
                <w:sz w:val="18"/>
                <w:szCs w:val="18"/>
                <w:lang w:eastAsia="en-GB"/>
              </w:rPr>
              <w:t>R-32/1234yf/1234ze(E) (21,0/69,0/10,0)</w:t>
            </w:r>
          </w:p>
        </w:tc>
        <w:tc>
          <w:tcPr>
            <w:tcW w:w="1134" w:type="dxa"/>
            <w:noWrap/>
            <w:hideMark/>
          </w:tcPr>
          <w:p w14:paraId="685A487C" w14:textId="77777777" w:rsidR="00CF01A0" w:rsidRPr="008D06EA" w:rsidRDefault="00CF01A0" w:rsidP="00CF01A0">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en-GB"/>
              </w:rPr>
            </w:pPr>
            <w:r w:rsidRPr="008D06EA">
              <w:rPr>
                <w:sz w:val="18"/>
                <w:szCs w:val="18"/>
                <w:lang w:eastAsia="en-GB"/>
              </w:rPr>
              <w:t xml:space="preserve"> 91,2 </w:t>
            </w:r>
          </w:p>
        </w:tc>
        <w:tc>
          <w:tcPr>
            <w:tcW w:w="1134" w:type="dxa"/>
            <w:noWrap/>
            <w:hideMark/>
          </w:tcPr>
          <w:p w14:paraId="6A9BAA84" w14:textId="77777777" w:rsidR="00CF01A0" w:rsidRPr="008D06EA" w:rsidRDefault="00CF01A0" w:rsidP="00CF01A0">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en-GB"/>
              </w:rPr>
            </w:pPr>
            <w:r w:rsidRPr="008D06EA">
              <w:rPr>
                <w:sz w:val="18"/>
                <w:szCs w:val="18"/>
                <w:lang w:eastAsia="en-GB"/>
              </w:rPr>
              <w:t xml:space="preserve"> -44,0/-36,1 </w:t>
            </w:r>
          </w:p>
        </w:tc>
        <w:tc>
          <w:tcPr>
            <w:tcW w:w="850" w:type="dxa"/>
            <w:noWrap/>
            <w:hideMark/>
          </w:tcPr>
          <w:p w14:paraId="70E97240" w14:textId="77777777" w:rsidR="00CF01A0" w:rsidRPr="008D06EA" w:rsidRDefault="00CF01A0" w:rsidP="00CF01A0">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en-GB"/>
              </w:rPr>
            </w:pPr>
            <w:r w:rsidRPr="008D06EA">
              <w:rPr>
                <w:sz w:val="18"/>
                <w:szCs w:val="18"/>
                <w:lang w:eastAsia="en-GB"/>
              </w:rPr>
              <w:t xml:space="preserve"> A2L </w:t>
            </w:r>
          </w:p>
        </w:tc>
        <w:tc>
          <w:tcPr>
            <w:tcW w:w="709" w:type="dxa"/>
            <w:noWrap/>
            <w:hideMark/>
          </w:tcPr>
          <w:p w14:paraId="46D0FB75" w14:textId="77777777" w:rsidR="00CF01A0" w:rsidRPr="008D06EA" w:rsidRDefault="00CF01A0" w:rsidP="00CF01A0">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en-GB"/>
              </w:rPr>
            </w:pPr>
            <w:r w:rsidRPr="008D06EA">
              <w:rPr>
                <w:sz w:val="18"/>
                <w:szCs w:val="18"/>
                <w:lang w:eastAsia="en-GB"/>
              </w:rPr>
              <w:t xml:space="preserve"> 150 </w:t>
            </w:r>
          </w:p>
        </w:tc>
        <w:tc>
          <w:tcPr>
            <w:tcW w:w="850" w:type="dxa"/>
            <w:noWrap/>
            <w:hideMark/>
          </w:tcPr>
          <w:p w14:paraId="5A4B9B3B" w14:textId="77777777" w:rsidR="00CF01A0" w:rsidRPr="008D06EA" w:rsidRDefault="00CF01A0" w:rsidP="00CF01A0">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en-GB"/>
              </w:rPr>
            </w:pPr>
            <w:r w:rsidRPr="008D06EA">
              <w:rPr>
                <w:sz w:val="18"/>
                <w:szCs w:val="18"/>
                <w:lang w:eastAsia="en-GB"/>
              </w:rPr>
              <w:t xml:space="preserve"> 530 </w:t>
            </w:r>
          </w:p>
        </w:tc>
      </w:tr>
      <w:tr w:rsidR="00CF01A0" w:rsidRPr="0000233D" w14:paraId="796DFB65" w14:textId="77777777" w:rsidTr="00CF01A0">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276" w:type="dxa"/>
            <w:noWrap/>
            <w:hideMark/>
          </w:tcPr>
          <w:p w14:paraId="0A6E3C8A" w14:textId="77777777" w:rsidR="00CF01A0" w:rsidRPr="008D06EA" w:rsidRDefault="00CF01A0" w:rsidP="00CF01A0">
            <w:pPr>
              <w:rPr>
                <w:rFonts w:eastAsia="Times New Roman" w:cs="Times New Roman"/>
                <w:sz w:val="18"/>
                <w:szCs w:val="18"/>
                <w:lang w:eastAsia="en-GB"/>
              </w:rPr>
            </w:pPr>
            <w:r w:rsidRPr="008D06EA">
              <w:rPr>
                <w:sz w:val="18"/>
                <w:szCs w:val="18"/>
                <w:lang w:eastAsia="en-GB"/>
              </w:rPr>
              <w:t>R-460A</w:t>
            </w:r>
          </w:p>
        </w:tc>
        <w:tc>
          <w:tcPr>
            <w:tcW w:w="2552" w:type="dxa"/>
            <w:hideMark/>
          </w:tcPr>
          <w:p w14:paraId="42152D16" w14:textId="77777777" w:rsidR="00CF01A0" w:rsidRPr="008D06EA" w:rsidRDefault="00CF01A0" w:rsidP="00CF01A0">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8D06EA">
              <w:rPr>
                <w:sz w:val="18"/>
                <w:szCs w:val="18"/>
                <w:lang w:eastAsia="en-GB"/>
              </w:rPr>
              <w:t>R-32/125/134a/1234ze(E) (12,0/52,0/14,0/22,0)</w:t>
            </w:r>
          </w:p>
        </w:tc>
        <w:tc>
          <w:tcPr>
            <w:tcW w:w="1134" w:type="dxa"/>
            <w:noWrap/>
            <w:hideMark/>
          </w:tcPr>
          <w:p w14:paraId="416F6C40" w14:textId="77777777" w:rsidR="00CF01A0" w:rsidRPr="008D06EA" w:rsidRDefault="00CF01A0" w:rsidP="00CF01A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8D06EA">
              <w:rPr>
                <w:sz w:val="18"/>
                <w:szCs w:val="18"/>
                <w:lang w:eastAsia="en-GB"/>
              </w:rPr>
              <w:t xml:space="preserve"> 100,6 </w:t>
            </w:r>
          </w:p>
        </w:tc>
        <w:tc>
          <w:tcPr>
            <w:tcW w:w="1134" w:type="dxa"/>
            <w:noWrap/>
            <w:hideMark/>
          </w:tcPr>
          <w:p w14:paraId="6A98A31F" w14:textId="77777777" w:rsidR="00CF01A0" w:rsidRPr="008D06EA" w:rsidRDefault="00CF01A0" w:rsidP="00CF01A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8D06EA">
              <w:rPr>
                <w:sz w:val="18"/>
                <w:szCs w:val="18"/>
                <w:lang w:eastAsia="en-GB"/>
              </w:rPr>
              <w:t xml:space="preserve"> -44,6/-37,2 </w:t>
            </w:r>
          </w:p>
        </w:tc>
        <w:tc>
          <w:tcPr>
            <w:tcW w:w="850" w:type="dxa"/>
            <w:noWrap/>
            <w:hideMark/>
          </w:tcPr>
          <w:p w14:paraId="7CB6CE39" w14:textId="77777777" w:rsidR="00CF01A0" w:rsidRPr="008D06EA" w:rsidRDefault="00CF01A0" w:rsidP="00CF01A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8D06EA">
              <w:rPr>
                <w:sz w:val="18"/>
                <w:szCs w:val="18"/>
                <w:lang w:eastAsia="en-GB"/>
              </w:rPr>
              <w:t xml:space="preserve"> A1 </w:t>
            </w:r>
          </w:p>
        </w:tc>
        <w:tc>
          <w:tcPr>
            <w:tcW w:w="709" w:type="dxa"/>
            <w:noWrap/>
            <w:hideMark/>
          </w:tcPr>
          <w:p w14:paraId="0C126B7A" w14:textId="77777777" w:rsidR="00CF01A0" w:rsidRPr="008D06EA" w:rsidRDefault="00CF01A0" w:rsidP="00CF01A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8D06EA">
              <w:rPr>
                <w:sz w:val="18"/>
                <w:szCs w:val="18"/>
                <w:lang w:eastAsia="en-GB"/>
              </w:rPr>
              <w:t xml:space="preserve"> 2 100 </w:t>
            </w:r>
          </w:p>
        </w:tc>
        <w:tc>
          <w:tcPr>
            <w:tcW w:w="850" w:type="dxa"/>
            <w:noWrap/>
            <w:hideMark/>
          </w:tcPr>
          <w:p w14:paraId="39B1EA15" w14:textId="77777777" w:rsidR="00CF01A0" w:rsidRPr="008D06EA" w:rsidRDefault="00CF01A0" w:rsidP="00CF01A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8D06EA">
              <w:rPr>
                <w:sz w:val="18"/>
                <w:szCs w:val="18"/>
                <w:lang w:eastAsia="en-GB"/>
              </w:rPr>
              <w:t xml:space="preserve"> 4 100 </w:t>
            </w:r>
          </w:p>
        </w:tc>
      </w:tr>
      <w:tr w:rsidR="00CF01A0" w:rsidRPr="0000233D" w14:paraId="712B4BA0" w14:textId="77777777" w:rsidTr="00CF01A0">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276" w:type="dxa"/>
            <w:noWrap/>
            <w:hideMark/>
          </w:tcPr>
          <w:p w14:paraId="0B5254BF" w14:textId="77777777" w:rsidR="00CF01A0" w:rsidRPr="008D06EA" w:rsidRDefault="00CF01A0" w:rsidP="00CF01A0">
            <w:pPr>
              <w:rPr>
                <w:rFonts w:eastAsia="Times New Roman" w:cs="Times New Roman"/>
                <w:sz w:val="18"/>
                <w:szCs w:val="18"/>
                <w:lang w:eastAsia="en-GB"/>
              </w:rPr>
            </w:pPr>
            <w:r w:rsidRPr="008D06EA">
              <w:rPr>
                <w:sz w:val="18"/>
                <w:szCs w:val="18"/>
                <w:lang w:eastAsia="en-GB"/>
              </w:rPr>
              <w:t>R-460B</w:t>
            </w:r>
          </w:p>
        </w:tc>
        <w:tc>
          <w:tcPr>
            <w:tcW w:w="2552" w:type="dxa"/>
            <w:hideMark/>
          </w:tcPr>
          <w:p w14:paraId="7089CB05" w14:textId="77777777" w:rsidR="00CF01A0" w:rsidRPr="008D06EA" w:rsidRDefault="00CF01A0" w:rsidP="00CF01A0">
            <w:pP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en-GB"/>
              </w:rPr>
            </w:pPr>
            <w:r w:rsidRPr="008D06EA">
              <w:rPr>
                <w:sz w:val="18"/>
                <w:szCs w:val="18"/>
                <w:lang w:eastAsia="en-GB"/>
              </w:rPr>
              <w:t>R-32/125/134a/1234ze(E) (28,0/25,0/20,0/27,0)</w:t>
            </w:r>
          </w:p>
        </w:tc>
        <w:tc>
          <w:tcPr>
            <w:tcW w:w="1134" w:type="dxa"/>
            <w:noWrap/>
            <w:hideMark/>
          </w:tcPr>
          <w:p w14:paraId="713E8263" w14:textId="77777777" w:rsidR="00CF01A0" w:rsidRPr="008D06EA" w:rsidRDefault="00CF01A0" w:rsidP="00CF01A0">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en-GB"/>
              </w:rPr>
            </w:pPr>
            <w:r w:rsidRPr="008D06EA">
              <w:rPr>
                <w:sz w:val="18"/>
                <w:szCs w:val="18"/>
                <w:lang w:eastAsia="en-GB"/>
              </w:rPr>
              <w:t xml:space="preserve"> 84,8 </w:t>
            </w:r>
          </w:p>
        </w:tc>
        <w:tc>
          <w:tcPr>
            <w:tcW w:w="1134" w:type="dxa"/>
            <w:noWrap/>
            <w:hideMark/>
          </w:tcPr>
          <w:p w14:paraId="061D0EAC" w14:textId="77777777" w:rsidR="00CF01A0" w:rsidRPr="008D06EA" w:rsidRDefault="00CF01A0" w:rsidP="00CF01A0">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en-GB"/>
              </w:rPr>
            </w:pPr>
            <w:r w:rsidRPr="008D06EA">
              <w:rPr>
                <w:sz w:val="18"/>
                <w:szCs w:val="18"/>
                <w:lang w:eastAsia="en-GB"/>
              </w:rPr>
              <w:t xml:space="preserve"> -45,2/-37,1 </w:t>
            </w:r>
          </w:p>
        </w:tc>
        <w:tc>
          <w:tcPr>
            <w:tcW w:w="850" w:type="dxa"/>
            <w:noWrap/>
            <w:hideMark/>
          </w:tcPr>
          <w:p w14:paraId="23C895F5" w14:textId="77777777" w:rsidR="00CF01A0" w:rsidRPr="008D06EA" w:rsidRDefault="00CF01A0" w:rsidP="00CF01A0">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en-GB"/>
              </w:rPr>
            </w:pPr>
            <w:r w:rsidRPr="008D06EA">
              <w:rPr>
                <w:sz w:val="18"/>
                <w:szCs w:val="18"/>
                <w:lang w:eastAsia="en-GB"/>
              </w:rPr>
              <w:t xml:space="preserve"> A1 </w:t>
            </w:r>
          </w:p>
        </w:tc>
        <w:tc>
          <w:tcPr>
            <w:tcW w:w="709" w:type="dxa"/>
            <w:noWrap/>
            <w:hideMark/>
          </w:tcPr>
          <w:p w14:paraId="612D97B1" w14:textId="77777777" w:rsidR="00CF01A0" w:rsidRPr="008D06EA" w:rsidRDefault="00CF01A0" w:rsidP="00CF01A0">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en-GB"/>
              </w:rPr>
            </w:pPr>
            <w:r w:rsidRPr="008D06EA">
              <w:rPr>
                <w:sz w:val="18"/>
                <w:szCs w:val="18"/>
                <w:lang w:eastAsia="en-GB"/>
              </w:rPr>
              <w:t xml:space="preserve"> 1 300 </w:t>
            </w:r>
          </w:p>
        </w:tc>
        <w:tc>
          <w:tcPr>
            <w:tcW w:w="850" w:type="dxa"/>
            <w:noWrap/>
            <w:hideMark/>
          </w:tcPr>
          <w:p w14:paraId="2D214A47" w14:textId="77777777" w:rsidR="00CF01A0" w:rsidRPr="008D06EA" w:rsidRDefault="00CF01A0" w:rsidP="00CF01A0">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en-GB"/>
              </w:rPr>
            </w:pPr>
            <w:r w:rsidRPr="008D06EA">
              <w:rPr>
                <w:sz w:val="18"/>
                <w:szCs w:val="18"/>
                <w:lang w:eastAsia="en-GB"/>
              </w:rPr>
              <w:t xml:space="preserve"> 3 000 </w:t>
            </w:r>
          </w:p>
        </w:tc>
      </w:tr>
    </w:tbl>
    <w:p w14:paraId="25011E0E" w14:textId="77777777" w:rsidR="00CF01A0" w:rsidRPr="003A5626" w:rsidRDefault="00CF01A0" w:rsidP="00CF01A0">
      <w:pPr>
        <w:rPr>
          <w:b/>
          <w:sz w:val="20"/>
          <w:lang w:eastAsia="en-GB"/>
        </w:rPr>
      </w:pPr>
    </w:p>
    <w:p w14:paraId="68ADE37E" w14:textId="6DCB5C49" w:rsidR="00CF01A0" w:rsidRPr="000B3584" w:rsidRDefault="00CF01A0" w:rsidP="00CF01A0">
      <w:pPr>
        <w:keepNext/>
        <w:rPr>
          <w:b/>
          <w:i/>
          <w:sz w:val="24"/>
          <w:szCs w:val="24"/>
          <w:lang w:eastAsia="en-GB"/>
        </w:rPr>
      </w:pPr>
      <w:proofErr w:type="gramStart"/>
      <w:r w:rsidRPr="000B3584">
        <w:rPr>
          <w:b/>
          <w:i/>
          <w:sz w:val="24"/>
          <w:szCs w:val="24"/>
          <w:lang w:eastAsia="en-GB"/>
        </w:rPr>
        <w:t xml:space="preserve">Table </w:t>
      </w:r>
      <w:r w:rsidR="000B3584">
        <w:rPr>
          <w:b/>
          <w:i/>
          <w:sz w:val="24"/>
          <w:szCs w:val="24"/>
          <w:lang w:eastAsia="en-GB"/>
        </w:rPr>
        <w:t>6.</w:t>
      </w:r>
      <w:r w:rsidRPr="000B3584">
        <w:rPr>
          <w:b/>
          <w:i/>
          <w:sz w:val="24"/>
          <w:szCs w:val="24"/>
          <w:lang w:eastAsia="en-GB"/>
        </w:rPr>
        <w:t>3</w:t>
      </w:r>
      <w:r w:rsidR="000B3584">
        <w:rPr>
          <w:b/>
          <w:i/>
          <w:sz w:val="24"/>
          <w:szCs w:val="24"/>
          <w:lang w:eastAsia="en-GB"/>
        </w:rPr>
        <w:t>.</w:t>
      </w:r>
      <w:proofErr w:type="gramEnd"/>
      <w:r w:rsidRPr="000B3584">
        <w:rPr>
          <w:b/>
          <w:i/>
          <w:sz w:val="24"/>
          <w:szCs w:val="24"/>
          <w:lang w:eastAsia="en-GB"/>
        </w:rPr>
        <w:t xml:space="preserve"> Azeotropic refrigerant blends</w:t>
      </w:r>
    </w:p>
    <w:tbl>
      <w:tblPr>
        <w:tblStyle w:val="MediumShading1-Accent2"/>
        <w:tblW w:w="9391" w:type="dxa"/>
        <w:tblLook w:val="04A0" w:firstRow="1" w:lastRow="0" w:firstColumn="1" w:lastColumn="0" w:noHBand="0" w:noVBand="1"/>
      </w:tblPr>
      <w:tblGrid>
        <w:gridCol w:w="1260"/>
        <w:gridCol w:w="2731"/>
        <w:gridCol w:w="1180"/>
        <w:gridCol w:w="1340"/>
        <w:gridCol w:w="960"/>
        <w:gridCol w:w="960"/>
        <w:gridCol w:w="960"/>
      </w:tblGrid>
      <w:tr w:rsidR="00CF01A0" w:rsidRPr="003A5626" w14:paraId="3047C89B" w14:textId="77777777" w:rsidTr="00CF01A0">
        <w:trPr>
          <w:cnfStyle w:val="100000000000" w:firstRow="1" w:lastRow="0" w:firstColumn="0" w:lastColumn="0" w:oddVBand="0" w:evenVBand="0" w:oddHBand="0"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260" w:type="dxa"/>
            <w:hideMark/>
          </w:tcPr>
          <w:p w14:paraId="71FD5A52" w14:textId="77777777" w:rsidR="00CF01A0" w:rsidRPr="003A5626" w:rsidRDefault="00CF01A0" w:rsidP="00CF01A0">
            <w:pPr>
              <w:rPr>
                <w:rFonts w:eastAsia="Times New Roman" w:cs="Times New Roman"/>
                <w:sz w:val="20"/>
                <w:szCs w:val="20"/>
                <w:lang w:eastAsia="en-GB"/>
              </w:rPr>
            </w:pPr>
            <w:r w:rsidRPr="003A5626">
              <w:rPr>
                <w:rFonts w:eastAsia="Times New Roman" w:cs="Times New Roman"/>
                <w:sz w:val="20"/>
                <w:szCs w:val="20"/>
                <w:lang w:eastAsia="en-GB"/>
              </w:rPr>
              <w:t>Refrigerant Number</w:t>
            </w:r>
          </w:p>
        </w:tc>
        <w:tc>
          <w:tcPr>
            <w:tcW w:w="2731" w:type="dxa"/>
            <w:hideMark/>
          </w:tcPr>
          <w:p w14:paraId="1F7EFE2B" w14:textId="77777777" w:rsidR="00CF01A0" w:rsidRPr="003A5626" w:rsidRDefault="00CF01A0" w:rsidP="00CF01A0">
            <w:pP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3A5626">
              <w:rPr>
                <w:rFonts w:eastAsia="Times New Roman" w:cs="Times New Roman"/>
                <w:sz w:val="20"/>
                <w:szCs w:val="20"/>
                <w:lang w:eastAsia="en-GB"/>
              </w:rPr>
              <w:t>Refrigerant Composition (Mass % )</w:t>
            </w:r>
          </w:p>
        </w:tc>
        <w:tc>
          <w:tcPr>
            <w:tcW w:w="1180" w:type="dxa"/>
            <w:hideMark/>
          </w:tcPr>
          <w:p w14:paraId="65E96D31" w14:textId="77777777" w:rsidR="00CF01A0" w:rsidRPr="003A5626" w:rsidRDefault="00CF01A0" w:rsidP="00CF01A0">
            <w:pP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3A5626">
              <w:rPr>
                <w:rFonts w:eastAsia="Times New Roman" w:cs="Times New Roman"/>
                <w:sz w:val="20"/>
                <w:szCs w:val="20"/>
                <w:lang w:eastAsia="en-GB"/>
              </w:rPr>
              <w:t>Molecular Weight</w:t>
            </w:r>
          </w:p>
        </w:tc>
        <w:tc>
          <w:tcPr>
            <w:tcW w:w="1340" w:type="dxa"/>
            <w:hideMark/>
          </w:tcPr>
          <w:p w14:paraId="470EEC22" w14:textId="77777777" w:rsidR="00CF01A0" w:rsidRPr="003A5626" w:rsidRDefault="00CF01A0" w:rsidP="00CF01A0">
            <w:pP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3A5626">
              <w:rPr>
                <w:rFonts w:eastAsia="Times New Roman" w:cs="Times New Roman"/>
                <w:sz w:val="20"/>
                <w:szCs w:val="20"/>
                <w:lang w:eastAsia="en-GB"/>
              </w:rPr>
              <w:t>Normal boiling point (°C)</w:t>
            </w:r>
          </w:p>
        </w:tc>
        <w:tc>
          <w:tcPr>
            <w:tcW w:w="960" w:type="dxa"/>
            <w:hideMark/>
          </w:tcPr>
          <w:p w14:paraId="2285AD72" w14:textId="77777777" w:rsidR="00CF01A0" w:rsidRPr="003A5626" w:rsidRDefault="00CF01A0" w:rsidP="00CF01A0">
            <w:pP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3A5626">
              <w:rPr>
                <w:rFonts w:eastAsia="Times New Roman" w:cs="Times New Roman"/>
                <w:sz w:val="20"/>
                <w:szCs w:val="20"/>
                <w:lang w:eastAsia="en-GB"/>
              </w:rPr>
              <w:t>Safety class</w:t>
            </w:r>
          </w:p>
        </w:tc>
        <w:tc>
          <w:tcPr>
            <w:tcW w:w="960" w:type="dxa"/>
            <w:hideMark/>
          </w:tcPr>
          <w:p w14:paraId="7D5BA0C3" w14:textId="77777777" w:rsidR="00CF01A0" w:rsidRPr="003A5626" w:rsidRDefault="00CF01A0" w:rsidP="00CF01A0">
            <w:pP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3A5626">
              <w:rPr>
                <w:rFonts w:eastAsia="Times New Roman" w:cs="Times New Roman"/>
                <w:sz w:val="20"/>
                <w:szCs w:val="20"/>
                <w:lang w:eastAsia="en-GB"/>
              </w:rPr>
              <w:t>GWP 100y</w:t>
            </w:r>
          </w:p>
        </w:tc>
        <w:tc>
          <w:tcPr>
            <w:tcW w:w="960" w:type="dxa"/>
            <w:hideMark/>
          </w:tcPr>
          <w:p w14:paraId="3F335B71" w14:textId="77777777" w:rsidR="00CF01A0" w:rsidRPr="003A5626" w:rsidRDefault="00CF01A0" w:rsidP="00CF01A0">
            <w:pP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3A5626">
              <w:rPr>
                <w:rFonts w:eastAsia="Times New Roman" w:cs="Times New Roman"/>
                <w:sz w:val="20"/>
                <w:szCs w:val="20"/>
                <w:lang w:eastAsia="en-GB"/>
              </w:rPr>
              <w:t>GWP 20y</w:t>
            </w:r>
          </w:p>
        </w:tc>
      </w:tr>
      <w:tr w:rsidR="00CF01A0" w:rsidRPr="003A5626" w14:paraId="062B9FD8" w14:textId="77777777" w:rsidTr="00CF01A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60" w:type="dxa"/>
            <w:noWrap/>
            <w:hideMark/>
          </w:tcPr>
          <w:p w14:paraId="4CE7B1E2" w14:textId="77777777" w:rsidR="00CF01A0" w:rsidRPr="003A5626" w:rsidRDefault="00CF01A0" w:rsidP="00CF01A0">
            <w:pPr>
              <w:rPr>
                <w:rFonts w:eastAsia="Times New Roman" w:cs="Times New Roman"/>
                <w:sz w:val="20"/>
                <w:szCs w:val="20"/>
                <w:lang w:eastAsia="en-GB"/>
              </w:rPr>
            </w:pPr>
            <w:r w:rsidRPr="003A5626">
              <w:rPr>
                <w:rFonts w:eastAsia="Times New Roman" w:cs="Times New Roman"/>
                <w:sz w:val="20"/>
                <w:szCs w:val="20"/>
                <w:lang w:eastAsia="en-GB"/>
              </w:rPr>
              <w:t>R-513B</w:t>
            </w:r>
          </w:p>
        </w:tc>
        <w:tc>
          <w:tcPr>
            <w:tcW w:w="2731" w:type="dxa"/>
            <w:hideMark/>
          </w:tcPr>
          <w:p w14:paraId="6FA00131" w14:textId="77777777" w:rsidR="00CF01A0" w:rsidRPr="003A5626" w:rsidRDefault="00CF01A0" w:rsidP="00CF01A0">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GB"/>
              </w:rPr>
            </w:pPr>
            <w:r w:rsidRPr="003A5626">
              <w:rPr>
                <w:rFonts w:eastAsia="Times New Roman" w:cs="Times New Roman"/>
                <w:sz w:val="20"/>
                <w:szCs w:val="20"/>
                <w:lang w:eastAsia="en-GB"/>
              </w:rPr>
              <w:t>R-1234yf/134a (58,5/41,5)</w:t>
            </w:r>
          </w:p>
        </w:tc>
        <w:tc>
          <w:tcPr>
            <w:tcW w:w="1180" w:type="dxa"/>
            <w:noWrap/>
            <w:hideMark/>
          </w:tcPr>
          <w:p w14:paraId="685AA9B0" w14:textId="77777777" w:rsidR="00CF01A0" w:rsidRPr="003A5626" w:rsidRDefault="00CF01A0" w:rsidP="00CF01A0">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GB"/>
              </w:rPr>
            </w:pPr>
            <w:r w:rsidRPr="003A5626">
              <w:rPr>
                <w:rFonts w:eastAsia="Times New Roman" w:cs="Times New Roman"/>
                <w:sz w:val="20"/>
                <w:szCs w:val="20"/>
                <w:lang w:eastAsia="en-GB"/>
              </w:rPr>
              <w:t>108,7</w:t>
            </w:r>
          </w:p>
        </w:tc>
        <w:tc>
          <w:tcPr>
            <w:tcW w:w="1340" w:type="dxa"/>
            <w:noWrap/>
            <w:hideMark/>
          </w:tcPr>
          <w:p w14:paraId="792CAC8F" w14:textId="77777777" w:rsidR="00CF01A0" w:rsidRPr="003A5626" w:rsidRDefault="00CF01A0" w:rsidP="00CF01A0">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GB"/>
              </w:rPr>
            </w:pPr>
            <w:r w:rsidRPr="003A5626">
              <w:rPr>
                <w:rFonts w:eastAsia="Times New Roman" w:cs="Times New Roman"/>
                <w:sz w:val="20"/>
                <w:szCs w:val="20"/>
                <w:lang w:eastAsia="en-GB"/>
              </w:rPr>
              <w:t>-29,2/-29,1</w:t>
            </w:r>
          </w:p>
        </w:tc>
        <w:tc>
          <w:tcPr>
            <w:tcW w:w="960" w:type="dxa"/>
            <w:noWrap/>
            <w:hideMark/>
          </w:tcPr>
          <w:p w14:paraId="41E4F22B" w14:textId="77777777" w:rsidR="00CF01A0" w:rsidRPr="003A5626" w:rsidRDefault="00CF01A0" w:rsidP="00CF01A0">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GB"/>
              </w:rPr>
            </w:pPr>
            <w:r w:rsidRPr="003A5626">
              <w:rPr>
                <w:rFonts w:eastAsia="Times New Roman" w:cs="Times New Roman"/>
                <w:sz w:val="20"/>
                <w:szCs w:val="20"/>
                <w:lang w:eastAsia="en-GB"/>
              </w:rPr>
              <w:t>A1</w:t>
            </w:r>
          </w:p>
        </w:tc>
        <w:tc>
          <w:tcPr>
            <w:tcW w:w="960" w:type="dxa"/>
            <w:noWrap/>
            <w:hideMark/>
          </w:tcPr>
          <w:p w14:paraId="072B3E28" w14:textId="77777777" w:rsidR="00CF01A0" w:rsidRPr="003A5626" w:rsidRDefault="00CF01A0" w:rsidP="00CF01A0">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GB"/>
              </w:rPr>
            </w:pPr>
            <w:r w:rsidRPr="003A5626">
              <w:rPr>
                <w:rFonts w:eastAsia="Times New Roman" w:cs="Times New Roman"/>
                <w:sz w:val="20"/>
                <w:szCs w:val="20"/>
                <w:lang w:eastAsia="en-GB"/>
              </w:rPr>
              <w:t>560</w:t>
            </w:r>
          </w:p>
        </w:tc>
        <w:tc>
          <w:tcPr>
            <w:tcW w:w="960" w:type="dxa"/>
            <w:noWrap/>
            <w:hideMark/>
          </w:tcPr>
          <w:p w14:paraId="20FC328A" w14:textId="77777777" w:rsidR="00CF01A0" w:rsidRPr="003A5626" w:rsidRDefault="00CF01A0" w:rsidP="00CF01A0">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GB"/>
              </w:rPr>
            </w:pPr>
            <w:r w:rsidRPr="003A5626">
              <w:rPr>
                <w:rFonts w:eastAsia="Times New Roman" w:cs="Times New Roman"/>
                <w:sz w:val="20"/>
                <w:szCs w:val="20"/>
                <w:lang w:eastAsia="en-GB"/>
              </w:rPr>
              <w:t>1 600</w:t>
            </w:r>
          </w:p>
        </w:tc>
      </w:tr>
      <w:tr w:rsidR="00CF01A0" w:rsidRPr="003A5626" w14:paraId="2C6F8EF3" w14:textId="77777777" w:rsidTr="00CF01A0">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29FCE6D" w14:textId="77777777" w:rsidR="00CF01A0" w:rsidRPr="003A5626" w:rsidRDefault="00CF01A0" w:rsidP="00CF01A0">
            <w:pPr>
              <w:rPr>
                <w:rFonts w:eastAsia="Times New Roman" w:cs="Times New Roman"/>
                <w:sz w:val="20"/>
                <w:szCs w:val="20"/>
                <w:lang w:eastAsia="en-GB"/>
              </w:rPr>
            </w:pPr>
            <w:r w:rsidRPr="003A5626">
              <w:rPr>
                <w:rFonts w:eastAsia="Times New Roman" w:cs="Times New Roman"/>
                <w:sz w:val="20"/>
                <w:szCs w:val="20"/>
                <w:lang w:eastAsia="en-GB"/>
              </w:rPr>
              <w:t>R-514A</w:t>
            </w:r>
          </w:p>
        </w:tc>
        <w:tc>
          <w:tcPr>
            <w:tcW w:w="2731" w:type="dxa"/>
            <w:hideMark/>
          </w:tcPr>
          <w:p w14:paraId="57BF04D6" w14:textId="77777777" w:rsidR="00CF01A0" w:rsidRPr="003A5626" w:rsidRDefault="00CF01A0" w:rsidP="00CF01A0">
            <w:pP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n-GB"/>
              </w:rPr>
            </w:pPr>
            <w:r w:rsidRPr="003A5626">
              <w:rPr>
                <w:rFonts w:eastAsia="Times New Roman" w:cs="Times New Roman"/>
                <w:sz w:val="20"/>
                <w:szCs w:val="20"/>
                <w:lang w:eastAsia="en-GB"/>
              </w:rPr>
              <w:t>R-1336mzz(Z)/1130(E) (74,7/25,3)</w:t>
            </w:r>
          </w:p>
        </w:tc>
        <w:tc>
          <w:tcPr>
            <w:tcW w:w="1180" w:type="dxa"/>
            <w:noWrap/>
            <w:hideMark/>
          </w:tcPr>
          <w:p w14:paraId="56296C65" w14:textId="77777777" w:rsidR="00CF01A0" w:rsidRPr="003A5626" w:rsidRDefault="00CF01A0" w:rsidP="00CF01A0">
            <w:pP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n-GB"/>
              </w:rPr>
            </w:pPr>
            <w:r w:rsidRPr="003A5626">
              <w:rPr>
                <w:rFonts w:eastAsia="Times New Roman" w:cs="Times New Roman"/>
                <w:sz w:val="20"/>
                <w:szCs w:val="20"/>
                <w:lang w:eastAsia="en-GB"/>
              </w:rPr>
              <w:t>139,6</w:t>
            </w:r>
          </w:p>
        </w:tc>
        <w:tc>
          <w:tcPr>
            <w:tcW w:w="1340" w:type="dxa"/>
            <w:noWrap/>
            <w:hideMark/>
          </w:tcPr>
          <w:p w14:paraId="0E3032B0" w14:textId="77777777" w:rsidR="00CF01A0" w:rsidRPr="003A5626" w:rsidRDefault="00CF01A0" w:rsidP="00CF01A0">
            <w:pP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n-GB"/>
              </w:rPr>
            </w:pPr>
            <w:r w:rsidRPr="003A5626">
              <w:rPr>
                <w:rFonts w:eastAsia="Times New Roman" w:cs="Times New Roman"/>
                <w:sz w:val="20"/>
                <w:szCs w:val="20"/>
                <w:lang w:eastAsia="en-GB"/>
              </w:rPr>
              <w:t>29,0/29,0</w:t>
            </w:r>
          </w:p>
        </w:tc>
        <w:tc>
          <w:tcPr>
            <w:tcW w:w="960" w:type="dxa"/>
            <w:noWrap/>
            <w:hideMark/>
          </w:tcPr>
          <w:p w14:paraId="6A15552A" w14:textId="77777777" w:rsidR="00CF01A0" w:rsidRPr="003A5626" w:rsidRDefault="00CF01A0" w:rsidP="00CF01A0">
            <w:pP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n-GB"/>
              </w:rPr>
            </w:pPr>
            <w:r w:rsidRPr="003A5626">
              <w:rPr>
                <w:rFonts w:eastAsia="Times New Roman" w:cs="Times New Roman"/>
                <w:sz w:val="20"/>
                <w:szCs w:val="20"/>
                <w:lang w:eastAsia="en-GB"/>
              </w:rPr>
              <w:t>B1</w:t>
            </w:r>
          </w:p>
        </w:tc>
        <w:tc>
          <w:tcPr>
            <w:tcW w:w="960" w:type="dxa"/>
            <w:noWrap/>
            <w:hideMark/>
          </w:tcPr>
          <w:p w14:paraId="4F71142F" w14:textId="77777777" w:rsidR="00CF01A0" w:rsidRPr="003A5626" w:rsidRDefault="00CF01A0" w:rsidP="00CF01A0">
            <w:pP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n-GB"/>
              </w:rPr>
            </w:pPr>
            <w:r w:rsidRPr="003A5626">
              <w:rPr>
                <w:rFonts w:eastAsia="Times New Roman" w:cs="Times New Roman"/>
                <w:sz w:val="20"/>
                <w:szCs w:val="20"/>
                <w:lang w:eastAsia="en-GB"/>
              </w:rPr>
              <w:t>1,7</w:t>
            </w:r>
          </w:p>
        </w:tc>
        <w:tc>
          <w:tcPr>
            <w:tcW w:w="960" w:type="dxa"/>
            <w:noWrap/>
            <w:hideMark/>
          </w:tcPr>
          <w:p w14:paraId="40202671" w14:textId="77777777" w:rsidR="00CF01A0" w:rsidRPr="003A5626" w:rsidRDefault="00CF01A0" w:rsidP="00CF01A0">
            <w:pP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n-GB"/>
              </w:rPr>
            </w:pPr>
            <w:r w:rsidRPr="003A5626">
              <w:rPr>
                <w:rFonts w:eastAsia="Times New Roman" w:cs="Times New Roman"/>
                <w:sz w:val="20"/>
                <w:szCs w:val="20"/>
                <w:lang w:eastAsia="en-GB"/>
              </w:rPr>
              <w:t>5,2</w:t>
            </w:r>
          </w:p>
        </w:tc>
      </w:tr>
      <w:tr w:rsidR="00CF01A0" w:rsidRPr="003A5626" w14:paraId="0F9A71DB" w14:textId="77777777" w:rsidTr="00CF01A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60" w:type="dxa"/>
            <w:noWrap/>
            <w:hideMark/>
          </w:tcPr>
          <w:p w14:paraId="4ECBC835" w14:textId="77777777" w:rsidR="00CF01A0" w:rsidRPr="003A5626" w:rsidRDefault="00CF01A0" w:rsidP="00CF01A0">
            <w:pPr>
              <w:rPr>
                <w:rFonts w:eastAsia="Times New Roman" w:cs="Times New Roman"/>
                <w:sz w:val="20"/>
                <w:szCs w:val="20"/>
                <w:lang w:eastAsia="en-GB"/>
              </w:rPr>
            </w:pPr>
            <w:r w:rsidRPr="003A5626">
              <w:rPr>
                <w:rFonts w:eastAsia="Times New Roman" w:cs="Times New Roman"/>
                <w:sz w:val="20"/>
                <w:szCs w:val="20"/>
                <w:lang w:eastAsia="en-GB"/>
              </w:rPr>
              <w:t>R-515A</w:t>
            </w:r>
          </w:p>
        </w:tc>
        <w:tc>
          <w:tcPr>
            <w:tcW w:w="2731" w:type="dxa"/>
            <w:hideMark/>
          </w:tcPr>
          <w:p w14:paraId="7ACC817A" w14:textId="77777777" w:rsidR="00CF01A0" w:rsidRPr="003A5626" w:rsidRDefault="00CF01A0" w:rsidP="00CF01A0">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GB"/>
              </w:rPr>
            </w:pPr>
            <w:r w:rsidRPr="003A5626">
              <w:rPr>
                <w:rFonts w:eastAsia="Times New Roman" w:cs="Times New Roman"/>
                <w:sz w:val="20"/>
                <w:szCs w:val="20"/>
                <w:lang w:eastAsia="en-GB"/>
              </w:rPr>
              <w:t>R-1234ze(E)/227ea (88,0/12,0)</w:t>
            </w:r>
          </w:p>
        </w:tc>
        <w:tc>
          <w:tcPr>
            <w:tcW w:w="1180" w:type="dxa"/>
            <w:noWrap/>
            <w:hideMark/>
          </w:tcPr>
          <w:p w14:paraId="12901890" w14:textId="77777777" w:rsidR="00CF01A0" w:rsidRPr="003A5626" w:rsidRDefault="00CF01A0" w:rsidP="00CF01A0">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GB"/>
              </w:rPr>
            </w:pPr>
            <w:r w:rsidRPr="003A5626">
              <w:rPr>
                <w:rFonts w:eastAsia="Times New Roman" w:cs="Times New Roman"/>
                <w:sz w:val="20"/>
                <w:szCs w:val="20"/>
                <w:lang w:eastAsia="en-GB"/>
              </w:rPr>
              <w:t>118,7</w:t>
            </w:r>
          </w:p>
        </w:tc>
        <w:tc>
          <w:tcPr>
            <w:tcW w:w="1340" w:type="dxa"/>
            <w:noWrap/>
            <w:hideMark/>
          </w:tcPr>
          <w:p w14:paraId="3D0B0DE0" w14:textId="77777777" w:rsidR="00CF01A0" w:rsidRPr="003A5626" w:rsidRDefault="00CF01A0" w:rsidP="00CF01A0">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GB"/>
              </w:rPr>
            </w:pPr>
            <w:r w:rsidRPr="003A5626">
              <w:rPr>
                <w:rFonts w:eastAsia="Times New Roman" w:cs="Times New Roman"/>
                <w:sz w:val="20"/>
                <w:szCs w:val="20"/>
                <w:lang w:eastAsia="en-GB"/>
              </w:rPr>
              <w:t>-18,9/-18,9</w:t>
            </w:r>
          </w:p>
        </w:tc>
        <w:tc>
          <w:tcPr>
            <w:tcW w:w="960" w:type="dxa"/>
            <w:noWrap/>
            <w:hideMark/>
          </w:tcPr>
          <w:p w14:paraId="6C2021BD" w14:textId="77777777" w:rsidR="00CF01A0" w:rsidRPr="003A5626" w:rsidRDefault="00CF01A0" w:rsidP="00CF01A0">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GB"/>
              </w:rPr>
            </w:pPr>
            <w:r w:rsidRPr="003A5626">
              <w:rPr>
                <w:rFonts w:eastAsia="Times New Roman" w:cs="Times New Roman"/>
                <w:sz w:val="20"/>
                <w:szCs w:val="20"/>
                <w:lang w:eastAsia="en-GB"/>
              </w:rPr>
              <w:t>A1</w:t>
            </w:r>
          </w:p>
        </w:tc>
        <w:tc>
          <w:tcPr>
            <w:tcW w:w="960" w:type="dxa"/>
            <w:noWrap/>
            <w:hideMark/>
          </w:tcPr>
          <w:p w14:paraId="27BB47EC" w14:textId="77777777" w:rsidR="00CF01A0" w:rsidRPr="003A5626" w:rsidRDefault="00CF01A0" w:rsidP="00CF01A0">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GB"/>
              </w:rPr>
            </w:pPr>
            <w:r w:rsidRPr="003A5626">
              <w:rPr>
                <w:rFonts w:eastAsia="Times New Roman" w:cs="Times New Roman"/>
                <w:sz w:val="20"/>
                <w:szCs w:val="20"/>
                <w:lang w:eastAsia="en-GB"/>
              </w:rPr>
              <w:t>380</w:t>
            </w:r>
          </w:p>
        </w:tc>
        <w:tc>
          <w:tcPr>
            <w:tcW w:w="960" w:type="dxa"/>
            <w:noWrap/>
            <w:hideMark/>
          </w:tcPr>
          <w:p w14:paraId="56C2F0BD" w14:textId="77777777" w:rsidR="00CF01A0" w:rsidRPr="003A5626" w:rsidRDefault="00CF01A0" w:rsidP="00CF01A0">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GB"/>
              </w:rPr>
            </w:pPr>
            <w:r w:rsidRPr="003A5626">
              <w:rPr>
                <w:rFonts w:eastAsia="Times New Roman" w:cs="Times New Roman"/>
                <w:sz w:val="20"/>
                <w:szCs w:val="20"/>
                <w:lang w:eastAsia="en-GB"/>
              </w:rPr>
              <w:t>630</w:t>
            </w:r>
          </w:p>
        </w:tc>
      </w:tr>
    </w:tbl>
    <w:p w14:paraId="330EA751" w14:textId="77777777" w:rsidR="00CF01A0" w:rsidRPr="00FD5ABF" w:rsidRDefault="00CF01A0" w:rsidP="00CF01A0">
      <w:pPr>
        <w:rPr>
          <w:b/>
          <w:szCs w:val="22"/>
          <w:lang w:eastAsia="en-GB"/>
        </w:rPr>
      </w:pPr>
    </w:p>
    <w:p w14:paraId="54359036" w14:textId="69A52F87" w:rsidR="00CF01A0" w:rsidRPr="00F00B48" w:rsidRDefault="00BF5037" w:rsidP="00413E4A">
      <w:pPr>
        <w:pStyle w:val="Heading2"/>
      </w:pPr>
      <w:bookmarkStart w:id="228" w:name="_Toc484164374"/>
      <w:r>
        <w:t>6.3.</w:t>
      </w:r>
      <w:r>
        <w:tab/>
      </w:r>
      <w:r w:rsidR="00CF01A0" w:rsidRPr="00F00B48">
        <w:t>Domestic appliances</w:t>
      </w:r>
      <w:bookmarkEnd w:id="228"/>
      <w:r w:rsidR="00CF01A0" w:rsidRPr="00F00B48">
        <w:t xml:space="preserve"> </w:t>
      </w:r>
    </w:p>
    <w:p w14:paraId="25EA53E4" w14:textId="6E3A6FE3" w:rsidR="00CF01A0" w:rsidRDefault="00CF01A0" w:rsidP="00A140B1">
      <w:pPr>
        <w:rPr>
          <w:szCs w:val="22"/>
        </w:rPr>
      </w:pPr>
      <w:r>
        <w:rPr>
          <w:szCs w:val="22"/>
        </w:rPr>
        <w:t>T</w:t>
      </w:r>
      <w:r w:rsidRPr="00FD5ABF">
        <w:rPr>
          <w:szCs w:val="22"/>
        </w:rPr>
        <w:t xml:space="preserve">he </w:t>
      </w:r>
      <w:r>
        <w:rPr>
          <w:szCs w:val="22"/>
        </w:rPr>
        <w:t xml:space="preserve">decision by the </w:t>
      </w:r>
      <w:r w:rsidRPr="00FD5ABF">
        <w:rPr>
          <w:szCs w:val="22"/>
        </w:rPr>
        <w:t xml:space="preserve">Association of Home Appliance Manufacturers (AHAM) of North America </w:t>
      </w:r>
      <w:r>
        <w:rPr>
          <w:szCs w:val="22"/>
        </w:rPr>
        <w:t xml:space="preserve">to </w:t>
      </w:r>
      <w:r w:rsidRPr="00FD5ABF">
        <w:rPr>
          <w:szCs w:val="22"/>
        </w:rPr>
        <w:t xml:space="preserve">phase down HFC-134a in household refrigerators and freezers after 2024 </w:t>
      </w:r>
      <w:r>
        <w:rPr>
          <w:szCs w:val="22"/>
        </w:rPr>
        <w:t>gains greater significance</w:t>
      </w:r>
      <w:r w:rsidRPr="004720F7">
        <w:rPr>
          <w:szCs w:val="22"/>
        </w:rPr>
        <w:t xml:space="preserve"> </w:t>
      </w:r>
      <w:r>
        <w:rPr>
          <w:szCs w:val="22"/>
        </w:rPr>
        <w:t xml:space="preserve">following the </w:t>
      </w:r>
      <w:r w:rsidRPr="00FD5ABF">
        <w:rPr>
          <w:szCs w:val="22"/>
        </w:rPr>
        <w:t>Kigali Amendment</w:t>
      </w:r>
      <w:r>
        <w:rPr>
          <w:szCs w:val="22"/>
        </w:rPr>
        <w:t>.</w:t>
      </w:r>
      <w:r w:rsidRPr="00FD5ABF">
        <w:rPr>
          <w:szCs w:val="22"/>
        </w:rPr>
        <w:t xml:space="preserve"> HFC-134a </w:t>
      </w:r>
      <w:r>
        <w:rPr>
          <w:szCs w:val="22"/>
        </w:rPr>
        <w:t xml:space="preserve">used in </w:t>
      </w:r>
      <w:r w:rsidRPr="00FD5ABF">
        <w:rPr>
          <w:szCs w:val="22"/>
        </w:rPr>
        <w:t>imports and exports,</w:t>
      </w:r>
      <w:r w:rsidRPr="004720F7">
        <w:rPr>
          <w:szCs w:val="22"/>
        </w:rPr>
        <w:t xml:space="preserve"> </w:t>
      </w:r>
      <w:r>
        <w:rPr>
          <w:szCs w:val="22"/>
        </w:rPr>
        <w:t>are due to be phased out under the US</w:t>
      </w:r>
      <w:r w:rsidR="00570D24">
        <w:rPr>
          <w:szCs w:val="22"/>
        </w:rPr>
        <w:t xml:space="preserve"> EPA’s</w:t>
      </w:r>
      <w:r>
        <w:rPr>
          <w:szCs w:val="22"/>
        </w:rPr>
        <w:t xml:space="preserve"> SNAP rule</w:t>
      </w:r>
      <w:r w:rsidRPr="00FD5ABF">
        <w:rPr>
          <w:szCs w:val="22"/>
        </w:rPr>
        <w:t xml:space="preserve"> by 2021</w:t>
      </w:r>
      <w:r>
        <w:rPr>
          <w:szCs w:val="22"/>
        </w:rPr>
        <w:t>.</w:t>
      </w:r>
      <w:r w:rsidRPr="00FD5ABF">
        <w:rPr>
          <w:szCs w:val="22"/>
        </w:rPr>
        <w:t xml:space="preserve"> </w:t>
      </w:r>
    </w:p>
    <w:p w14:paraId="29A1175D" w14:textId="1E009528" w:rsidR="00CF01A0" w:rsidRPr="00FD5ABF" w:rsidRDefault="00CF01A0" w:rsidP="00A140B1">
      <w:pPr>
        <w:rPr>
          <w:szCs w:val="22"/>
        </w:rPr>
      </w:pPr>
      <w:r>
        <w:rPr>
          <w:szCs w:val="22"/>
        </w:rPr>
        <w:t>In view of</w:t>
      </w:r>
      <w:r w:rsidRPr="00FD5ABF">
        <w:rPr>
          <w:szCs w:val="22"/>
        </w:rPr>
        <w:t xml:space="preserve"> the expected harmonization of UL 250 with IEC60335-2-40</w:t>
      </w:r>
      <w:r>
        <w:rPr>
          <w:rStyle w:val="FootnoteReference"/>
          <w:szCs w:val="22"/>
        </w:rPr>
        <w:footnoteReference w:id="17"/>
      </w:r>
      <w:r w:rsidRPr="00FD5ABF">
        <w:rPr>
          <w:szCs w:val="22"/>
        </w:rPr>
        <w:t xml:space="preserve">, the </w:t>
      </w:r>
      <w:r>
        <w:rPr>
          <w:szCs w:val="22"/>
        </w:rPr>
        <w:t xml:space="preserve">hydrocarbon </w:t>
      </w:r>
      <w:r w:rsidRPr="00FD5ABF">
        <w:rPr>
          <w:szCs w:val="22"/>
        </w:rPr>
        <w:t xml:space="preserve">charge limit in </w:t>
      </w:r>
      <w:r w:rsidR="00570D24">
        <w:rPr>
          <w:szCs w:val="22"/>
        </w:rPr>
        <w:t xml:space="preserve">the </w:t>
      </w:r>
      <w:r w:rsidR="0070607D">
        <w:rPr>
          <w:szCs w:val="22"/>
        </w:rPr>
        <w:t>US</w:t>
      </w:r>
      <w:r w:rsidRPr="00FD5ABF">
        <w:rPr>
          <w:szCs w:val="22"/>
        </w:rPr>
        <w:t xml:space="preserve"> will be increased from 57 to 150 g. It is not yet clear whether the manufacturers will choose HC-600a or HFC-1234yf as both are flammable and still have to adhere to current and emerging safety and energy efficiency standards. </w:t>
      </w:r>
    </w:p>
    <w:p w14:paraId="240A13D8" w14:textId="3C82D025" w:rsidR="00CF01A0" w:rsidRPr="00FD5ABF" w:rsidRDefault="00CF01A0" w:rsidP="00A140B1">
      <w:pPr>
        <w:rPr>
          <w:szCs w:val="22"/>
        </w:rPr>
      </w:pPr>
      <w:r w:rsidRPr="00FD5ABF">
        <w:rPr>
          <w:szCs w:val="22"/>
        </w:rPr>
        <w:lastRenderedPageBreak/>
        <w:t xml:space="preserve">Globally, </w:t>
      </w:r>
      <w:r>
        <w:rPr>
          <w:szCs w:val="22"/>
        </w:rPr>
        <w:t xml:space="preserve">the use of </w:t>
      </w:r>
      <w:r w:rsidRPr="00FD5ABF">
        <w:rPr>
          <w:szCs w:val="22"/>
        </w:rPr>
        <w:t xml:space="preserve">HFC-1234yf in domestic refrigerators remains limited probably due to </w:t>
      </w:r>
      <w:r>
        <w:rPr>
          <w:szCs w:val="22"/>
        </w:rPr>
        <w:t xml:space="preserve">higher </w:t>
      </w:r>
      <w:r w:rsidRPr="00FD5ABF">
        <w:rPr>
          <w:szCs w:val="22"/>
        </w:rPr>
        <w:t>cost</w:t>
      </w:r>
      <w:r>
        <w:rPr>
          <w:szCs w:val="22"/>
        </w:rPr>
        <w:t>,</w:t>
      </w:r>
      <w:r w:rsidRPr="00FD5ABF">
        <w:rPr>
          <w:szCs w:val="22"/>
        </w:rPr>
        <w:t xml:space="preserve"> and </w:t>
      </w:r>
      <w:r>
        <w:rPr>
          <w:szCs w:val="22"/>
        </w:rPr>
        <w:t xml:space="preserve">concerns on </w:t>
      </w:r>
      <w:r w:rsidRPr="00FD5ABF">
        <w:rPr>
          <w:szCs w:val="22"/>
        </w:rPr>
        <w:t xml:space="preserve">flammability. </w:t>
      </w:r>
      <w:r>
        <w:rPr>
          <w:szCs w:val="22"/>
        </w:rPr>
        <w:t>However, r</w:t>
      </w:r>
      <w:r w:rsidRPr="00FD5ABF">
        <w:rPr>
          <w:szCs w:val="22"/>
        </w:rPr>
        <w:t xml:space="preserve">etrofitting of HFC-134a refrigerators with HFO-1234yf is </w:t>
      </w:r>
      <w:r>
        <w:rPr>
          <w:szCs w:val="22"/>
        </w:rPr>
        <w:t>feasible with (</w:t>
      </w:r>
      <w:r w:rsidRPr="00FD5ABF">
        <w:rPr>
          <w:szCs w:val="22"/>
        </w:rPr>
        <w:t>±3%</w:t>
      </w:r>
      <w:r>
        <w:rPr>
          <w:szCs w:val="22"/>
        </w:rPr>
        <w:t>) in</w:t>
      </w:r>
      <w:r w:rsidRPr="00FD5ABF">
        <w:rPr>
          <w:szCs w:val="22"/>
        </w:rPr>
        <w:t xml:space="preserve"> energy consumption.</w:t>
      </w:r>
    </w:p>
    <w:p w14:paraId="31A7FCC4" w14:textId="7414C54A" w:rsidR="00CF01A0" w:rsidRPr="00FD5ABF" w:rsidRDefault="00CF01A0" w:rsidP="00A140B1">
      <w:pPr>
        <w:rPr>
          <w:szCs w:val="22"/>
        </w:rPr>
      </w:pPr>
      <w:r>
        <w:rPr>
          <w:szCs w:val="22"/>
        </w:rPr>
        <w:t xml:space="preserve">Following </w:t>
      </w:r>
      <w:r w:rsidRPr="00FD5ABF">
        <w:rPr>
          <w:szCs w:val="22"/>
        </w:rPr>
        <w:t xml:space="preserve">the Kigali Amendment, it is difficult to </w:t>
      </w:r>
      <w:r>
        <w:rPr>
          <w:szCs w:val="22"/>
        </w:rPr>
        <w:t>predict the proportions of use o</w:t>
      </w:r>
      <w:r w:rsidRPr="00FD5ABF">
        <w:rPr>
          <w:szCs w:val="22"/>
        </w:rPr>
        <w:t>f refrigerants</w:t>
      </w:r>
      <w:r>
        <w:rPr>
          <w:szCs w:val="22"/>
        </w:rPr>
        <w:t xml:space="preserve"> long-term</w:t>
      </w:r>
      <w:r w:rsidR="00570D24">
        <w:rPr>
          <w:szCs w:val="22"/>
        </w:rPr>
        <w:t xml:space="preserve">. </w:t>
      </w:r>
      <w:r>
        <w:rPr>
          <w:szCs w:val="22"/>
        </w:rPr>
        <w:t>B</w:t>
      </w:r>
      <w:r w:rsidRPr="00FD5ABF">
        <w:rPr>
          <w:szCs w:val="22"/>
        </w:rPr>
        <w:t>y 2020 a</w:t>
      </w:r>
      <w:r>
        <w:rPr>
          <w:szCs w:val="22"/>
        </w:rPr>
        <w:t xml:space="preserve">round </w:t>
      </w:r>
      <w:r w:rsidRPr="00FD5ABF">
        <w:rPr>
          <w:szCs w:val="22"/>
        </w:rPr>
        <w:t>75% of new refrigerator</w:t>
      </w:r>
      <w:r>
        <w:rPr>
          <w:szCs w:val="22"/>
        </w:rPr>
        <w:t xml:space="preserve">s will likely contain </w:t>
      </w:r>
      <w:r w:rsidRPr="00FD5ABF">
        <w:rPr>
          <w:szCs w:val="22"/>
        </w:rPr>
        <w:t xml:space="preserve">HC-600a (a small </w:t>
      </w:r>
      <w:r>
        <w:rPr>
          <w:szCs w:val="22"/>
        </w:rPr>
        <w:t xml:space="preserve">proportion using HC/HFO blends) with the remainder containing HFC134a or </w:t>
      </w:r>
      <w:r w:rsidRPr="00FD5ABF">
        <w:rPr>
          <w:szCs w:val="22"/>
        </w:rPr>
        <w:t>HFO-1234yf.</w:t>
      </w:r>
    </w:p>
    <w:p w14:paraId="1498C6FE" w14:textId="77BE5685" w:rsidR="00CF01A0" w:rsidRPr="00FD5ABF" w:rsidRDefault="00CF01A0" w:rsidP="00A140B1">
      <w:pPr>
        <w:rPr>
          <w:szCs w:val="22"/>
        </w:rPr>
      </w:pPr>
      <w:r>
        <w:rPr>
          <w:szCs w:val="22"/>
        </w:rPr>
        <w:t>S</w:t>
      </w:r>
      <w:r w:rsidRPr="00FD5ABF">
        <w:rPr>
          <w:szCs w:val="22"/>
        </w:rPr>
        <w:t>ales</w:t>
      </w:r>
      <w:r w:rsidRPr="00FD5ABF" w:rsidDel="0078553A">
        <w:rPr>
          <w:szCs w:val="22"/>
        </w:rPr>
        <w:t xml:space="preserve"> </w:t>
      </w:r>
      <w:r>
        <w:rPr>
          <w:szCs w:val="22"/>
        </w:rPr>
        <w:t xml:space="preserve">of heat </w:t>
      </w:r>
      <w:r w:rsidRPr="00FD5ABF">
        <w:rPr>
          <w:szCs w:val="22"/>
        </w:rPr>
        <w:t>pump clothes dryer</w:t>
      </w:r>
      <w:r>
        <w:rPr>
          <w:szCs w:val="22"/>
        </w:rPr>
        <w:t>s</w:t>
      </w:r>
      <w:r w:rsidRPr="00FD5ABF">
        <w:rPr>
          <w:szCs w:val="22"/>
        </w:rPr>
        <w:t xml:space="preserve"> (HPCD) using HFC-134a are growing rapidly in the EU. R-407C and HC-290 based systems </w:t>
      </w:r>
      <w:r>
        <w:rPr>
          <w:szCs w:val="22"/>
        </w:rPr>
        <w:t>are on</w:t>
      </w:r>
      <w:r w:rsidRPr="00FD5ABF">
        <w:rPr>
          <w:szCs w:val="22"/>
        </w:rPr>
        <w:t xml:space="preserve"> the market, with R-744 </w:t>
      </w:r>
      <w:r>
        <w:rPr>
          <w:szCs w:val="22"/>
        </w:rPr>
        <w:t xml:space="preserve">providing </w:t>
      </w:r>
      <w:r w:rsidRPr="00FD5ABF">
        <w:rPr>
          <w:szCs w:val="22"/>
        </w:rPr>
        <w:t>significant efficiency gain</w:t>
      </w:r>
      <w:r>
        <w:rPr>
          <w:szCs w:val="22"/>
        </w:rPr>
        <w:t xml:space="preserve">s. The use of </w:t>
      </w:r>
      <w:r w:rsidRPr="00FD5ABF">
        <w:rPr>
          <w:szCs w:val="22"/>
        </w:rPr>
        <w:t>HC-600a and low</w:t>
      </w:r>
      <w:r w:rsidR="00570D24">
        <w:rPr>
          <w:szCs w:val="22"/>
        </w:rPr>
        <w:t>-</w:t>
      </w:r>
      <w:r w:rsidRPr="00FD5ABF">
        <w:rPr>
          <w:szCs w:val="22"/>
        </w:rPr>
        <w:t xml:space="preserve">GWP HFCs are being explored. </w:t>
      </w:r>
    </w:p>
    <w:p w14:paraId="389C22AB" w14:textId="011D458F" w:rsidR="00CF01A0" w:rsidRPr="009956E2" w:rsidRDefault="00BF5037" w:rsidP="00413E4A">
      <w:pPr>
        <w:pStyle w:val="Heading2"/>
      </w:pPr>
      <w:bookmarkStart w:id="229" w:name="_Toc484164375"/>
      <w:r>
        <w:t>6.4.</w:t>
      </w:r>
      <w:r>
        <w:tab/>
      </w:r>
      <w:r w:rsidR="00CF01A0" w:rsidRPr="009956E2">
        <w:t>Commercial refrigeration</w:t>
      </w:r>
      <w:bookmarkEnd w:id="229"/>
    </w:p>
    <w:p w14:paraId="58EAD216" w14:textId="17D5CF89" w:rsidR="00CF01A0" w:rsidRPr="00FD5ABF" w:rsidRDefault="00CF01A0" w:rsidP="00A140B1">
      <w:pPr>
        <w:rPr>
          <w:szCs w:val="22"/>
        </w:rPr>
      </w:pPr>
      <w:r w:rsidRPr="004D702F">
        <w:rPr>
          <w:szCs w:val="22"/>
        </w:rPr>
        <w:t>While the F-gas regulation 517/2014 is now effective in Europe</w:t>
      </w:r>
      <w:r>
        <w:rPr>
          <w:szCs w:val="22"/>
        </w:rPr>
        <w:t>, i</w:t>
      </w:r>
      <w:r w:rsidRPr="00FD5ABF">
        <w:rPr>
          <w:szCs w:val="22"/>
        </w:rPr>
        <w:t>n the US</w:t>
      </w:r>
      <w:r w:rsidR="00570D24">
        <w:rPr>
          <w:szCs w:val="22"/>
        </w:rPr>
        <w:t xml:space="preserve"> </w:t>
      </w:r>
      <w:r w:rsidRPr="00FD5ABF">
        <w:rPr>
          <w:szCs w:val="22"/>
        </w:rPr>
        <w:t>EPA</w:t>
      </w:r>
      <w:r>
        <w:rPr>
          <w:szCs w:val="22"/>
        </w:rPr>
        <w:t xml:space="preserve"> has </w:t>
      </w:r>
      <w:r w:rsidRPr="00FD5ABF">
        <w:rPr>
          <w:szCs w:val="22"/>
        </w:rPr>
        <w:t xml:space="preserve">published two final rules for change of status of refrigerants in several applications under its SNAP program. </w:t>
      </w:r>
      <w:r>
        <w:rPr>
          <w:szCs w:val="22"/>
        </w:rPr>
        <w:t xml:space="preserve">In </w:t>
      </w:r>
      <w:r w:rsidRPr="00FD5ABF">
        <w:rPr>
          <w:szCs w:val="22"/>
        </w:rPr>
        <w:t>commercial refrigeration</w:t>
      </w:r>
      <w:r>
        <w:rPr>
          <w:szCs w:val="22"/>
        </w:rPr>
        <w:t xml:space="preserve">, </w:t>
      </w:r>
      <w:r w:rsidRPr="00FD5ABF">
        <w:rPr>
          <w:szCs w:val="22"/>
        </w:rPr>
        <w:t xml:space="preserve">high GWP HFC blend R-404A is not allowed in new equipment </w:t>
      </w:r>
      <w:r>
        <w:rPr>
          <w:szCs w:val="22"/>
        </w:rPr>
        <w:t>from</w:t>
      </w:r>
      <w:r w:rsidRPr="00FD5ABF">
        <w:rPr>
          <w:szCs w:val="22"/>
        </w:rPr>
        <w:t xml:space="preserve"> </w:t>
      </w:r>
      <w:r w:rsidR="00570D24">
        <w:rPr>
          <w:szCs w:val="22"/>
        </w:rPr>
        <w:t xml:space="preserve">1 </w:t>
      </w:r>
      <w:r w:rsidRPr="00FD5ABF">
        <w:rPr>
          <w:szCs w:val="22"/>
        </w:rPr>
        <w:t xml:space="preserve">January 2017 for supermarkets, </w:t>
      </w:r>
      <w:r>
        <w:rPr>
          <w:szCs w:val="22"/>
        </w:rPr>
        <w:t xml:space="preserve">from </w:t>
      </w:r>
      <w:r w:rsidR="00570D24">
        <w:rPr>
          <w:szCs w:val="22"/>
        </w:rPr>
        <w:t xml:space="preserve">1 </w:t>
      </w:r>
      <w:r w:rsidRPr="00FD5ABF">
        <w:rPr>
          <w:szCs w:val="22"/>
        </w:rPr>
        <w:t>January 2018 for condensing units</w:t>
      </w:r>
      <w:r>
        <w:rPr>
          <w:szCs w:val="22"/>
        </w:rPr>
        <w:t xml:space="preserve">, and from </w:t>
      </w:r>
      <w:r w:rsidR="00570D24">
        <w:rPr>
          <w:szCs w:val="22"/>
        </w:rPr>
        <w:t xml:space="preserve">1 </w:t>
      </w:r>
      <w:r>
        <w:rPr>
          <w:szCs w:val="22"/>
        </w:rPr>
        <w:t>J</w:t>
      </w:r>
      <w:r w:rsidRPr="00FD5ABF">
        <w:rPr>
          <w:szCs w:val="22"/>
        </w:rPr>
        <w:t>anuary 2019 &amp; 2020 for self-contained systems. For self</w:t>
      </w:r>
      <w:r>
        <w:rPr>
          <w:szCs w:val="22"/>
        </w:rPr>
        <w:t>-</w:t>
      </w:r>
      <w:r w:rsidRPr="00FD5ABF">
        <w:rPr>
          <w:szCs w:val="22"/>
        </w:rPr>
        <w:t>contained ice machines the use of R290 is approved in new equipment subject to charge limit</w:t>
      </w:r>
      <w:r>
        <w:rPr>
          <w:szCs w:val="22"/>
        </w:rPr>
        <w:t>s. Hig</w:t>
      </w:r>
      <w:r w:rsidRPr="00FD5ABF">
        <w:rPr>
          <w:szCs w:val="22"/>
        </w:rPr>
        <w:t>h</w:t>
      </w:r>
      <w:r>
        <w:rPr>
          <w:szCs w:val="22"/>
        </w:rPr>
        <w:t>-</w:t>
      </w:r>
      <w:r w:rsidRPr="00FD5ABF">
        <w:rPr>
          <w:szCs w:val="22"/>
        </w:rPr>
        <w:t xml:space="preserve">GWP blends </w:t>
      </w:r>
      <w:r>
        <w:rPr>
          <w:szCs w:val="22"/>
        </w:rPr>
        <w:t>such as R</w:t>
      </w:r>
      <w:r w:rsidRPr="00FD5ABF">
        <w:rPr>
          <w:szCs w:val="22"/>
        </w:rPr>
        <w:t xml:space="preserve">-404A are not allowed in new warehouse applications </w:t>
      </w:r>
      <w:r>
        <w:rPr>
          <w:szCs w:val="22"/>
        </w:rPr>
        <w:t xml:space="preserve">from </w:t>
      </w:r>
      <w:r w:rsidR="00570D24">
        <w:rPr>
          <w:szCs w:val="22"/>
        </w:rPr>
        <w:t xml:space="preserve">1 </w:t>
      </w:r>
      <w:r w:rsidRPr="00FD5ABF">
        <w:rPr>
          <w:szCs w:val="22"/>
        </w:rPr>
        <w:t xml:space="preserve">January 2023 and in new refrigerated food processing and dispensing equipment </w:t>
      </w:r>
      <w:r>
        <w:rPr>
          <w:szCs w:val="22"/>
        </w:rPr>
        <w:t xml:space="preserve">from </w:t>
      </w:r>
      <w:r w:rsidR="00570D24">
        <w:rPr>
          <w:szCs w:val="22"/>
        </w:rPr>
        <w:t xml:space="preserve">1 </w:t>
      </w:r>
      <w:r w:rsidRPr="00FD5ABF">
        <w:rPr>
          <w:szCs w:val="22"/>
        </w:rPr>
        <w:t>January</w:t>
      </w:r>
      <w:r w:rsidR="00570D24">
        <w:rPr>
          <w:szCs w:val="22"/>
        </w:rPr>
        <w:t xml:space="preserve"> </w:t>
      </w:r>
      <w:r w:rsidRPr="00FD5ABF">
        <w:rPr>
          <w:szCs w:val="22"/>
        </w:rPr>
        <w:t>2021.  Canada has signaled its intention to d</w:t>
      </w:r>
      <w:r>
        <w:rPr>
          <w:szCs w:val="22"/>
        </w:rPr>
        <w:t xml:space="preserve">evelop similar regulations. </w:t>
      </w:r>
      <w:r w:rsidRPr="00FD5ABF">
        <w:rPr>
          <w:szCs w:val="22"/>
        </w:rPr>
        <w:t xml:space="preserve">California is </w:t>
      </w:r>
      <w:r>
        <w:rPr>
          <w:szCs w:val="22"/>
        </w:rPr>
        <w:t>investigating the European</w:t>
      </w:r>
      <w:r w:rsidRPr="00FD5ABF">
        <w:rPr>
          <w:szCs w:val="22"/>
        </w:rPr>
        <w:t xml:space="preserve"> F-gas regulation </w:t>
      </w:r>
      <w:r>
        <w:rPr>
          <w:szCs w:val="22"/>
        </w:rPr>
        <w:t xml:space="preserve">as a basis </w:t>
      </w:r>
      <w:r w:rsidRPr="00FD5ABF">
        <w:rPr>
          <w:szCs w:val="22"/>
        </w:rPr>
        <w:t xml:space="preserve">for its </w:t>
      </w:r>
      <w:r>
        <w:rPr>
          <w:szCs w:val="22"/>
        </w:rPr>
        <w:t xml:space="preserve">own </w:t>
      </w:r>
      <w:r w:rsidRPr="00FD5ABF">
        <w:rPr>
          <w:szCs w:val="22"/>
        </w:rPr>
        <w:t>regulation</w:t>
      </w:r>
      <w:r>
        <w:rPr>
          <w:szCs w:val="22"/>
        </w:rPr>
        <w:t>s</w:t>
      </w:r>
      <w:r w:rsidRPr="00FD5ABF">
        <w:rPr>
          <w:szCs w:val="22"/>
        </w:rPr>
        <w:t>. These governments</w:t>
      </w:r>
      <w:r>
        <w:rPr>
          <w:szCs w:val="22"/>
        </w:rPr>
        <w:t>/administrations are moving towards dis</w:t>
      </w:r>
      <w:r w:rsidRPr="00FD5ABF">
        <w:rPr>
          <w:szCs w:val="22"/>
        </w:rPr>
        <w:t>allowing high GWP HFC refrigerants</w:t>
      </w:r>
      <w:r>
        <w:rPr>
          <w:szCs w:val="22"/>
        </w:rPr>
        <w:t xml:space="preserve"> and </w:t>
      </w:r>
      <w:r w:rsidRPr="00FD5ABF">
        <w:rPr>
          <w:szCs w:val="22"/>
        </w:rPr>
        <w:t xml:space="preserve">blends in new equipment.  </w:t>
      </w:r>
    </w:p>
    <w:p w14:paraId="438A7946" w14:textId="5E8607BA" w:rsidR="00CF01A0" w:rsidRPr="00FD5ABF" w:rsidRDefault="00CF01A0" w:rsidP="00A140B1">
      <w:pPr>
        <w:rPr>
          <w:szCs w:val="22"/>
        </w:rPr>
      </w:pPr>
      <w:r w:rsidRPr="00FD5ABF">
        <w:rPr>
          <w:szCs w:val="22"/>
        </w:rPr>
        <w:t>Low</w:t>
      </w:r>
      <w:r w:rsidR="00570D24">
        <w:rPr>
          <w:szCs w:val="22"/>
        </w:rPr>
        <w:t>-</w:t>
      </w:r>
      <w:r w:rsidRPr="00FD5ABF">
        <w:rPr>
          <w:szCs w:val="22"/>
        </w:rPr>
        <w:t xml:space="preserve">GWP refrigerants and HFC/HFO/HCFO blends (both A1 and A2L </w:t>
      </w:r>
      <w:r>
        <w:rPr>
          <w:szCs w:val="22"/>
        </w:rPr>
        <w:t xml:space="preserve">with GWPs in the range of 30-50% of </w:t>
      </w:r>
      <w:r w:rsidRPr="00FD5ABF">
        <w:rPr>
          <w:szCs w:val="22"/>
        </w:rPr>
        <w:t>the GWP of the refrigerants that they are replacing</w:t>
      </w:r>
      <w:r>
        <w:rPr>
          <w:szCs w:val="22"/>
        </w:rPr>
        <w:t>)</w:t>
      </w:r>
      <w:r w:rsidRPr="00FD5ABF">
        <w:rPr>
          <w:szCs w:val="22"/>
        </w:rPr>
        <w:t xml:space="preserve"> are </w:t>
      </w:r>
      <w:r>
        <w:rPr>
          <w:szCs w:val="22"/>
        </w:rPr>
        <w:t>being a</w:t>
      </w:r>
      <w:r w:rsidRPr="00FD5ABF">
        <w:rPr>
          <w:szCs w:val="22"/>
        </w:rPr>
        <w:t>pproved for use i</w:t>
      </w:r>
      <w:r>
        <w:rPr>
          <w:szCs w:val="22"/>
        </w:rPr>
        <w:t xml:space="preserve">n </w:t>
      </w:r>
      <w:r w:rsidRPr="00FD5ABF">
        <w:rPr>
          <w:szCs w:val="22"/>
        </w:rPr>
        <w:t>commercial refrigeration equipment.</w:t>
      </w:r>
      <w:r>
        <w:rPr>
          <w:szCs w:val="22"/>
        </w:rPr>
        <w:t xml:space="preserve"> </w:t>
      </w:r>
      <w:r w:rsidRPr="00FD5ABF">
        <w:rPr>
          <w:szCs w:val="22"/>
        </w:rPr>
        <w:t>In supermarkets, condensing units and self-contained equipment</w:t>
      </w:r>
      <w:r>
        <w:rPr>
          <w:szCs w:val="22"/>
        </w:rPr>
        <w:t>,</w:t>
      </w:r>
      <w:r w:rsidRPr="00FD5ABF">
        <w:rPr>
          <w:szCs w:val="22"/>
        </w:rPr>
        <w:t xml:space="preserve"> blends such as R-448A, R449-A, R-449B, R-450A, and R-513A </w:t>
      </w:r>
      <w:r>
        <w:rPr>
          <w:szCs w:val="22"/>
        </w:rPr>
        <w:t>are p</w:t>
      </w:r>
      <w:r w:rsidRPr="00F96AFE">
        <w:rPr>
          <w:szCs w:val="22"/>
        </w:rPr>
        <w:t>rogressively</w:t>
      </w:r>
      <w:r>
        <w:rPr>
          <w:szCs w:val="22"/>
        </w:rPr>
        <w:t xml:space="preserve"> used in E</w:t>
      </w:r>
      <w:r w:rsidRPr="00FD5ABF">
        <w:rPr>
          <w:szCs w:val="22"/>
        </w:rPr>
        <w:t xml:space="preserve">urope and the </w:t>
      </w:r>
      <w:r w:rsidR="0070607D">
        <w:rPr>
          <w:szCs w:val="22"/>
        </w:rPr>
        <w:t>US</w:t>
      </w:r>
      <w:r>
        <w:rPr>
          <w:szCs w:val="22"/>
        </w:rPr>
        <w:t>. Co</w:t>
      </w:r>
      <w:r w:rsidRPr="00FD5ABF">
        <w:rPr>
          <w:szCs w:val="22"/>
        </w:rPr>
        <w:t>mponent manufacturers (compressors, valves, controls) are approving existing products</w:t>
      </w:r>
      <w:r>
        <w:rPr>
          <w:szCs w:val="22"/>
        </w:rPr>
        <w:t xml:space="preserve">, as well as developing </w:t>
      </w:r>
      <w:r w:rsidRPr="00FD5ABF">
        <w:rPr>
          <w:szCs w:val="22"/>
        </w:rPr>
        <w:t>new products for use with these new refrigerants</w:t>
      </w:r>
      <w:r>
        <w:rPr>
          <w:szCs w:val="22"/>
        </w:rPr>
        <w:t xml:space="preserve">. </w:t>
      </w:r>
      <w:r w:rsidRPr="00FD5ABF">
        <w:rPr>
          <w:szCs w:val="22"/>
        </w:rPr>
        <w:t xml:space="preserve">In the self-contained equipment category, trials with HFO-1234yf and HFO-1234ze have </w:t>
      </w:r>
      <w:r>
        <w:rPr>
          <w:szCs w:val="22"/>
        </w:rPr>
        <w:t xml:space="preserve">also commenced. </w:t>
      </w:r>
      <w:r w:rsidRPr="00FD5ABF">
        <w:rPr>
          <w:szCs w:val="22"/>
        </w:rPr>
        <w:t xml:space="preserve">The use of R-407A and R-407F (at approximately half the GWP of R-404A and with similar performance in systems) continues to grow in many parts of the world.  </w:t>
      </w:r>
    </w:p>
    <w:p w14:paraId="325B3FC2" w14:textId="35F4CF05" w:rsidR="00CF01A0" w:rsidRPr="00FD5ABF" w:rsidRDefault="00CF01A0" w:rsidP="00A140B1">
      <w:pPr>
        <w:rPr>
          <w:szCs w:val="22"/>
        </w:rPr>
      </w:pPr>
      <w:r w:rsidRPr="00FD5ABF">
        <w:rPr>
          <w:szCs w:val="22"/>
        </w:rPr>
        <w:t>Non-halocarbon refrigerants such as R-744 are increasingly being used in supermarket systems worldwide – both in cascaded systems (R-744 for low temperature cascaded with a second refrigerant like HFC-134a or similar and R-717 in limited cases)</w:t>
      </w:r>
      <w:r>
        <w:rPr>
          <w:szCs w:val="22"/>
        </w:rPr>
        <w:t xml:space="preserve"> and in transcritical systems. </w:t>
      </w:r>
      <w:r w:rsidRPr="00FD5ABF">
        <w:rPr>
          <w:szCs w:val="22"/>
        </w:rPr>
        <w:t xml:space="preserve">Transcritical systems are </w:t>
      </w:r>
      <w:r>
        <w:rPr>
          <w:szCs w:val="22"/>
        </w:rPr>
        <w:t xml:space="preserve">undergoing extensive component and system R&amp;D on </w:t>
      </w:r>
      <w:r w:rsidRPr="00FD5ABF">
        <w:rPr>
          <w:szCs w:val="22"/>
        </w:rPr>
        <w:t>ejector, adiabatic condensing, sub</w:t>
      </w:r>
      <w:r w:rsidR="00570D24">
        <w:rPr>
          <w:szCs w:val="22"/>
        </w:rPr>
        <w:t>-</w:t>
      </w:r>
      <w:r w:rsidRPr="00FD5ABF">
        <w:rPr>
          <w:szCs w:val="22"/>
        </w:rPr>
        <w:t>cooling and parallel compression</w:t>
      </w:r>
      <w:r>
        <w:rPr>
          <w:szCs w:val="22"/>
        </w:rPr>
        <w:t xml:space="preserve"> </w:t>
      </w:r>
      <w:r w:rsidRPr="00FD5ABF">
        <w:rPr>
          <w:szCs w:val="22"/>
        </w:rPr>
        <w:t xml:space="preserve">to reduce their energy </w:t>
      </w:r>
      <w:r>
        <w:rPr>
          <w:szCs w:val="22"/>
        </w:rPr>
        <w:t xml:space="preserve">consumption </w:t>
      </w:r>
      <w:r w:rsidRPr="00FD5ABF">
        <w:rPr>
          <w:szCs w:val="22"/>
        </w:rPr>
        <w:t>at high</w:t>
      </w:r>
      <w:r>
        <w:rPr>
          <w:szCs w:val="22"/>
        </w:rPr>
        <w:t>er</w:t>
      </w:r>
      <w:r w:rsidRPr="00FD5ABF">
        <w:rPr>
          <w:szCs w:val="22"/>
        </w:rPr>
        <w:t xml:space="preserve"> ambient conditions</w:t>
      </w:r>
      <w:r>
        <w:rPr>
          <w:szCs w:val="22"/>
        </w:rPr>
        <w:t>. W</w:t>
      </w:r>
      <w:r w:rsidRPr="00FD5ABF">
        <w:rPr>
          <w:szCs w:val="22"/>
        </w:rPr>
        <w:t>alk-in applications with condensing units</w:t>
      </w:r>
      <w:r w:rsidRPr="00FD5ABF" w:rsidDel="00F15645">
        <w:rPr>
          <w:szCs w:val="22"/>
        </w:rPr>
        <w:t xml:space="preserve"> </w:t>
      </w:r>
      <w:r>
        <w:rPr>
          <w:szCs w:val="22"/>
        </w:rPr>
        <w:t xml:space="preserve">are increasingly using </w:t>
      </w:r>
      <w:r w:rsidRPr="00FD5ABF">
        <w:rPr>
          <w:szCs w:val="22"/>
        </w:rPr>
        <w:t>R-744. Self-contained systems are moving from R-404A</w:t>
      </w:r>
      <w:r>
        <w:rPr>
          <w:szCs w:val="22"/>
        </w:rPr>
        <w:t xml:space="preserve"> and </w:t>
      </w:r>
      <w:r w:rsidRPr="00FD5ABF">
        <w:rPr>
          <w:szCs w:val="22"/>
        </w:rPr>
        <w:t>HCFC-2</w:t>
      </w:r>
      <w:r>
        <w:rPr>
          <w:szCs w:val="22"/>
        </w:rPr>
        <w:t xml:space="preserve">2, </w:t>
      </w:r>
      <w:r w:rsidRPr="00FD5ABF">
        <w:rPr>
          <w:szCs w:val="22"/>
        </w:rPr>
        <w:t xml:space="preserve">to HC-290 or R-744. </w:t>
      </w:r>
      <w:r>
        <w:rPr>
          <w:szCs w:val="22"/>
        </w:rPr>
        <w:t xml:space="preserve">The use of </w:t>
      </w:r>
      <w:r w:rsidRPr="00FD5ABF">
        <w:rPr>
          <w:szCs w:val="22"/>
        </w:rPr>
        <w:t xml:space="preserve">HC </w:t>
      </w:r>
      <w:r>
        <w:rPr>
          <w:szCs w:val="22"/>
        </w:rPr>
        <w:t>remains limited by the charge limits for larger equipment.</w:t>
      </w:r>
      <w:r w:rsidRPr="00FD5ABF">
        <w:rPr>
          <w:szCs w:val="22"/>
        </w:rPr>
        <w:t xml:space="preserve"> The lack of A2L standards (and their adoption in codes) is also slowing down the migration of commercial refrigeration applications from high</w:t>
      </w:r>
      <w:r w:rsidR="00570D24">
        <w:rPr>
          <w:szCs w:val="22"/>
        </w:rPr>
        <w:t>-</w:t>
      </w:r>
      <w:r w:rsidRPr="00FD5ABF">
        <w:rPr>
          <w:szCs w:val="22"/>
        </w:rPr>
        <w:t>GWP HFCs to lower GWP options.</w:t>
      </w:r>
    </w:p>
    <w:p w14:paraId="175E4C50" w14:textId="296B77A6" w:rsidR="00CF01A0" w:rsidRPr="009956E2" w:rsidRDefault="00BF5037" w:rsidP="00413E4A">
      <w:pPr>
        <w:pStyle w:val="Heading2"/>
      </w:pPr>
      <w:bookmarkStart w:id="230" w:name="_Toc484164376"/>
      <w:r>
        <w:t>6.5.</w:t>
      </w:r>
      <w:r>
        <w:tab/>
      </w:r>
      <w:r w:rsidR="00CF01A0" w:rsidRPr="009956E2">
        <w:t xml:space="preserve">Industrial </w:t>
      </w:r>
      <w:r w:rsidR="00610FED">
        <w:t>s</w:t>
      </w:r>
      <w:r w:rsidR="00CF01A0" w:rsidRPr="009956E2">
        <w:t>ystems</w:t>
      </w:r>
      <w:bookmarkEnd w:id="230"/>
      <w:r w:rsidR="00CF01A0" w:rsidRPr="009956E2">
        <w:t xml:space="preserve"> </w:t>
      </w:r>
    </w:p>
    <w:p w14:paraId="17A24F3D" w14:textId="77777777" w:rsidR="00CF01A0" w:rsidRPr="00FD5ABF" w:rsidRDefault="00CF01A0" w:rsidP="00A140B1">
      <w:pPr>
        <w:rPr>
          <w:szCs w:val="22"/>
        </w:rPr>
      </w:pPr>
      <w:r>
        <w:rPr>
          <w:szCs w:val="22"/>
        </w:rPr>
        <w:t>Since the</w:t>
      </w:r>
      <w:r w:rsidRPr="00FD5ABF">
        <w:rPr>
          <w:szCs w:val="22"/>
        </w:rPr>
        <w:t xml:space="preserve"> last progress report there </w:t>
      </w:r>
      <w:proofErr w:type="gramStart"/>
      <w:r>
        <w:rPr>
          <w:szCs w:val="22"/>
        </w:rPr>
        <w:t xml:space="preserve">has </w:t>
      </w:r>
      <w:r w:rsidRPr="00FD5ABF">
        <w:rPr>
          <w:szCs w:val="22"/>
        </w:rPr>
        <w:t xml:space="preserve">been </w:t>
      </w:r>
      <w:r>
        <w:rPr>
          <w:szCs w:val="22"/>
        </w:rPr>
        <w:t>increasing safety concerns</w:t>
      </w:r>
      <w:proofErr w:type="gramEnd"/>
      <w:r>
        <w:rPr>
          <w:szCs w:val="22"/>
        </w:rPr>
        <w:t xml:space="preserve"> with</w:t>
      </w:r>
      <w:r w:rsidRPr="00FD5ABF">
        <w:rPr>
          <w:szCs w:val="22"/>
        </w:rPr>
        <w:t xml:space="preserve"> ammonia systems</w:t>
      </w:r>
      <w:r>
        <w:rPr>
          <w:szCs w:val="22"/>
        </w:rPr>
        <w:t xml:space="preserve"> with pressure to move to low charge. However, l</w:t>
      </w:r>
      <w:r w:rsidRPr="00FD5ABF">
        <w:rPr>
          <w:szCs w:val="22"/>
        </w:rPr>
        <w:t xml:space="preserve">ow charge </w:t>
      </w:r>
      <w:r>
        <w:rPr>
          <w:szCs w:val="22"/>
        </w:rPr>
        <w:t xml:space="preserve">is not clearly defined and </w:t>
      </w:r>
      <w:r w:rsidRPr="00FD5ABF">
        <w:rPr>
          <w:szCs w:val="22"/>
        </w:rPr>
        <w:t xml:space="preserve">is used in different contexts, </w:t>
      </w:r>
      <w:r>
        <w:rPr>
          <w:szCs w:val="22"/>
        </w:rPr>
        <w:t xml:space="preserve">creating </w:t>
      </w:r>
      <w:r w:rsidRPr="00FD5ABF">
        <w:rPr>
          <w:szCs w:val="22"/>
        </w:rPr>
        <w:t>confusion about the terminology.</w:t>
      </w:r>
    </w:p>
    <w:p w14:paraId="48C69726" w14:textId="57C8EFDE" w:rsidR="00CF01A0" w:rsidRPr="00FD5ABF" w:rsidRDefault="00CF01A0" w:rsidP="00A140B1">
      <w:pPr>
        <w:rPr>
          <w:szCs w:val="22"/>
        </w:rPr>
      </w:pPr>
      <w:r w:rsidRPr="00FD5ABF">
        <w:rPr>
          <w:szCs w:val="22"/>
        </w:rPr>
        <w:lastRenderedPageBreak/>
        <w:t>In chillers</w:t>
      </w:r>
      <w:r>
        <w:rPr>
          <w:szCs w:val="22"/>
        </w:rPr>
        <w:t>,</w:t>
      </w:r>
      <w:r w:rsidRPr="00FD5ABF">
        <w:rPr>
          <w:szCs w:val="22"/>
        </w:rPr>
        <w:t xml:space="preserve"> where the primary refrigerant does not leave the unit</w:t>
      </w:r>
      <w:r>
        <w:rPr>
          <w:szCs w:val="22"/>
        </w:rPr>
        <w:t>,</w:t>
      </w:r>
      <w:r w:rsidRPr="00FD5ABF">
        <w:rPr>
          <w:szCs w:val="22"/>
        </w:rPr>
        <w:t xml:space="preserve"> the </w:t>
      </w:r>
      <w:r>
        <w:rPr>
          <w:szCs w:val="22"/>
        </w:rPr>
        <w:t xml:space="preserve">recommended maximum </w:t>
      </w:r>
      <w:r w:rsidRPr="00FD5ABF">
        <w:rPr>
          <w:szCs w:val="22"/>
        </w:rPr>
        <w:t xml:space="preserve">refrigerant charge </w:t>
      </w:r>
      <w:r>
        <w:rPr>
          <w:szCs w:val="22"/>
        </w:rPr>
        <w:t>(</w:t>
      </w:r>
      <w:r w:rsidRPr="00FD5ABF">
        <w:rPr>
          <w:szCs w:val="22"/>
        </w:rPr>
        <w:t>0</w:t>
      </w:r>
      <w:r>
        <w:rPr>
          <w:szCs w:val="22"/>
        </w:rPr>
        <w:t>.</w:t>
      </w:r>
      <w:r w:rsidRPr="00FD5ABF">
        <w:rPr>
          <w:szCs w:val="22"/>
        </w:rPr>
        <w:t>025</w:t>
      </w:r>
      <w:r w:rsidR="00357734">
        <w:rPr>
          <w:szCs w:val="22"/>
        </w:rPr>
        <w:t xml:space="preserve"> </w:t>
      </w:r>
      <w:r w:rsidRPr="00FD5ABF">
        <w:rPr>
          <w:szCs w:val="22"/>
        </w:rPr>
        <w:t>kg/kW cooling capacity</w:t>
      </w:r>
      <w:r>
        <w:rPr>
          <w:szCs w:val="22"/>
        </w:rPr>
        <w:t>)</w:t>
      </w:r>
      <w:r w:rsidRPr="00FD5ABF">
        <w:rPr>
          <w:szCs w:val="22"/>
        </w:rPr>
        <w:t xml:space="preserve"> </w:t>
      </w:r>
      <w:r>
        <w:rPr>
          <w:szCs w:val="22"/>
        </w:rPr>
        <w:t xml:space="preserve">can be achieved by </w:t>
      </w:r>
      <w:r w:rsidRPr="00FD5ABF">
        <w:rPr>
          <w:szCs w:val="22"/>
        </w:rPr>
        <w:t xml:space="preserve">using new heat exchanger technologies and </w:t>
      </w:r>
      <w:r>
        <w:rPr>
          <w:szCs w:val="22"/>
        </w:rPr>
        <w:t xml:space="preserve">avoiding </w:t>
      </w:r>
      <w:r w:rsidRPr="00FD5ABF">
        <w:rPr>
          <w:szCs w:val="22"/>
        </w:rPr>
        <w:t>receivers.</w:t>
      </w:r>
    </w:p>
    <w:p w14:paraId="05A16B4B" w14:textId="77777777" w:rsidR="00CF01A0" w:rsidRPr="00FD5ABF" w:rsidRDefault="00CF01A0" w:rsidP="00A140B1">
      <w:pPr>
        <w:rPr>
          <w:szCs w:val="22"/>
        </w:rPr>
      </w:pPr>
      <w:r w:rsidRPr="00FD5ABF">
        <w:rPr>
          <w:szCs w:val="22"/>
        </w:rPr>
        <w:t xml:space="preserve">In large systems </w:t>
      </w:r>
      <w:r>
        <w:rPr>
          <w:szCs w:val="22"/>
        </w:rPr>
        <w:t xml:space="preserve">there are technical options to achieve </w:t>
      </w:r>
      <w:r w:rsidRPr="00FD5ABF">
        <w:rPr>
          <w:szCs w:val="22"/>
        </w:rPr>
        <w:t xml:space="preserve">the lower charge. </w:t>
      </w:r>
    </w:p>
    <w:p w14:paraId="549B6B44" w14:textId="77777777" w:rsidR="00570D24" w:rsidRPr="00FD5ABF" w:rsidRDefault="00570D24" w:rsidP="00A140B1">
      <w:pPr>
        <w:rPr>
          <w:szCs w:val="22"/>
        </w:rPr>
      </w:pPr>
      <w:r w:rsidRPr="00FD5ABF">
        <w:rPr>
          <w:szCs w:val="22"/>
        </w:rPr>
        <w:t>According to a re</w:t>
      </w:r>
      <w:r>
        <w:rPr>
          <w:szCs w:val="22"/>
        </w:rPr>
        <w:t>c</w:t>
      </w:r>
      <w:r w:rsidRPr="00FD5ABF">
        <w:rPr>
          <w:szCs w:val="22"/>
        </w:rPr>
        <w:t>ent report</w:t>
      </w:r>
      <w:proofErr w:type="gramStart"/>
      <w:r>
        <w:rPr>
          <w:szCs w:val="22"/>
        </w:rPr>
        <w:t>,</w:t>
      </w:r>
      <w:r w:rsidRPr="00FD5ABF">
        <w:rPr>
          <w:szCs w:val="22"/>
        </w:rPr>
        <w:t xml:space="preserve"> ”</w:t>
      </w:r>
      <w:proofErr w:type="gramEnd"/>
      <w:r>
        <w:rPr>
          <w:szCs w:val="22"/>
        </w:rPr>
        <w:t>[i</w:t>
      </w:r>
      <w:r w:rsidRPr="00FD5ABF">
        <w:rPr>
          <w:szCs w:val="22"/>
        </w:rPr>
        <w:t>ndustrial</w:t>
      </w:r>
      <w:r>
        <w:rPr>
          <w:szCs w:val="22"/>
        </w:rPr>
        <w:t>]</w:t>
      </w:r>
      <w:r w:rsidRPr="00FD5ABF">
        <w:rPr>
          <w:szCs w:val="22"/>
        </w:rPr>
        <w:t xml:space="preserve"> refrigeration makes up about 2 percent of current HFC consumption (in terms tonnes of CO2 equivalent), and is projected to grow about 6.7 percent annually from 2015 to 2050”. Market reports</w:t>
      </w:r>
      <w:r>
        <w:rPr>
          <w:szCs w:val="22"/>
        </w:rPr>
        <w:t xml:space="preserve"> </w:t>
      </w:r>
      <w:r w:rsidRPr="00FD5ABF">
        <w:rPr>
          <w:szCs w:val="22"/>
        </w:rPr>
        <w:t>indicate a move from NH</w:t>
      </w:r>
      <w:r w:rsidRPr="004137C2">
        <w:rPr>
          <w:szCs w:val="22"/>
          <w:vertAlign w:val="subscript"/>
        </w:rPr>
        <w:t>3</w:t>
      </w:r>
      <w:r w:rsidRPr="00FD5ABF">
        <w:rPr>
          <w:szCs w:val="22"/>
        </w:rPr>
        <w:t xml:space="preserve"> to HFC in some countries after</w:t>
      </w:r>
      <w:r>
        <w:rPr>
          <w:szCs w:val="22"/>
        </w:rPr>
        <w:t xml:space="preserve"> </w:t>
      </w:r>
      <w:r w:rsidRPr="00FD5ABF">
        <w:rPr>
          <w:szCs w:val="22"/>
        </w:rPr>
        <w:t>accidents</w:t>
      </w:r>
      <w:r>
        <w:rPr>
          <w:szCs w:val="22"/>
        </w:rPr>
        <w:t xml:space="preserve"> due to </w:t>
      </w:r>
      <w:r w:rsidRPr="00FD5ABF">
        <w:rPr>
          <w:szCs w:val="22"/>
        </w:rPr>
        <w:t xml:space="preserve">neglected rules and standards. </w:t>
      </w:r>
      <w:r>
        <w:rPr>
          <w:szCs w:val="22"/>
        </w:rPr>
        <w:t>This underscores the importance of safe practice and safety training when dealing with toxic refrigerants.</w:t>
      </w:r>
    </w:p>
    <w:p w14:paraId="6D7E9AA5" w14:textId="696EE532" w:rsidR="00CF01A0" w:rsidRPr="00FD5ABF" w:rsidRDefault="00570D24" w:rsidP="00A140B1">
      <w:pPr>
        <w:rPr>
          <w:szCs w:val="22"/>
        </w:rPr>
      </w:pPr>
      <w:r>
        <w:rPr>
          <w:szCs w:val="22"/>
        </w:rPr>
        <w:t>HFC costs are driven towards low filling HFC strategies, as opposed to using higher priced HFO/HCFO options which still have some degree of flammability.</w:t>
      </w:r>
      <w:r w:rsidRPr="00FD5ABF">
        <w:rPr>
          <w:szCs w:val="22"/>
        </w:rPr>
        <w:t xml:space="preserve"> This requires a risk-assessment before installation, especially if they are to be installed indoor. These refrigerants are mostly classified as A2L meaning that they exhibit a lower flammability than A2 but higher than A1</w:t>
      </w:r>
      <w:r w:rsidR="00CF01A0" w:rsidRPr="00FD5ABF">
        <w:rPr>
          <w:szCs w:val="22"/>
        </w:rPr>
        <w:t>.</w:t>
      </w:r>
    </w:p>
    <w:p w14:paraId="2CFF9165" w14:textId="52E3544B" w:rsidR="00CF01A0" w:rsidRPr="00FD5ABF" w:rsidRDefault="00CF01A0" w:rsidP="00A140B1">
      <w:pPr>
        <w:rPr>
          <w:szCs w:val="22"/>
        </w:rPr>
      </w:pPr>
      <w:r w:rsidRPr="00FD5ABF">
        <w:rPr>
          <w:szCs w:val="22"/>
        </w:rPr>
        <w:t>Indir</w:t>
      </w:r>
      <w:r w:rsidR="00353210">
        <w:rPr>
          <w:szCs w:val="22"/>
        </w:rPr>
        <w:t>ect fired absorption heat pumps</w:t>
      </w:r>
      <w:r w:rsidRPr="00FD5ABF">
        <w:rPr>
          <w:szCs w:val="22"/>
        </w:rPr>
        <w:t xml:space="preserve"> of both the LiBr-H</w:t>
      </w:r>
      <w:r w:rsidRPr="00570D24">
        <w:rPr>
          <w:szCs w:val="22"/>
          <w:vertAlign w:val="subscript"/>
        </w:rPr>
        <w:t>2</w:t>
      </w:r>
      <w:r w:rsidRPr="00FD5ABF">
        <w:rPr>
          <w:szCs w:val="22"/>
        </w:rPr>
        <w:t>O and H</w:t>
      </w:r>
      <w:r w:rsidRPr="00570D24">
        <w:rPr>
          <w:szCs w:val="22"/>
          <w:vertAlign w:val="subscript"/>
        </w:rPr>
        <w:t>2</w:t>
      </w:r>
      <w:r w:rsidRPr="00FD5ABF">
        <w:rPr>
          <w:szCs w:val="22"/>
        </w:rPr>
        <w:t>O-NH</w:t>
      </w:r>
      <w:r w:rsidRPr="00570D24">
        <w:rPr>
          <w:szCs w:val="22"/>
          <w:vertAlign w:val="subscript"/>
        </w:rPr>
        <w:t>3</w:t>
      </w:r>
      <w:r w:rsidRPr="00FD5ABF">
        <w:rPr>
          <w:szCs w:val="22"/>
        </w:rPr>
        <w:t xml:space="preserve"> type are gaining ground. Those absorption heat pumps are fired by exhaust heat from industrial operations, such as heat rejected from internal combustion engines, gas fired turbines, steam and hot water boilers, etc. The overall thermal efficiency of those system</w:t>
      </w:r>
      <w:r>
        <w:rPr>
          <w:szCs w:val="22"/>
        </w:rPr>
        <w:t xml:space="preserve">s is </w:t>
      </w:r>
      <w:r w:rsidRPr="00FD5ABF">
        <w:rPr>
          <w:szCs w:val="22"/>
        </w:rPr>
        <w:t>attractive when compared to conventional vapour compression systems. An attractive feature is the lower absorbed power from the electric grid.</w:t>
      </w:r>
    </w:p>
    <w:p w14:paraId="6379A76E" w14:textId="77777777" w:rsidR="00CF01A0" w:rsidRPr="00FD5ABF" w:rsidRDefault="00CF01A0" w:rsidP="00A140B1">
      <w:pPr>
        <w:rPr>
          <w:szCs w:val="22"/>
        </w:rPr>
      </w:pPr>
      <w:r w:rsidRPr="00FD5ABF">
        <w:rPr>
          <w:szCs w:val="22"/>
        </w:rPr>
        <w:t xml:space="preserve">The growing use of district cooling is also an </w:t>
      </w:r>
      <w:r>
        <w:rPr>
          <w:szCs w:val="22"/>
        </w:rPr>
        <w:t xml:space="preserve">opportunity </w:t>
      </w:r>
      <w:r w:rsidRPr="00FD5ABF">
        <w:rPr>
          <w:szCs w:val="22"/>
        </w:rPr>
        <w:t xml:space="preserve">to maximise the system efficiency. </w:t>
      </w:r>
      <w:r>
        <w:rPr>
          <w:szCs w:val="22"/>
        </w:rPr>
        <w:t xml:space="preserve">For example, </w:t>
      </w:r>
      <w:r w:rsidRPr="00FD5ABF">
        <w:rPr>
          <w:szCs w:val="22"/>
        </w:rPr>
        <w:t xml:space="preserve">district heating suppliers can collect low value heat from refrigeration systems and use it as heat source for heat pumps </w:t>
      </w:r>
      <w:r>
        <w:rPr>
          <w:szCs w:val="22"/>
        </w:rPr>
        <w:t xml:space="preserve">for </w:t>
      </w:r>
      <w:r w:rsidRPr="00FD5ABF">
        <w:rPr>
          <w:szCs w:val="22"/>
        </w:rPr>
        <w:t xml:space="preserve">district heating. </w:t>
      </w:r>
    </w:p>
    <w:p w14:paraId="4D191BB3" w14:textId="77777777" w:rsidR="00CF01A0" w:rsidRPr="00FD5ABF" w:rsidRDefault="00CF01A0" w:rsidP="00A140B1">
      <w:pPr>
        <w:rPr>
          <w:szCs w:val="22"/>
        </w:rPr>
      </w:pPr>
      <w:r>
        <w:rPr>
          <w:szCs w:val="22"/>
        </w:rPr>
        <w:t>I</w:t>
      </w:r>
      <w:r w:rsidRPr="00FD5ABF">
        <w:rPr>
          <w:szCs w:val="22"/>
        </w:rPr>
        <w:t xml:space="preserve">n the future </w:t>
      </w:r>
      <w:r>
        <w:rPr>
          <w:szCs w:val="22"/>
        </w:rPr>
        <w:t xml:space="preserve">it will be hard to justify wasting </w:t>
      </w:r>
      <w:r w:rsidRPr="00FD5ABF">
        <w:rPr>
          <w:szCs w:val="22"/>
        </w:rPr>
        <w:t>energy</w:t>
      </w:r>
      <w:r>
        <w:rPr>
          <w:szCs w:val="22"/>
        </w:rPr>
        <w:t>,</w:t>
      </w:r>
      <w:r w:rsidRPr="00FD5ABF">
        <w:rPr>
          <w:szCs w:val="22"/>
        </w:rPr>
        <w:t xml:space="preserve"> which c</w:t>
      </w:r>
      <w:r>
        <w:rPr>
          <w:szCs w:val="22"/>
        </w:rPr>
        <w:t xml:space="preserve">ould </w:t>
      </w:r>
      <w:r w:rsidRPr="00FD5ABF">
        <w:rPr>
          <w:szCs w:val="22"/>
        </w:rPr>
        <w:t xml:space="preserve">be used as </w:t>
      </w:r>
      <w:r>
        <w:rPr>
          <w:szCs w:val="22"/>
        </w:rPr>
        <w:t xml:space="preserve">a </w:t>
      </w:r>
      <w:r w:rsidRPr="00FD5ABF">
        <w:rPr>
          <w:szCs w:val="22"/>
        </w:rPr>
        <w:t>heat source for heat generators</w:t>
      </w:r>
      <w:r>
        <w:rPr>
          <w:szCs w:val="22"/>
        </w:rPr>
        <w:t xml:space="preserve"> and </w:t>
      </w:r>
      <w:r w:rsidRPr="00FD5ABF">
        <w:rPr>
          <w:szCs w:val="22"/>
        </w:rPr>
        <w:t>heat pumps</w:t>
      </w:r>
      <w:r>
        <w:rPr>
          <w:szCs w:val="22"/>
        </w:rPr>
        <w:t>. Energy</w:t>
      </w:r>
      <w:r w:rsidRPr="00FD5ABF">
        <w:rPr>
          <w:szCs w:val="22"/>
        </w:rPr>
        <w:t xml:space="preserve"> grids </w:t>
      </w:r>
      <w:r>
        <w:rPr>
          <w:szCs w:val="22"/>
        </w:rPr>
        <w:t xml:space="preserve">within large conurbations will reduce wastage </w:t>
      </w:r>
      <w:r w:rsidRPr="00FD5ABF">
        <w:rPr>
          <w:szCs w:val="22"/>
        </w:rPr>
        <w:t xml:space="preserve">where some consumers need heat and others </w:t>
      </w:r>
      <w:r>
        <w:rPr>
          <w:szCs w:val="22"/>
        </w:rPr>
        <w:t>provide h</w:t>
      </w:r>
      <w:r w:rsidRPr="00FD5ABF">
        <w:rPr>
          <w:szCs w:val="22"/>
        </w:rPr>
        <w:t>eat in to the grid. Future systems may be based on wind and solar power generation with batteries to keep the systems running during night hours</w:t>
      </w:r>
      <w:r>
        <w:rPr>
          <w:szCs w:val="22"/>
        </w:rPr>
        <w:t xml:space="preserve"> although th</w:t>
      </w:r>
      <w:r w:rsidRPr="00FD5ABF">
        <w:rPr>
          <w:szCs w:val="22"/>
        </w:rPr>
        <w:t xml:space="preserve">is </w:t>
      </w:r>
      <w:r>
        <w:rPr>
          <w:szCs w:val="22"/>
        </w:rPr>
        <w:t xml:space="preserve">is challenging in places with long polar nights for several months. </w:t>
      </w:r>
    </w:p>
    <w:p w14:paraId="12BF0595" w14:textId="356DABD3" w:rsidR="00CF01A0" w:rsidRPr="00125712" w:rsidRDefault="00BF5037" w:rsidP="00413E4A">
      <w:pPr>
        <w:pStyle w:val="Heading2"/>
      </w:pPr>
      <w:bookmarkStart w:id="231" w:name="_Toc484164377"/>
      <w:r>
        <w:t>6.6.</w:t>
      </w:r>
      <w:r>
        <w:tab/>
      </w:r>
      <w:r w:rsidR="00CF01A0" w:rsidRPr="00125712">
        <w:t xml:space="preserve">Transport </w:t>
      </w:r>
      <w:r w:rsidR="00610FED">
        <w:t>r</w:t>
      </w:r>
      <w:r w:rsidR="00CF01A0" w:rsidRPr="00125712">
        <w:t>efrigeration</w:t>
      </w:r>
      <w:bookmarkEnd w:id="231"/>
    </w:p>
    <w:p w14:paraId="4545E066" w14:textId="3439AEC6" w:rsidR="00CF01A0" w:rsidRPr="00FD5ABF" w:rsidRDefault="00BF5037" w:rsidP="00413E4A">
      <w:pPr>
        <w:pStyle w:val="Heading3"/>
      </w:pPr>
      <w:bookmarkStart w:id="232" w:name="_Toc484164378"/>
      <w:r>
        <w:t>6.6.1.</w:t>
      </w:r>
      <w:r>
        <w:tab/>
      </w:r>
      <w:r w:rsidR="00CF01A0" w:rsidRPr="00FD5ABF">
        <w:t>Ships</w:t>
      </w:r>
      <w:bookmarkEnd w:id="232"/>
    </w:p>
    <w:p w14:paraId="24BE7688" w14:textId="77777777" w:rsidR="00CF01A0" w:rsidRPr="000B3584" w:rsidRDefault="00CF01A0" w:rsidP="00A140B1">
      <w:pPr>
        <w:pStyle w:val="NoSpacing"/>
        <w:rPr>
          <w:sz w:val="22"/>
          <w:szCs w:val="22"/>
        </w:rPr>
      </w:pPr>
      <w:r w:rsidRPr="000B3584">
        <w:rPr>
          <w:sz w:val="22"/>
          <w:szCs w:val="22"/>
        </w:rPr>
        <w:t>IMO, FAO</w:t>
      </w:r>
      <w:r w:rsidRPr="000B3584">
        <w:rPr>
          <w:rStyle w:val="FootnoteReference"/>
          <w:sz w:val="22"/>
          <w:szCs w:val="22"/>
        </w:rPr>
        <w:footnoteReference w:id="18"/>
      </w:r>
      <w:r w:rsidRPr="000B3584">
        <w:rPr>
          <w:sz w:val="22"/>
          <w:szCs w:val="22"/>
        </w:rPr>
        <w:t xml:space="preserve"> and the classification organisations will consider the impact of the Kigali amendment on the marine sector once CO</w:t>
      </w:r>
      <w:r w:rsidRPr="00570D24">
        <w:rPr>
          <w:sz w:val="22"/>
          <w:szCs w:val="22"/>
          <w:vertAlign w:val="subscript"/>
        </w:rPr>
        <w:t>2</w:t>
      </w:r>
      <w:r w:rsidRPr="000B3584">
        <w:rPr>
          <w:sz w:val="22"/>
          <w:szCs w:val="22"/>
        </w:rPr>
        <w:t xml:space="preserve"> emission monitoring is rolled out. CO</w:t>
      </w:r>
      <w:r w:rsidRPr="00570D24">
        <w:rPr>
          <w:sz w:val="22"/>
          <w:szCs w:val="22"/>
          <w:vertAlign w:val="subscript"/>
        </w:rPr>
        <w:t>2</w:t>
      </w:r>
      <w:r w:rsidRPr="000B3584">
        <w:rPr>
          <w:sz w:val="22"/>
          <w:szCs w:val="22"/>
        </w:rPr>
        <w:t xml:space="preserve"> equivalent emissions are now monitored. Reefer containers are not included at the moment.</w:t>
      </w:r>
    </w:p>
    <w:p w14:paraId="796B9579" w14:textId="77777777" w:rsidR="000B3584" w:rsidRPr="000B3584" w:rsidRDefault="000B3584" w:rsidP="00A140B1">
      <w:pPr>
        <w:pStyle w:val="NoSpacing"/>
        <w:rPr>
          <w:sz w:val="22"/>
          <w:szCs w:val="22"/>
        </w:rPr>
      </w:pPr>
    </w:p>
    <w:p w14:paraId="39D61234" w14:textId="77777777" w:rsidR="00CF01A0" w:rsidRPr="000B3584" w:rsidRDefault="00CF01A0" w:rsidP="00A140B1">
      <w:pPr>
        <w:pStyle w:val="NoSpacing"/>
        <w:rPr>
          <w:sz w:val="22"/>
          <w:szCs w:val="22"/>
        </w:rPr>
      </w:pPr>
      <w:r w:rsidRPr="000B3584">
        <w:rPr>
          <w:sz w:val="22"/>
          <w:szCs w:val="22"/>
        </w:rPr>
        <w:t xml:space="preserve">R-717 is in use in fishing vessels, but the adoption of R-744 systems and especially trans-critical systems will require further development. Refrigeration equipment using low GWP refrigerants such as HC-290 is coming into use in provision rooms </w:t>
      </w:r>
    </w:p>
    <w:p w14:paraId="2F5230CE" w14:textId="77777777" w:rsidR="000B3584" w:rsidRPr="000B3584" w:rsidRDefault="000B3584" w:rsidP="00A140B1">
      <w:pPr>
        <w:pStyle w:val="NoSpacing"/>
        <w:rPr>
          <w:sz w:val="22"/>
          <w:szCs w:val="22"/>
        </w:rPr>
      </w:pPr>
    </w:p>
    <w:p w14:paraId="648523B7" w14:textId="7625B29C" w:rsidR="00CF01A0" w:rsidRPr="000B3584" w:rsidRDefault="00CF01A0" w:rsidP="00A140B1">
      <w:pPr>
        <w:pStyle w:val="NoSpacing"/>
        <w:rPr>
          <w:sz w:val="22"/>
          <w:szCs w:val="22"/>
        </w:rPr>
      </w:pPr>
      <w:r w:rsidRPr="000B3584">
        <w:rPr>
          <w:sz w:val="22"/>
          <w:szCs w:val="22"/>
        </w:rPr>
        <w:lastRenderedPageBreak/>
        <w:t>Cruise liners have extremely large AC systems, and flammable refrigerants are difficult to envisage without radical redesign. Indirect systems are mostly used today and they could be redesigned for flammable refrigerants.</w:t>
      </w:r>
    </w:p>
    <w:p w14:paraId="62B8009D" w14:textId="77777777" w:rsidR="00CF01A0" w:rsidRPr="00FD5ABF" w:rsidRDefault="00CF01A0" w:rsidP="00A140B1">
      <w:pPr>
        <w:pStyle w:val="NoSpacing"/>
        <w:ind w:left="1440"/>
      </w:pPr>
    </w:p>
    <w:p w14:paraId="47FC7EC5" w14:textId="23F2BE9E" w:rsidR="00CF01A0" w:rsidRPr="00FD5ABF" w:rsidRDefault="00BF5037" w:rsidP="00413E4A">
      <w:pPr>
        <w:pStyle w:val="Heading3"/>
      </w:pPr>
      <w:bookmarkStart w:id="233" w:name="_Toc484164379"/>
      <w:r>
        <w:t>6.6.2.</w:t>
      </w:r>
      <w:r>
        <w:tab/>
      </w:r>
      <w:r w:rsidR="00CF01A0" w:rsidRPr="00FD5ABF">
        <w:t>Truck</w:t>
      </w:r>
      <w:r w:rsidR="00CF01A0">
        <w:t>s</w:t>
      </w:r>
      <w:r w:rsidR="00CF01A0" w:rsidRPr="00FD5ABF">
        <w:t>, trailer</w:t>
      </w:r>
      <w:r w:rsidR="00CF01A0">
        <w:t>s</w:t>
      </w:r>
      <w:r w:rsidR="00CF01A0" w:rsidRPr="00FD5ABF">
        <w:t xml:space="preserve"> and containers</w:t>
      </w:r>
      <w:bookmarkEnd w:id="233"/>
    </w:p>
    <w:p w14:paraId="3C982F72" w14:textId="77777777" w:rsidR="00CF01A0" w:rsidRPr="00E243AB" w:rsidRDefault="00CF01A0" w:rsidP="00A140B1">
      <w:pPr>
        <w:autoSpaceDE w:val="0"/>
        <w:autoSpaceDN w:val="0"/>
        <w:adjustRightInd w:val="0"/>
        <w:rPr>
          <w:szCs w:val="22"/>
        </w:rPr>
      </w:pPr>
      <w:r w:rsidRPr="00FD5ABF">
        <w:rPr>
          <w:szCs w:val="22"/>
        </w:rPr>
        <w:t>The</w:t>
      </w:r>
      <w:r>
        <w:rPr>
          <w:szCs w:val="22"/>
        </w:rPr>
        <w:t xml:space="preserve"> use of R</w:t>
      </w:r>
      <w:r w:rsidRPr="00FD5ABF">
        <w:rPr>
          <w:szCs w:val="22"/>
        </w:rPr>
        <w:t xml:space="preserve">-452A option is </w:t>
      </w:r>
      <w:r>
        <w:rPr>
          <w:szCs w:val="22"/>
        </w:rPr>
        <w:t>increasing</w:t>
      </w:r>
      <w:r w:rsidRPr="00FD5ABF">
        <w:rPr>
          <w:szCs w:val="22"/>
        </w:rPr>
        <w:t xml:space="preserve">. At least two large manufacturers offer </w:t>
      </w:r>
      <w:r>
        <w:rPr>
          <w:szCs w:val="22"/>
        </w:rPr>
        <w:t>R</w:t>
      </w:r>
      <w:r w:rsidRPr="00FD5ABF">
        <w:rPr>
          <w:szCs w:val="22"/>
        </w:rPr>
        <w:t xml:space="preserve">-452A as </w:t>
      </w:r>
      <w:r>
        <w:rPr>
          <w:szCs w:val="22"/>
        </w:rPr>
        <w:t>an alternative to R</w:t>
      </w:r>
      <w:r w:rsidRPr="00FD5ABF">
        <w:rPr>
          <w:szCs w:val="22"/>
        </w:rPr>
        <w:t xml:space="preserve">-404A. </w:t>
      </w:r>
      <w:r>
        <w:rPr>
          <w:szCs w:val="22"/>
        </w:rPr>
        <w:t>R</w:t>
      </w:r>
      <w:r w:rsidRPr="00FD5ABF">
        <w:rPr>
          <w:szCs w:val="22"/>
        </w:rPr>
        <w:t xml:space="preserve">-452A has similar cooling capacity, fuel efficiency, reliability and refrigerant charge as </w:t>
      </w:r>
      <w:r>
        <w:rPr>
          <w:szCs w:val="22"/>
        </w:rPr>
        <w:t>R</w:t>
      </w:r>
      <w:r w:rsidRPr="00FD5ABF">
        <w:rPr>
          <w:szCs w:val="22"/>
        </w:rPr>
        <w:t>-404A, but it offers a 45% GWP reduction.</w:t>
      </w:r>
    </w:p>
    <w:p w14:paraId="35610720" w14:textId="43832D7E" w:rsidR="00CF01A0" w:rsidRPr="000B3584" w:rsidRDefault="00CF01A0" w:rsidP="00A140B1">
      <w:pPr>
        <w:pStyle w:val="NoSpacing"/>
        <w:rPr>
          <w:sz w:val="22"/>
          <w:szCs w:val="22"/>
        </w:rPr>
      </w:pPr>
      <w:r w:rsidRPr="000B3584">
        <w:rPr>
          <w:sz w:val="22"/>
          <w:szCs w:val="22"/>
        </w:rPr>
        <w:t xml:space="preserve">Manufacturers of refrigeration systems for containers </w:t>
      </w:r>
      <w:r w:rsidR="00A66B22">
        <w:rPr>
          <w:sz w:val="22"/>
          <w:szCs w:val="22"/>
        </w:rPr>
        <w:t xml:space="preserve">are </w:t>
      </w:r>
      <w:r w:rsidRPr="000B3584">
        <w:rPr>
          <w:sz w:val="22"/>
          <w:szCs w:val="22"/>
        </w:rPr>
        <w:t xml:space="preserve">testing lower GWP alternatives to HFC-134a. One manufacturer is working with two major shipping lines to test 100 units with R-513A. Two manufacturers have proposed using R-290 and HFC-32, with a long-term focus on energy efficiency. However, two others have expressed concerns about safety; one markets an R-744 unit and one is considering low flammable refrigerants in reefer containers as a solution. </w:t>
      </w:r>
    </w:p>
    <w:p w14:paraId="7F270D66" w14:textId="77777777" w:rsidR="000B3584" w:rsidRPr="000B3584" w:rsidRDefault="000B3584" w:rsidP="00A140B1">
      <w:pPr>
        <w:pStyle w:val="NoSpacing"/>
        <w:rPr>
          <w:sz w:val="22"/>
          <w:szCs w:val="22"/>
        </w:rPr>
      </w:pPr>
    </w:p>
    <w:p w14:paraId="665B20E0" w14:textId="77777777" w:rsidR="00CF01A0" w:rsidRPr="000B3584" w:rsidRDefault="00CF01A0" w:rsidP="00A140B1">
      <w:pPr>
        <w:pStyle w:val="NoSpacing"/>
        <w:rPr>
          <w:sz w:val="22"/>
          <w:szCs w:val="22"/>
        </w:rPr>
      </w:pPr>
      <w:r w:rsidRPr="000B3584">
        <w:rPr>
          <w:sz w:val="22"/>
          <w:szCs w:val="22"/>
        </w:rPr>
        <w:t xml:space="preserve">Recent scientific studies do not yet come to consensus on the use of flammable refrigerants. Papers have described risk assessment studies over the product life cycle including design, commissioning, operation, maintenance and decommissioning, and the investigation of energy efficiency of the different replacement options. </w:t>
      </w:r>
    </w:p>
    <w:p w14:paraId="1839F599" w14:textId="77777777" w:rsidR="000B3584" w:rsidRPr="000B3584" w:rsidRDefault="000B3584" w:rsidP="00A140B1">
      <w:pPr>
        <w:pStyle w:val="NoSpacing"/>
        <w:rPr>
          <w:sz w:val="22"/>
          <w:szCs w:val="22"/>
        </w:rPr>
      </w:pPr>
    </w:p>
    <w:p w14:paraId="510931CD" w14:textId="77777777" w:rsidR="00CF01A0" w:rsidRPr="000B3584" w:rsidRDefault="00CF01A0" w:rsidP="00A140B1">
      <w:pPr>
        <w:pStyle w:val="NoSpacing"/>
        <w:rPr>
          <w:sz w:val="22"/>
          <w:szCs w:val="22"/>
        </w:rPr>
      </w:pPr>
      <w:r w:rsidRPr="000B3584">
        <w:rPr>
          <w:sz w:val="22"/>
          <w:szCs w:val="22"/>
        </w:rPr>
        <w:t>In the truck/trailer and marine sector, no large manufacturer has yet commercialized solutions with flammable refrigerants. However, successful field trials of a small truck unit using R-290 in South Africa have been published. A major shipping line has purchased 100 units with R-744 for evaluation. Trials of R-744 trailers, with two large supermarket chains in Europe, are continuing.</w:t>
      </w:r>
    </w:p>
    <w:p w14:paraId="028FA5A9" w14:textId="77777777" w:rsidR="000B3584" w:rsidRPr="000B3584" w:rsidRDefault="000B3584" w:rsidP="00A140B1">
      <w:pPr>
        <w:pStyle w:val="NoSpacing"/>
        <w:rPr>
          <w:sz w:val="22"/>
          <w:szCs w:val="22"/>
        </w:rPr>
      </w:pPr>
    </w:p>
    <w:p w14:paraId="47A6ADAC" w14:textId="77777777" w:rsidR="00125246" w:rsidRDefault="00CF01A0" w:rsidP="00A140B1">
      <w:pPr>
        <w:pStyle w:val="NoSpacing"/>
        <w:rPr>
          <w:sz w:val="22"/>
          <w:szCs w:val="22"/>
        </w:rPr>
      </w:pPr>
      <w:r w:rsidRPr="000B3584">
        <w:rPr>
          <w:sz w:val="22"/>
          <w:szCs w:val="22"/>
        </w:rPr>
        <w:t>A prototype truck/trailer cooling system (Dearman cryogenic/mechanical) has completed a three</w:t>
      </w:r>
      <w:r w:rsidR="00125246">
        <w:rPr>
          <w:sz w:val="22"/>
          <w:szCs w:val="22"/>
        </w:rPr>
        <w:t>-</w:t>
      </w:r>
      <w:r w:rsidRPr="000B3584">
        <w:rPr>
          <w:sz w:val="22"/>
          <w:szCs w:val="22"/>
        </w:rPr>
        <w:t>month trial, and is in pre-production</w:t>
      </w:r>
      <w:r w:rsidR="00125246">
        <w:rPr>
          <w:sz w:val="22"/>
          <w:szCs w:val="22"/>
        </w:rPr>
        <w:t>.</w:t>
      </w:r>
    </w:p>
    <w:p w14:paraId="68C86C0C" w14:textId="60618B4E" w:rsidR="00CF01A0" w:rsidRPr="000B3584" w:rsidRDefault="00CF01A0" w:rsidP="00A140B1">
      <w:pPr>
        <w:pStyle w:val="NoSpacing"/>
        <w:rPr>
          <w:sz w:val="22"/>
          <w:szCs w:val="22"/>
        </w:rPr>
      </w:pPr>
      <w:r w:rsidRPr="000B3584">
        <w:rPr>
          <w:sz w:val="22"/>
          <w:szCs w:val="22"/>
        </w:rPr>
        <w:t xml:space="preserve"> </w:t>
      </w:r>
    </w:p>
    <w:p w14:paraId="6BE5FBBF" w14:textId="77777777" w:rsidR="00CF01A0" w:rsidRPr="00FD5ABF" w:rsidRDefault="00CF01A0" w:rsidP="00A140B1">
      <w:pPr>
        <w:pStyle w:val="NoSpacing"/>
      </w:pPr>
      <w:r w:rsidRPr="000B3584">
        <w:rPr>
          <w:sz w:val="22"/>
          <w:szCs w:val="22"/>
        </w:rPr>
        <w:t>For reefers, the ISO technical committee for thermal containers is developing new standards for safe operation with flammable refrigerants. A draft of ISO 20854 on the risk based assessment for design and operation is out for national voting in 2017, and the next revision of ISO 1496-2 will include an energy efficiency test</w:t>
      </w:r>
      <w:r w:rsidRPr="00FD5ABF">
        <w:t>.</w:t>
      </w:r>
    </w:p>
    <w:p w14:paraId="70F7C419" w14:textId="77777777" w:rsidR="00CF01A0" w:rsidRPr="00972709" w:rsidRDefault="00CF01A0" w:rsidP="00A140B1">
      <w:pPr>
        <w:pStyle w:val="NoSpacing"/>
      </w:pPr>
    </w:p>
    <w:p w14:paraId="6C2ADAB5" w14:textId="7C6D5558" w:rsidR="00CF01A0" w:rsidRPr="00125712" w:rsidRDefault="00BF5037" w:rsidP="00413E4A">
      <w:pPr>
        <w:pStyle w:val="Heading2"/>
      </w:pPr>
      <w:bookmarkStart w:id="234" w:name="_Toc484164380"/>
      <w:r>
        <w:t>6.7.</w:t>
      </w:r>
      <w:r>
        <w:tab/>
      </w:r>
      <w:r w:rsidR="00CF01A0" w:rsidRPr="00125712">
        <w:t xml:space="preserve">Air-to-air </w:t>
      </w:r>
      <w:r w:rsidR="00610FED">
        <w:t>a</w:t>
      </w:r>
      <w:r w:rsidR="00CF01A0" w:rsidRPr="00125712">
        <w:t xml:space="preserve">ir </w:t>
      </w:r>
      <w:r w:rsidR="00610FED">
        <w:t>c</w:t>
      </w:r>
      <w:r w:rsidR="00CF01A0" w:rsidRPr="00125712">
        <w:t xml:space="preserve">onditioners and </w:t>
      </w:r>
      <w:r w:rsidR="00610FED">
        <w:t>h</w:t>
      </w:r>
      <w:r w:rsidR="00CF01A0" w:rsidRPr="00125712">
        <w:t xml:space="preserve">eat </w:t>
      </w:r>
      <w:r w:rsidR="00610FED">
        <w:t>p</w:t>
      </w:r>
      <w:r w:rsidR="00CF01A0" w:rsidRPr="00125712">
        <w:t>umps</w:t>
      </w:r>
      <w:bookmarkEnd w:id="234"/>
    </w:p>
    <w:p w14:paraId="431533AF" w14:textId="77777777" w:rsidR="00CF01A0" w:rsidRPr="00FD5ABF" w:rsidRDefault="00CF01A0" w:rsidP="00A140B1">
      <w:pPr>
        <w:rPr>
          <w:szCs w:val="22"/>
        </w:rPr>
      </w:pPr>
      <w:r w:rsidRPr="00FD5ABF">
        <w:rPr>
          <w:szCs w:val="22"/>
        </w:rPr>
        <w:t>There has not been a substantial change since the 2016 progress report.</w:t>
      </w:r>
      <w:r>
        <w:rPr>
          <w:szCs w:val="22"/>
        </w:rPr>
        <w:t xml:space="preserve"> In non-A5 parties, all</w:t>
      </w:r>
      <w:r w:rsidRPr="00FD5ABF">
        <w:rPr>
          <w:szCs w:val="22"/>
        </w:rPr>
        <w:t xml:space="preserve"> products use non-ODS refrigerants. There is an increasing proportion of production of air</w:t>
      </w:r>
      <w:r>
        <w:rPr>
          <w:szCs w:val="22"/>
        </w:rPr>
        <w:t xml:space="preserve"> </w:t>
      </w:r>
      <w:r w:rsidRPr="00FD5ABF">
        <w:rPr>
          <w:szCs w:val="22"/>
        </w:rPr>
        <w:t>conditioners in Article 5 countries that do not use HCFCs. Globally</w:t>
      </w:r>
      <w:r>
        <w:rPr>
          <w:szCs w:val="22"/>
        </w:rPr>
        <w:t xml:space="preserve">, </w:t>
      </w:r>
      <w:r w:rsidRPr="00FD5ABF">
        <w:rPr>
          <w:szCs w:val="22"/>
        </w:rPr>
        <w:t xml:space="preserve">approximately one half of all </w:t>
      </w:r>
      <w:r>
        <w:rPr>
          <w:szCs w:val="22"/>
        </w:rPr>
        <w:t xml:space="preserve">new AC </w:t>
      </w:r>
      <w:r w:rsidRPr="00FD5ABF">
        <w:rPr>
          <w:szCs w:val="22"/>
        </w:rPr>
        <w:t xml:space="preserve">units </w:t>
      </w:r>
      <w:r>
        <w:rPr>
          <w:szCs w:val="22"/>
        </w:rPr>
        <w:t>now use non-ODS</w:t>
      </w:r>
      <w:r w:rsidRPr="00FD5ABF">
        <w:rPr>
          <w:szCs w:val="22"/>
        </w:rPr>
        <w:t xml:space="preserve"> refrigerants. </w:t>
      </w:r>
    </w:p>
    <w:p w14:paraId="1F6CAA00" w14:textId="77777777" w:rsidR="00CF01A0" w:rsidRPr="00FD5ABF" w:rsidRDefault="00CF01A0" w:rsidP="00A140B1">
      <w:pPr>
        <w:rPr>
          <w:szCs w:val="22"/>
        </w:rPr>
      </w:pPr>
      <w:r w:rsidRPr="00FD5ABF">
        <w:rPr>
          <w:szCs w:val="22"/>
        </w:rPr>
        <w:t>Replacement of HCFC-22 production is continuing. HFC-32</w:t>
      </w:r>
      <w:r>
        <w:rPr>
          <w:szCs w:val="22"/>
        </w:rPr>
        <w:t xml:space="preserve"> is now increasingly used </w:t>
      </w:r>
      <w:r w:rsidRPr="00FD5ABF">
        <w:rPr>
          <w:szCs w:val="22"/>
        </w:rPr>
        <w:t xml:space="preserve">in residential split and light commercial air conditioners (&lt;8kw) in Japan, South East Asia, </w:t>
      </w:r>
      <w:r>
        <w:rPr>
          <w:szCs w:val="22"/>
        </w:rPr>
        <w:t xml:space="preserve">and </w:t>
      </w:r>
      <w:r w:rsidRPr="00FD5ABF">
        <w:rPr>
          <w:szCs w:val="22"/>
        </w:rPr>
        <w:t>Australia</w:t>
      </w:r>
      <w:r>
        <w:rPr>
          <w:szCs w:val="22"/>
        </w:rPr>
        <w:t>, with i</w:t>
      </w:r>
      <w:r w:rsidRPr="00FD5ABF">
        <w:rPr>
          <w:szCs w:val="22"/>
        </w:rPr>
        <w:t xml:space="preserve">ntroduction </w:t>
      </w:r>
      <w:r>
        <w:rPr>
          <w:szCs w:val="22"/>
        </w:rPr>
        <w:t xml:space="preserve">starting </w:t>
      </w:r>
      <w:r w:rsidRPr="00FD5ABF">
        <w:rPr>
          <w:szCs w:val="22"/>
        </w:rPr>
        <w:t xml:space="preserve">in Europe. </w:t>
      </w:r>
    </w:p>
    <w:p w14:paraId="26C28B48" w14:textId="77777777" w:rsidR="00CF01A0" w:rsidRPr="00FD5ABF" w:rsidRDefault="00CF01A0" w:rsidP="00A140B1">
      <w:pPr>
        <w:rPr>
          <w:szCs w:val="22"/>
        </w:rPr>
      </w:pPr>
      <w:r>
        <w:rPr>
          <w:szCs w:val="22"/>
        </w:rPr>
        <w:t>V</w:t>
      </w:r>
      <w:r w:rsidRPr="00FD5ABF">
        <w:rPr>
          <w:szCs w:val="22"/>
        </w:rPr>
        <w:t>arious HFC/unsaturated HFC blends, such as those comprising HFC-32, HFC-125, HFC-134a, HFC-1234yf and HFC-1234ze</w:t>
      </w:r>
      <w:r>
        <w:rPr>
          <w:szCs w:val="22"/>
        </w:rPr>
        <w:t xml:space="preserve"> are under R&amp;D.</w:t>
      </w:r>
      <w:r w:rsidRPr="00FD5ABF">
        <w:rPr>
          <w:szCs w:val="22"/>
        </w:rPr>
        <w:t xml:space="preserve"> </w:t>
      </w:r>
      <w:r>
        <w:rPr>
          <w:szCs w:val="22"/>
        </w:rPr>
        <w:t xml:space="preserve">In China, </w:t>
      </w:r>
      <w:r w:rsidRPr="00FD5ABF">
        <w:rPr>
          <w:szCs w:val="22"/>
        </w:rPr>
        <w:t xml:space="preserve">conversion of production lines to HC-290 is underway, </w:t>
      </w:r>
      <w:r>
        <w:rPr>
          <w:szCs w:val="22"/>
        </w:rPr>
        <w:t xml:space="preserve">but there is limited market introduction due to stringent safety standards, </w:t>
      </w:r>
      <w:r w:rsidRPr="00FD5ABF">
        <w:rPr>
          <w:szCs w:val="22"/>
        </w:rPr>
        <w:t>except for small and portable units</w:t>
      </w:r>
      <w:r>
        <w:rPr>
          <w:szCs w:val="22"/>
        </w:rPr>
        <w:t xml:space="preserve">. </w:t>
      </w:r>
      <w:r w:rsidRPr="00FD5ABF">
        <w:rPr>
          <w:szCs w:val="22"/>
        </w:rPr>
        <w:t xml:space="preserve"> In India</w:t>
      </w:r>
      <w:r>
        <w:rPr>
          <w:szCs w:val="22"/>
        </w:rPr>
        <w:t xml:space="preserve">, there is </w:t>
      </w:r>
      <w:r w:rsidRPr="00FD5ABF">
        <w:rPr>
          <w:szCs w:val="22"/>
        </w:rPr>
        <w:t xml:space="preserve">widespread </w:t>
      </w:r>
      <w:r>
        <w:rPr>
          <w:szCs w:val="22"/>
        </w:rPr>
        <w:t xml:space="preserve">commercialization of </w:t>
      </w:r>
      <w:r w:rsidRPr="00FD5ABF">
        <w:rPr>
          <w:szCs w:val="22"/>
        </w:rPr>
        <w:t xml:space="preserve">production of HC-290 split air conditioners, with production line conversions underway in several other high ambient </w:t>
      </w:r>
      <w:r>
        <w:rPr>
          <w:szCs w:val="22"/>
        </w:rPr>
        <w:t xml:space="preserve">temperature </w:t>
      </w:r>
      <w:r w:rsidRPr="00FD5ABF">
        <w:rPr>
          <w:szCs w:val="22"/>
        </w:rPr>
        <w:t xml:space="preserve">countries. Some enterprises </w:t>
      </w:r>
      <w:r w:rsidRPr="00FD5ABF">
        <w:rPr>
          <w:szCs w:val="22"/>
        </w:rPr>
        <w:lastRenderedPageBreak/>
        <w:t>within the Middle East still see R</w:t>
      </w:r>
      <w:r>
        <w:rPr>
          <w:szCs w:val="22"/>
        </w:rPr>
        <w:t>-</w:t>
      </w:r>
      <w:r w:rsidRPr="00FD5ABF">
        <w:rPr>
          <w:szCs w:val="22"/>
        </w:rPr>
        <w:t>410A, R</w:t>
      </w:r>
      <w:r>
        <w:rPr>
          <w:szCs w:val="22"/>
        </w:rPr>
        <w:t>-</w:t>
      </w:r>
      <w:r w:rsidRPr="00FD5ABF">
        <w:rPr>
          <w:szCs w:val="22"/>
        </w:rPr>
        <w:t xml:space="preserve">407C and HFC-134a as </w:t>
      </w:r>
      <w:r>
        <w:rPr>
          <w:szCs w:val="22"/>
        </w:rPr>
        <w:t>suitable</w:t>
      </w:r>
      <w:r w:rsidRPr="00FD5ABF">
        <w:rPr>
          <w:szCs w:val="22"/>
        </w:rPr>
        <w:t xml:space="preserve"> alternatives to HCFC-22. </w:t>
      </w:r>
    </w:p>
    <w:p w14:paraId="1066155D" w14:textId="7EDF5BCC" w:rsidR="00CF01A0" w:rsidRPr="00FD5ABF" w:rsidRDefault="00CF01A0" w:rsidP="00A140B1">
      <w:pPr>
        <w:rPr>
          <w:szCs w:val="22"/>
        </w:rPr>
      </w:pPr>
      <w:r w:rsidRPr="00FD5ABF">
        <w:rPr>
          <w:szCs w:val="22"/>
        </w:rPr>
        <w:t>Acknowledging that almost all medium and low</w:t>
      </w:r>
      <w:r w:rsidR="00125246">
        <w:rPr>
          <w:szCs w:val="22"/>
        </w:rPr>
        <w:t>-</w:t>
      </w:r>
      <w:r w:rsidRPr="00FD5ABF">
        <w:rPr>
          <w:szCs w:val="22"/>
        </w:rPr>
        <w:t xml:space="preserve">GWP alternatives are flammable there has been significant progress with the development of new requirements for safety standards (particularly for increasing refrigerant charge size), with one working group addressing A2L and another on A2 and A3 refrigerants. Due to the complexities of the process it is unclear by when amendments will be finally published. Numerous research activities are investigating a variety of aspects including risk assessment related to the application of flammable refrigerants in air conditioning equipment. </w:t>
      </w:r>
    </w:p>
    <w:p w14:paraId="4F0E01FD" w14:textId="13792366" w:rsidR="00CF01A0" w:rsidRPr="00125712" w:rsidRDefault="00BF5037" w:rsidP="00413E4A">
      <w:pPr>
        <w:pStyle w:val="Heading2"/>
      </w:pPr>
      <w:bookmarkStart w:id="235" w:name="_Toc484164381"/>
      <w:r>
        <w:t>6.8.</w:t>
      </w:r>
      <w:r>
        <w:tab/>
      </w:r>
      <w:r w:rsidR="00CF01A0">
        <w:t>W</w:t>
      </w:r>
      <w:r w:rsidR="00CF01A0" w:rsidRPr="00125712">
        <w:t>ater heating heat pumps</w:t>
      </w:r>
      <w:bookmarkEnd w:id="235"/>
    </w:p>
    <w:p w14:paraId="676F1DAD" w14:textId="675146FD" w:rsidR="00CF01A0" w:rsidRPr="00FD5ABF" w:rsidRDefault="00CF01A0" w:rsidP="00A140B1">
      <w:pPr>
        <w:rPr>
          <w:szCs w:val="22"/>
        </w:rPr>
      </w:pPr>
      <w:r w:rsidRPr="00FD5ABF">
        <w:rPr>
          <w:szCs w:val="22"/>
        </w:rPr>
        <w:t xml:space="preserve">In Europe, Japan and the </w:t>
      </w:r>
      <w:r w:rsidR="0070607D">
        <w:rPr>
          <w:szCs w:val="22"/>
        </w:rPr>
        <w:t>US</w:t>
      </w:r>
      <w:r w:rsidRPr="00FD5ABF">
        <w:rPr>
          <w:szCs w:val="22"/>
        </w:rPr>
        <w:t xml:space="preserve">, </w:t>
      </w:r>
      <w:r>
        <w:rPr>
          <w:szCs w:val="22"/>
        </w:rPr>
        <w:t>new</w:t>
      </w:r>
      <w:r w:rsidRPr="00FD5ABF">
        <w:rPr>
          <w:szCs w:val="22"/>
        </w:rPr>
        <w:t xml:space="preserve"> </w:t>
      </w:r>
      <w:r>
        <w:rPr>
          <w:szCs w:val="22"/>
        </w:rPr>
        <w:t xml:space="preserve">and progressively restrictive </w:t>
      </w:r>
      <w:r w:rsidRPr="00FD5ABF">
        <w:rPr>
          <w:szCs w:val="22"/>
        </w:rPr>
        <w:t>legislation on minimum energy efficiency for space heating and water heating heat pumps has limited the number of air to water heat pumps on the market.</w:t>
      </w:r>
      <w:r>
        <w:rPr>
          <w:szCs w:val="22"/>
        </w:rPr>
        <w:t xml:space="preserve"> </w:t>
      </w:r>
      <w:r w:rsidRPr="00FD5ABF">
        <w:rPr>
          <w:szCs w:val="22"/>
        </w:rPr>
        <w:t xml:space="preserve">For the moment, there is no </w:t>
      </w:r>
      <w:r>
        <w:rPr>
          <w:szCs w:val="22"/>
        </w:rPr>
        <w:t>major im</w:t>
      </w:r>
      <w:r w:rsidRPr="00FD5ABF">
        <w:rPr>
          <w:szCs w:val="22"/>
        </w:rPr>
        <w:t>pact on the refrigerants currently used</w:t>
      </w:r>
      <w:r>
        <w:rPr>
          <w:szCs w:val="22"/>
        </w:rPr>
        <w:t xml:space="preserve">, and in </w:t>
      </w:r>
      <w:r w:rsidRPr="00FD5ABF">
        <w:rPr>
          <w:szCs w:val="22"/>
        </w:rPr>
        <w:t xml:space="preserve">Europe </w:t>
      </w:r>
      <w:r>
        <w:rPr>
          <w:szCs w:val="22"/>
        </w:rPr>
        <w:t xml:space="preserve">equipment with </w:t>
      </w:r>
      <w:r w:rsidRPr="00FD5ABF">
        <w:rPr>
          <w:szCs w:val="22"/>
        </w:rPr>
        <w:t xml:space="preserve">lower GWP refrigerants </w:t>
      </w:r>
      <w:r>
        <w:rPr>
          <w:szCs w:val="22"/>
        </w:rPr>
        <w:t xml:space="preserve">is expected to be </w:t>
      </w:r>
      <w:r w:rsidRPr="00FD5ABF">
        <w:rPr>
          <w:szCs w:val="22"/>
        </w:rPr>
        <w:t xml:space="preserve">launched. </w:t>
      </w:r>
    </w:p>
    <w:p w14:paraId="2CD25CBA" w14:textId="77777777" w:rsidR="00CF01A0" w:rsidRPr="00FD5ABF" w:rsidRDefault="00CF01A0" w:rsidP="00A140B1">
      <w:pPr>
        <w:rPr>
          <w:szCs w:val="22"/>
        </w:rPr>
      </w:pPr>
      <w:r w:rsidRPr="00FD5ABF">
        <w:rPr>
          <w:szCs w:val="22"/>
        </w:rPr>
        <w:t xml:space="preserve">China </w:t>
      </w:r>
      <w:r>
        <w:rPr>
          <w:szCs w:val="22"/>
        </w:rPr>
        <w:t>is s</w:t>
      </w:r>
      <w:r w:rsidRPr="00FD5ABF">
        <w:rPr>
          <w:szCs w:val="22"/>
        </w:rPr>
        <w:t>trongly promoting heat</w:t>
      </w:r>
      <w:r>
        <w:rPr>
          <w:szCs w:val="22"/>
        </w:rPr>
        <w:t xml:space="preserve"> </w:t>
      </w:r>
      <w:r w:rsidRPr="00FD5ABF">
        <w:rPr>
          <w:szCs w:val="22"/>
        </w:rPr>
        <w:t xml:space="preserve">pumps to reduce the air pollution caused by fossil fuel heating. There is a strong demand </w:t>
      </w:r>
      <w:r>
        <w:rPr>
          <w:szCs w:val="22"/>
        </w:rPr>
        <w:t xml:space="preserve">for </w:t>
      </w:r>
      <w:r w:rsidRPr="00FD5ABF">
        <w:rPr>
          <w:szCs w:val="22"/>
        </w:rPr>
        <w:t>heat</w:t>
      </w:r>
      <w:r>
        <w:rPr>
          <w:szCs w:val="22"/>
        </w:rPr>
        <w:t xml:space="preserve"> </w:t>
      </w:r>
      <w:r w:rsidRPr="00FD5ABF">
        <w:rPr>
          <w:szCs w:val="22"/>
        </w:rPr>
        <w:t xml:space="preserve">pumps </w:t>
      </w:r>
      <w:r>
        <w:rPr>
          <w:szCs w:val="22"/>
        </w:rPr>
        <w:t xml:space="preserve">that can </w:t>
      </w:r>
      <w:r w:rsidRPr="00FD5ABF">
        <w:rPr>
          <w:szCs w:val="22"/>
        </w:rPr>
        <w:t xml:space="preserve">operate down to -20°C ambient temperature while delivering space heating water higher than 60°C at </w:t>
      </w:r>
      <w:proofErr w:type="gramStart"/>
      <w:r w:rsidRPr="00FD5ABF">
        <w:rPr>
          <w:szCs w:val="22"/>
        </w:rPr>
        <w:t>a good</w:t>
      </w:r>
      <w:proofErr w:type="gramEnd"/>
      <w:r w:rsidRPr="00FD5ABF">
        <w:rPr>
          <w:szCs w:val="22"/>
        </w:rPr>
        <w:t xml:space="preserve"> energy efficiency. </w:t>
      </w:r>
    </w:p>
    <w:p w14:paraId="1D3C0E1C" w14:textId="77777777" w:rsidR="00CF01A0" w:rsidRPr="00FD5ABF" w:rsidRDefault="00CF01A0" w:rsidP="00A140B1">
      <w:pPr>
        <w:rPr>
          <w:szCs w:val="22"/>
        </w:rPr>
      </w:pPr>
      <w:r>
        <w:rPr>
          <w:szCs w:val="22"/>
        </w:rPr>
        <w:t xml:space="preserve">In Japan, </w:t>
      </w:r>
      <w:r w:rsidRPr="00FD5ABF">
        <w:rPr>
          <w:szCs w:val="22"/>
        </w:rPr>
        <w:t xml:space="preserve">HFC-32 has been introduced </w:t>
      </w:r>
      <w:r>
        <w:rPr>
          <w:szCs w:val="22"/>
        </w:rPr>
        <w:t xml:space="preserve">in a </w:t>
      </w:r>
      <w:r w:rsidRPr="00FD5ABF">
        <w:rPr>
          <w:szCs w:val="22"/>
        </w:rPr>
        <w:t xml:space="preserve">water heating system by one manufacturer </w:t>
      </w:r>
      <w:r>
        <w:rPr>
          <w:szCs w:val="22"/>
        </w:rPr>
        <w:t xml:space="preserve">to compete with the </w:t>
      </w:r>
      <w:r w:rsidRPr="00FD5ABF">
        <w:rPr>
          <w:szCs w:val="22"/>
        </w:rPr>
        <w:t xml:space="preserve">R-744 products </w:t>
      </w:r>
      <w:r>
        <w:rPr>
          <w:szCs w:val="22"/>
        </w:rPr>
        <w:t xml:space="preserve">on </w:t>
      </w:r>
      <w:r w:rsidRPr="00FD5ABF">
        <w:rPr>
          <w:szCs w:val="22"/>
        </w:rPr>
        <w:t xml:space="preserve">the market. </w:t>
      </w:r>
      <w:r>
        <w:rPr>
          <w:szCs w:val="22"/>
        </w:rPr>
        <w:t xml:space="preserve">With HFC-32, the water </w:t>
      </w:r>
      <w:r w:rsidRPr="00FD5ABF">
        <w:rPr>
          <w:szCs w:val="22"/>
        </w:rPr>
        <w:t>temperature is limited to 65°C</w:t>
      </w:r>
      <w:r>
        <w:rPr>
          <w:szCs w:val="22"/>
        </w:rPr>
        <w:t>, but this is an attempt to provide a</w:t>
      </w:r>
      <w:r w:rsidRPr="00FD5ABF">
        <w:rPr>
          <w:szCs w:val="22"/>
        </w:rPr>
        <w:t xml:space="preserve"> cost</w:t>
      </w:r>
      <w:r>
        <w:rPr>
          <w:szCs w:val="22"/>
        </w:rPr>
        <w:t>-</w:t>
      </w:r>
      <w:r w:rsidRPr="00FD5ABF">
        <w:rPr>
          <w:szCs w:val="22"/>
        </w:rPr>
        <w:t xml:space="preserve">competitive and high-energy efficiency </w:t>
      </w:r>
      <w:r>
        <w:rPr>
          <w:szCs w:val="22"/>
        </w:rPr>
        <w:t xml:space="preserve">alternative </w:t>
      </w:r>
      <w:r w:rsidRPr="00FD5ABF">
        <w:rPr>
          <w:szCs w:val="22"/>
        </w:rPr>
        <w:t xml:space="preserve">for </w:t>
      </w:r>
      <w:r>
        <w:rPr>
          <w:szCs w:val="22"/>
        </w:rPr>
        <w:t>domestic use.</w:t>
      </w:r>
    </w:p>
    <w:p w14:paraId="3078CD52" w14:textId="489F0AA5" w:rsidR="00CF01A0" w:rsidRPr="004B33A2" w:rsidRDefault="000B3584" w:rsidP="00413E4A">
      <w:pPr>
        <w:pStyle w:val="Heading2"/>
      </w:pPr>
      <w:bookmarkStart w:id="236" w:name="_Toc484164382"/>
      <w:r>
        <w:t>6.9.</w:t>
      </w:r>
      <w:r>
        <w:tab/>
      </w:r>
      <w:r w:rsidR="00CF01A0" w:rsidRPr="004B33A2">
        <w:t>Chillers</w:t>
      </w:r>
      <w:bookmarkEnd w:id="236"/>
    </w:p>
    <w:p w14:paraId="25698F98" w14:textId="5BD2E4E9" w:rsidR="00CF01A0" w:rsidRPr="00AA11E1" w:rsidRDefault="00CF01A0" w:rsidP="00A140B1">
      <w:pPr>
        <w:textAlignment w:val="baseline"/>
      </w:pPr>
      <w:r w:rsidRPr="00AA11E1">
        <w:t>Manufacturers continue to refine their designs by offering newly designed compressors with advanced impellers and screw and scroll rotors, along with the use of variable speed drives, permanent magnet motors, and more sophisticated control systems.  There continues to be expanded offerings of centrifugal compressors that are oil free through the use of magnetic bearings or other proprietary bearings that use refrigerant as the lubricant.  This is notable as it may avoid some of the issues associated with moving to alternative refrigerants and the lubricants that are needed in conventional compressors.</w:t>
      </w:r>
    </w:p>
    <w:p w14:paraId="5DB674A9" w14:textId="5A62A904" w:rsidR="00CF01A0" w:rsidRDefault="00CF01A0" w:rsidP="00A140B1">
      <w:pPr>
        <w:textAlignment w:val="baseline"/>
        <w:rPr>
          <w:b/>
        </w:rPr>
      </w:pPr>
      <w:r w:rsidRPr="00AA11E1">
        <w:t xml:space="preserve">After years of R&amp;D and field trials, an array of options is emerging and chiller manufacturers are moving to lower GWP alternative refrigerants. </w:t>
      </w:r>
      <w:r w:rsidRPr="00AA11E1">
        <w:rPr>
          <w:spacing w:val="-1"/>
        </w:rPr>
        <w:t xml:space="preserve">Table </w:t>
      </w:r>
      <w:r w:rsidR="00125246">
        <w:rPr>
          <w:spacing w:val="-1"/>
        </w:rPr>
        <w:t>6.</w:t>
      </w:r>
      <w:r w:rsidRPr="00AA11E1">
        <w:rPr>
          <w:spacing w:val="-1"/>
        </w:rPr>
        <w:t xml:space="preserve">1 is an abbreviated table </w:t>
      </w:r>
      <w:r w:rsidRPr="00AA11E1">
        <w:t>of the dominant refrigerants that are currently used in chillers and the refrigerants that are likely to replace them.</w:t>
      </w:r>
    </w:p>
    <w:p w14:paraId="48EBEE3F" w14:textId="77777777" w:rsidR="0099336B" w:rsidRDefault="0099336B" w:rsidP="00CF01A0">
      <w:pPr>
        <w:ind w:left="648"/>
        <w:textAlignment w:val="baseline"/>
        <w:rPr>
          <w:b/>
          <w:i/>
          <w:sz w:val="24"/>
          <w:szCs w:val="24"/>
        </w:rPr>
      </w:pPr>
      <w:r>
        <w:rPr>
          <w:b/>
          <w:i/>
          <w:sz w:val="24"/>
          <w:szCs w:val="24"/>
        </w:rPr>
        <w:br w:type="page"/>
      </w:r>
    </w:p>
    <w:p w14:paraId="7A6F8F76" w14:textId="68012AEC" w:rsidR="00CF01A0" w:rsidRPr="000B3584" w:rsidRDefault="00CF01A0" w:rsidP="00CF01A0">
      <w:pPr>
        <w:ind w:left="648"/>
        <w:textAlignment w:val="baseline"/>
        <w:rPr>
          <w:b/>
          <w:i/>
          <w:sz w:val="24"/>
          <w:szCs w:val="24"/>
        </w:rPr>
      </w:pPr>
      <w:r w:rsidRPr="000B3584">
        <w:rPr>
          <w:b/>
          <w:i/>
          <w:sz w:val="24"/>
          <w:szCs w:val="24"/>
        </w:rPr>
        <w:lastRenderedPageBreak/>
        <w:t xml:space="preserve">Table </w:t>
      </w:r>
      <w:r w:rsidR="000B3584">
        <w:rPr>
          <w:b/>
          <w:i/>
          <w:sz w:val="24"/>
          <w:szCs w:val="24"/>
        </w:rPr>
        <w:t>6.</w:t>
      </w:r>
      <w:r w:rsidRPr="000B3584">
        <w:rPr>
          <w:b/>
          <w:i/>
          <w:sz w:val="24"/>
          <w:szCs w:val="24"/>
        </w:rPr>
        <w:t>4 Emerging refrigerants used in chillers</w:t>
      </w:r>
    </w:p>
    <w:tbl>
      <w:tblPr>
        <w:tblStyle w:val="MediumShading1-Accent1"/>
        <w:tblW w:w="0" w:type="auto"/>
        <w:tblLayout w:type="fixed"/>
        <w:tblLook w:val="04A0" w:firstRow="1" w:lastRow="0" w:firstColumn="1" w:lastColumn="0" w:noHBand="0" w:noVBand="1"/>
      </w:tblPr>
      <w:tblGrid>
        <w:gridCol w:w="2938"/>
        <w:gridCol w:w="2982"/>
        <w:gridCol w:w="2928"/>
      </w:tblGrid>
      <w:tr w:rsidR="00CF01A0" w:rsidRPr="000B3584" w14:paraId="060E96E3" w14:textId="77777777" w:rsidTr="00CF01A0">
        <w:trPr>
          <w:cnfStyle w:val="100000000000" w:firstRow="1" w:lastRow="0" w:firstColumn="0" w:lastColumn="0" w:oddVBand="0" w:evenVBand="0" w:oddHBand="0" w:evenHBand="0" w:firstRowFirstColumn="0" w:firstRowLastColumn="0" w:lastRowFirstColumn="0" w:lastRowLastColumn="0"/>
          <w:trHeight w:hRule="exact" w:val="372"/>
        </w:trPr>
        <w:tc>
          <w:tcPr>
            <w:cnfStyle w:val="001000000000" w:firstRow="0" w:lastRow="0" w:firstColumn="1" w:lastColumn="0" w:oddVBand="0" w:evenVBand="0" w:oddHBand="0" w:evenHBand="0" w:firstRowFirstColumn="0" w:firstRowLastColumn="0" w:lastRowFirstColumn="0" w:lastRowLastColumn="0"/>
            <w:tcW w:w="2938" w:type="dxa"/>
            <w:hideMark/>
          </w:tcPr>
          <w:p w14:paraId="24DF92F0" w14:textId="77777777" w:rsidR="00CF01A0" w:rsidRPr="000B3584" w:rsidRDefault="00CF01A0" w:rsidP="00CF01A0">
            <w:pPr>
              <w:ind w:left="120"/>
              <w:textAlignment w:val="baseline"/>
              <w:rPr>
                <w:sz w:val="24"/>
              </w:rPr>
            </w:pPr>
            <w:r w:rsidRPr="000B3584">
              <w:rPr>
                <w:sz w:val="24"/>
              </w:rPr>
              <w:t>Product</w:t>
            </w:r>
          </w:p>
        </w:tc>
        <w:tc>
          <w:tcPr>
            <w:tcW w:w="2982" w:type="dxa"/>
            <w:hideMark/>
          </w:tcPr>
          <w:p w14:paraId="3014B869" w14:textId="77777777" w:rsidR="00CF01A0" w:rsidRPr="000B3584" w:rsidRDefault="00CF01A0" w:rsidP="00CF01A0">
            <w:pPr>
              <w:jc w:val="center"/>
              <w:textAlignment w:val="baseline"/>
              <w:cnfStyle w:val="100000000000" w:firstRow="1" w:lastRow="0" w:firstColumn="0" w:lastColumn="0" w:oddVBand="0" w:evenVBand="0" w:oddHBand="0" w:evenHBand="0" w:firstRowFirstColumn="0" w:firstRowLastColumn="0" w:lastRowFirstColumn="0" w:lastRowLastColumn="0"/>
              <w:rPr>
                <w:sz w:val="24"/>
              </w:rPr>
            </w:pPr>
            <w:r w:rsidRPr="000B3584">
              <w:rPr>
                <w:sz w:val="24"/>
              </w:rPr>
              <w:t>Refrigerants Presently in Use</w:t>
            </w:r>
          </w:p>
        </w:tc>
        <w:tc>
          <w:tcPr>
            <w:tcW w:w="2928" w:type="dxa"/>
            <w:hideMark/>
          </w:tcPr>
          <w:p w14:paraId="25F368F7" w14:textId="77777777" w:rsidR="00CF01A0" w:rsidRPr="000B3584" w:rsidRDefault="00CF01A0" w:rsidP="00CF01A0">
            <w:pPr>
              <w:jc w:val="center"/>
              <w:textAlignment w:val="baseline"/>
              <w:cnfStyle w:val="100000000000" w:firstRow="1" w:lastRow="0" w:firstColumn="0" w:lastColumn="0" w:oddVBand="0" w:evenVBand="0" w:oddHBand="0" w:evenHBand="0" w:firstRowFirstColumn="0" w:firstRowLastColumn="0" w:lastRowFirstColumn="0" w:lastRowLastColumn="0"/>
              <w:rPr>
                <w:sz w:val="24"/>
              </w:rPr>
            </w:pPr>
            <w:r w:rsidRPr="000B3584">
              <w:rPr>
                <w:sz w:val="24"/>
              </w:rPr>
              <w:t>Emerging Refrigerants</w:t>
            </w:r>
          </w:p>
        </w:tc>
      </w:tr>
      <w:tr w:rsidR="00CF01A0" w:rsidRPr="000D0E12" w14:paraId="0F053472" w14:textId="77777777" w:rsidTr="00CF01A0">
        <w:trPr>
          <w:cnfStyle w:val="000000100000" w:firstRow="0" w:lastRow="0" w:firstColumn="0" w:lastColumn="0" w:oddVBand="0" w:evenVBand="0" w:oddHBand="1" w:evenHBand="0" w:firstRowFirstColumn="0" w:firstRowLastColumn="0" w:lastRowFirstColumn="0" w:lastRowLastColumn="0"/>
          <w:trHeight w:hRule="exact" w:val="985"/>
        </w:trPr>
        <w:tc>
          <w:tcPr>
            <w:cnfStyle w:val="001000000000" w:firstRow="0" w:lastRow="0" w:firstColumn="1" w:lastColumn="0" w:oddVBand="0" w:evenVBand="0" w:oddHBand="0" w:evenHBand="0" w:firstRowFirstColumn="0" w:firstRowLastColumn="0" w:lastRowFirstColumn="0" w:lastRowLastColumn="0"/>
            <w:tcW w:w="2938" w:type="dxa"/>
            <w:hideMark/>
          </w:tcPr>
          <w:p w14:paraId="78BF3D0E" w14:textId="77777777" w:rsidR="00CF01A0" w:rsidRPr="00972709" w:rsidRDefault="00CF01A0" w:rsidP="00CF01A0">
            <w:pPr>
              <w:ind w:left="108"/>
              <w:textAlignment w:val="baseline"/>
            </w:pPr>
            <w:r w:rsidRPr="00972709">
              <w:t>Large chillers with centrifugal compressors using low pressure refrigerants</w:t>
            </w:r>
          </w:p>
        </w:tc>
        <w:tc>
          <w:tcPr>
            <w:tcW w:w="2982" w:type="dxa"/>
            <w:hideMark/>
          </w:tcPr>
          <w:p w14:paraId="5B9643EF" w14:textId="77777777" w:rsidR="00CF01A0" w:rsidRPr="00972709" w:rsidRDefault="00CF01A0" w:rsidP="00CF01A0">
            <w:pPr>
              <w:jc w:val="center"/>
              <w:textAlignment w:val="baseline"/>
              <w:cnfStyle w:val="000000100000" w:firstRow="0" w:lastRow="0" w:firstColumn="0" w:lastColumn="0" w:oddVBand="0" w:evenVBand="0" w:oddHBand="1" w:evenHBand="0" w:firstRowFirstColumn="0" w:firstRowLastColumn="0" w:lastRowFirstColumn="0" w:lastRowLastColumn="0"/>
            </w:pPr>
            <w:r w:rsidRPr="00972709">
              <w:t xml:space="preserve">Chlorofluorocarbon (CFC)-112 </w:t>
            </w:r>
            <w:r w:rsidRPr="00972709">
              <w:br/>
              <w:t xml:space="preserve">HCFC-123 </w:t>
            </w:r>
            <w:r w:rsidRPr="00972709">
              <w:rPr>
                <w:vertAlign w:val="superscript"/>
              </w:rPr>
              <w:t>1</w:t>
            </w:r>
            <w:r w:rsidRPr="00972709">
              <w:t xml:space="preserve"> </w:t>
            </w:r>
            <w:r w:rsidRPr="00972709">
              <w:br/>
              <w:t>HFC- 245fa</w:t>
            </w:r>
          </w:p>
        </w:tc>
        <w:tc>
          <w:tcPr>
            <w:tcW w:w="2928" w:type="dxa"/>
            <w:hideMark/>
          </w:tcPr>
          <w:p w14:paraId="2EB91FC9" w14:textId="77777777" w:rsidR="00CF01A0" w:rsidRPr="00972709" w:rsidRDefault="00CF01A0" w:rsidP="00CF01A0">
            <w:pPr>
              <w:jc w:val="center"/>
              <w:textAlignment w:val="baseline"/>
              <w:cnfStyle w:val="000000100000" w:firstRow="0" w:lastRow="0" w:firstColumn="0" w:lastColumn="0" w:oddVBand="0" w:evenVBand="0" w:oddHBand="1" w:evenHBand="0" w:firstRowFirstColumn="0" w:firstRowLastColumn="0" w:lastRowFirstColumn="0" w:lastRowLastColumn="0"/>
            </w:pPr>
            <w:r w:rsidRPr="00972709">
              <w:t xml:space="preserve">HCFO-1233zd </w:t>
            </w:r>
            <w:r w:rsidRPr="00972709">
              <w:br/>
              <w:t>R-514A</w:t>
            </w:r>
          </w:p>
        </w:tc>
      </w:tr>
      <w:tr w:rsidR="00CF01A0" w:rsidRPr="000D0E12" w14:paraId="77FC67C6" w14:textId="77777777" w:rsidTr="00CF01A0">
        <w:trPr>
          <w:cnfStyle w:val="000000010000" w:firstRow="0" w:lastRow="0" w:firstColumn="0" w:lastColumn="0" w:oddVBand="0" w:evenVBand="0" w:oddHBand="0" w:evenHBand="1" w:firstRowFirstColumn="0" w:firstRowLastColumn="0" w:lastRowFirstColumn="0" w:lastRowLastColumn="0"/>
          <w:trHeight w:hRule="exact" w:val="1144"/>
        </w:trPr>
        <w:tc>
          <w:tcPr>
            <w:cnfStyle w:val="001000000000" w:firstRow="0" w:lastRow="0" w:firstColumn="1" w:lastColumn="0" w:oddVBand="0" w:evenVBand="0" w:oddHBand="0" w:evenHBand="0" w:firstRowFirstColumn="0" w:firstRowLastColumn="0" w:lastRowFirstColumn="0" w:lastRowLastColumn="0"/>
            <w:tcW w:w="2938" w:type="dxa"/>
            <w:hideMark/>
          </w:tcPr>
          <w:p w14:paraId="55B9A565" w14:textId="77777777" w:rsidR="00CF01A0" w:rsidRPr="00972709" w:rsidRDefault="00CF01A0" w:rsidP="00CF01A0">
            <w:pPr>
              <w:ind w:left="108"/>
              <w:textAlignment w:val="baseline"/>
            </w:pPr>
            <w:r w:rsidRPr="00972709">
              <w:t>Large chillers with centrifugal compressors using medium pressure refrigerants</w:t>
            </w:r>
          </w:p>
        </w:tc>
        <w:tc>
          <w:tcPr>
            <w:tcW w:w="2982" w:type="dxa"/>
            <w:hideMark/>
          </w:tcPr>
          <w:p w14:paraId="4E0B056F" w14:textId="77777777" w:rsidR="00CF01A0" w:rsidRPr="00972709" w:rsidRDefault="00CF01A0" w:rsidP="00CF01A0">
            <w:pPr>
              <w:jc w:val="center"/>
              <w:textAlignment w:val="baseline"/>
              <w:cnfStyle w:val="000000010000" w:firstRow="0" w:lastRow="0" w:firstColumn="0" w:lastColumn="0" w:oddVBand="0" w:evenVBand="0" w:oddHBand="0" w:evenHBand="1" w:firstRowFirstColumn="0" w:firstRowLastColumn="0" w:lastRowFirstColumn="0" w:lastRowLastColumn="0"/>
            </w:pPr>
            <w:r w:rsidRPr="00972709">
              <w:t>CFC-12</w:t>
            </w:r>
            <w:r w:rsidRPr="00972709">
              <w:rPr>
                <w:vertAlign w:val="superscript"/>
              </w:rPr>
              <w:t>2</w:t>
            </w:r>
            <w:r w:rsidRPr="00972709">
              <w:t xml:space="preserve"> </w:t>
            </w:r>
            <w:r w:rsidRPr="00972709">
              <w:br/>
              <w:t>HFC-134a</w:t>
            </w:r>
          </w:p>
        </w:tc>
        <w:tc>
          <w:tcPr>
            <w:tcW w:w="2928" w:type="dxa"/>
            <w:hideMark/>
          </w:tcPr>
          <w:p w14:paraId="17DC42D3" w14:textId="77777777" w:rsidR="00CF01A0" w:rsidRPr="00972709" w:rsidRDefault="00CF01A0" w:rsidP="00CF01A0">
            <w:pPr>
              <w:jc w:val="center"/>
              <w:textAlignment w:val="baseline"/>
              <w:cnfStyle w:val="000000010000" w:firstRow="0" w:lastRow="0" w:firstColumn="0" w:lastColumn="0" w:oddVBand="0" w:evenVBand="0" w:oddHBand="0" w:evenHBand="1" w:firstRowFirstColumn="0" w:firstRowLastColumn="0" w:lastRowFirstColumn="0" w:lastRowLastColumn="0"/>
            </w:pPr>
            <w:r w:rsidRPr="00972709">
              <w:t xml:space="preserve">R-513A </w:t>
            </w:r>
            <w:r w:rsidRPr="00972709">
              <w:br/>
              <w:t xml:space="preserve">HFO-1234yf </w:t>
            </w:r>
            <w:r w:rsidRPr="00972709">
              <w:br/>
              <w:t>HFO-1234ze</w:t>
            </w:r>
          </w:p>
        </w:tc>
      </w:tr>
      <w:tr w:rsidR="00CF01A0" w:rsidRPr="000D0E12" w14:paraId="609F1EA5" w14:textId="77777777" w:rsidTr="0015746F">
        <w:trPr>
          <w:cnfStyle w:val="000000100000" w:firstRow="0" w:lastRow="0" w:firstColumn="0" w:lastColumn="0" w:oddVBand="0" w:evenVBand="0" w:oddHBand="1" w:evenHBand="0" w:firstRowFirstColumn="0" w:firstRowLastColumn="0" w:lastRowFirstColumn="0" w:lastRowLastColumn="0"/>
          <w:trHeight w:hRule="exact" w:val="1325"/>
        </w:trPr>
        <w:tc>
          <w:tcPr>
            <w:cnfStyle w:val="001000000000" w:firstRow="0" w:lastRow="0" w:firstColumn="1" w:lastColumn="0" w:oddVBand="0" w:evenVBand="0" w:oddHBand="0" w:evenHBand="0" w:firstRowFirstColumn="0" w:firstRowLastColumn="0" w:lastRowFirstColumn="0" w:lastRowLastColumn="0"/>
            <w:tcW w:w="2938" w:type="dxa"/>
            <w:hideMark/>
          </w:tcPr>
          <w:p w14:paraId="29260FF1" w14:textId="77777777" w:rsidR="00CF01A0" w:rsidRPr="00972709" w:rsidRDefault="00CF01A0" w:rsidP="00CF01A0">
            <w:pPr>
              <w:ind w:left="108" w:right="396"/>
              <w:textAlignment w:val="baseline"/>
            </w:pPr>
            <w:r w:rsidRPr="00972709">
              <w:t>Mid-size chillers with positive displacement (screw) compressors</w:t>
            </w:r>
          </w:p>
        </w:tc>
        <w:tc>
          <w:tcPr>
            <w:tcW w:w="2982" w:type="dxa"/>
            <w:hideMark/>
          </w:tcPr>
          <w:p w14:paraId="343E5184" w14:textId="77777777" w:rsidR="00CF01A0" w:rsidRPr="00972709" w:rsidRDefault="00CF01A0" w:rsidP="00CF01A0">
            <w:pPr>
              <w:jc w:val="center"/>
              <w:textAlignment w:val="baseline"/>
              <w:cnfStyle w:val="000000100000" w:firstRow="0" w:lastRow="0" w:firstColumn="0" w:lastColumn="0" w:oddVBand="0" w:evenVBand="0" w:oddHBand="1" w:evenHBand="0" w:firstRowFirstColumn="0" w:firstRowLastColumn="0" w:lastRowFirstColumn="0" w:lastRowLastColumn="0"/>
            </w:pPr>
            <w:r w:rsidRPr="00972709">
              <w:t>CFC-12</w:t>
            </w:r>
            <w:r w:rsidRPr="00972709">
              <w:rPr>
                <w:vertAlign w:val="superscript"/>
              </w:rPr>
              <w:t>2</w:t>
            </w:r>
            <w:r w:rsidRPr="00972709">
              <w:t xml:space="preserve"> </w:t>
            </w:r>
            <w:r w:rsidRPr="00972709">
              <w:br/>
              <w:t>HFC-134a</w:t>
            </w:r>
          </w:p>
        </w:tc>
        <w:tc>
          <w:tcPr>
            <w:tcW w:w="2928" w:type="dxa"/>
            <w:hideMark/>
          </w:tcPr>
          <w:p w14:paraId="55C9FAEF" w14:textId="77777777" w:rsidR="00CF01A0" w:rsidRPr="00972709" w:rsidRDefault="00CF01A0" w:rsidP="00CF01A0">
            <w:pPr>
              <w:jc w:val="center"/>
              <w:textAlignment w:val="baseline"/>
              <w:cnfStyle w:val="000000100000" w:firstRow="0" w:lastRow="0" w:firstColumn="0" w:lastColumn="0" w:oddVBand="0" w:evenVBand="0" w:oddHBand="1" w:evenHBand="0" w:firstRowFirstColumn="0" w:firstRowLastColumn="0" w:lastRowFirstColumn="0" w:lastRowLastColumn="0"/>
            </w:pPr>
            <w:r w:rsidRPr="00972709">
              <w:t xml:space="preserve">R-513A </w:t>
            </w:r>
            <w:r w:rsidRPr="00972709">
              <w:br/>
              <w:t>HFO-1234yf</w:t>
            </w:r>
            <w:r w:rsidRPr="00972709">
              <w:rPr>
                <w:vertAlign w:val="superscript"/>
              </w:rPr>
              <w:t>3</w:t>
            </w:r>
            <w:r w:rsidRPr="00972709">
              <w:t xml:space="preserve"> </w:t>
            </w:r>
            <w:r w:rsidRPr="00972709">
              <w:br/>
              <w:t>HFO-1234ze</w:t>
            </w:r>
            <w:r w:rsidRPr="00972709">
              <w:rPr>
                <w:vertAlign w:val="superscript"/>
              </w:rPr>
              <w:t>3</w:t>
            </w:r>
          </w:p>
          <w:p w14:paraId="40AC95B1" w14:textId="77777777" w:rsidR="00CF01A0" w:rsidRPr="00972709" w:rsidRDefault="00CF01A0" w:rsidP="00CF01A0">
            <w:pPr>
              <w:jc w:val="center"/>
              <w:textAlignment w:val="baseline"/>
              <w:cnfStyle w:val="000000100000" w:firstRow="0" w:lastRow="0" w:firstColumn="0" w:lastColumn="0" w:oddVBand="0" w:evenVBand="0" w:oddHBand="1" w:evenHBand="0" w:firstRowFirstColumn="0" w:firstRowLastColumn="0" w:lastRowFirstColumn="0" w:lastRowLastColumn="0"/>
            </w:pPr>
            <w:r>
              <w:t>HC</w:t>
            </w:r>
            <w:r w:rsidRPr="00972709">
              <w:t>-290</w:t>
            </w:r>
            <w:r w:rsidRPr="00972709">
              <w:rPr>
                <w:vertAlign w:val="superscript"/>
              </w:rPr>
              <w:t>4</w:t>
            </w:r>
          </w:p>
          <w:p w14:paraId="37F76C3C" w14:textId="77777777" w:rsidR="00CF01A0" w:rsidRPr="00972709" w:rsidRDefault="00CF01A0" w:rsidP="00CF01A0">
            <w:pPr>
              <w:jc w:val="center"/>
              <w:textAlignment w:val="baseline"/>
              <w:cnfStyle w:val="000000100000" w:firstRow="0" w:lastRow="0" w:firstColumn="0" w:lastColumn="0" w:oddVBand="0" w:evenVBand="0" w:oddHBand="1" w:evenHBand="0" w:firstRowFirstColumn="0" w:firstRowLastColumn="0" w:lastRowFirstColumn="0" w:lastRowLastColumn="0"/>
              <w:rPr>
                <w:vertAlign w:val="superscript"/>
              </w:rPr>
            </w:pPr>
          </w:p>
          <w:p w14:paraId="2A0017D5" w14:textId="77777777" w:rsidR="00CF01A0" w:rsidRPr="00972709" w:rsidRDefault="00CF01A0" w:rsidP="00CF01A0">
            <w:pPr>
              <w:jc w:val="center"/>
              <w:textAlignment w:val="baseline"/>
              <w:cnfStyle w:val="000000100000" w:firstRow="0" w:lastRow="0" w:firstColumn="0" w:lastColumn="0" w:oddVBand="0" w:evenVBand="0" w:oddHBand="1" w:evenHBand="0" w:firstRowFirstColumn="0" w:firstRowLastColumn="0" w:lastRowFirstColumn="0" w:lastRowLastColumn="0"/>
            </w:pPr>
          </w:p>
        </w:tc>
      </w:tr>
      <w:tr w:rsidR="00CF01A0" w:rsidRPr="000D0E12" w14:paraId="5A026BF6" w14:textId="77777777" w:rsidTr="0015746F">
        <w:trPr>
          <w:cnfStyle w:val="000000010000" w:firstRow="0" w:lastRow="0" w:firstColumn="0" w:lastColumn="0" w:oddVBand="0" w:evenVBand="0" w:oddHBand="0" w:evenHBand="1" w:firstRowFirstColumn="0" w:firstRowLastColumn="0" w:lastRowFirstColumn="0" w:lastRowLastColumn="0"/>
          <w:trHeight w:hRule="exact" w:val="1100"/>
        </w:trPr>
        <w:tc>
          <w:tcPr>
            <w:cnfStyle w:val="001000000000" w:firstRow="0" w:lastRow="0" w:firstColumn="1" w:lastColumn="0" w:oddVBand="0" w:evenVBand="0" w:oddHBand="0" w:evenHBand="0" w:firstRowFirstColumn="0" w:firstRowLastColumn="0" w:lastRowFirstColumn="0" w:lastRowLastColumn="0"/>
            <w:tcW w:w="2938" w:type="dxa"/>
            <w:hideMark/>
          </w:tcPr>
          <w:p w14:paraId="536778BB" w14:textId="77777777" w:rsidR="00CF01A0" w:rsidRPr="00972709" w:rsidRDefault="00CF01A0" w:rsidP="00CF01A0">
            <w:pPr>
              <w:ind w:left="108"/>
              <w:textAlignment w:val="baseline"/>
            </w:pPr>
            <w:r w:rsidRPr="00972709">
              <w:t>Small chillers with positive displacement (scroll or recip</w:t>
            </w:r>
            <w:r>
              <w:t>.</w:t>
            </w:r>
            <w:r w:rsidRPr="00972709">
              <w:t>) compressors</w:t>
            </w:r>
          </w:p>
        </w:tc>
        <w:tc>
          <w:tcPr>
            <w:tcW w:w="2982" w:type="dxa"/>
            <w:hideMark/>
          </w:tcPr>
          <w:p w14:paraId="438F8124" w14:textId="77777777" w:rsidR="00CF01A0" w:rsidRPr="00972709" w:rsidRDefault="00CF01A0" w:rsidP="00CF01A0">
            <w:pPr>
              <w:jc w:val="center"/>
              <w:textAlignment w:val="baseline"/>
              <w:cnfStyle w:val="000000010000" w:firstRow="0" w:lastRow="0" w:firstColumn="0" w:lastColumn="0" w:oddVBand="0" w:evenVBand="0" w:oddHBand="0" w:evenHBand="1" w:firstRowFirstColumn="0" w:firstRowLastColumn="0" w:lastRowFirstColumn="0" w:lastRowLastColumn="0"/>
            </w:pPr>
            <w:r w:rsidRPr="00972709">
              <w:t>HCFC-22</w:t>
            </w:r>
            <w:r w:rsidRPr="00972709">
              <w:rPr>
                <w:vertAlign w:val="superscript"/>
              </w:rPr>
              <w:t>2</w:t>
            </w:r>
            <w:r w:rsidRPr="00972709">
              <w:t xml:space="preserve"> </w:t>
            </w:r>
            <w:r w:rsidRPr="00972709">
              <w:br/>
              <w:t xml:space="preserve">R-407C </w:t>
            </w:r>
            <w:r w:rsidRPr="00972709">
              <w:br/>
              <w:t>R-410A</w:t>
            </w:r>
          </w:p>
        </w:tc>
        <w:tc>
          <w:tcPr>
            <w:tcW w:w="2928" w:type="dxa"/>
            <w:hideMark/>
          </w:tcPr>
          <w:p w14:paraId="735A086F" w14:textId="77777777" w:rsidR="00CF01A0" w:rsidRPr="00972709" w:rsidRDefault="00CF01A0" w:rsidP="00CF01A0">
            <w:pPr>
              <w:jc w:val="center"/>
              <w:textAlignment w:val="baseline"/>
              <w:cnfStyle w:val="000000010000" w:firstRow="0" w:lastRow="0" w:firstColumn="0" w:lastColumn="0" w:oddVBand="0" w:evenVBand="0" w:oddHBand="0" w:evenHBand="1" w:firstRowFirstColumn="0" w:firstRowLastColumn="0" w:lastRowFirstColumn="0" w:lastRowLastColumn="0"/>
            </w:pPr>
            <w:r w:rsidRPr="00972709">
              <w:t>HFC-32</w:t>
            </w:r>
            <w:r w:rsidRPr="00972709">
              <w:rPr>
                <w:vertAlign w:val="superscript"/>
              </w:rPr>
              <w:t>3</w:t>
            </w:r>
            <w:r w:rsidRPr="00972709">
              <w:t xml:space="preserve"> </w:t>
            </w:r>
            <w:r w:rsidRPr="00972709">
              <w:br/>
              <w:t>R-452B</w:t>
            </w:r>
            <w:r w:rsidRPr="00972709">
              <w:rPr>
                <w:vertAlign w:val="superscript"/>
              </w:rPr>
              <w:t>3</w:t>
            </w:r>
          </w:p>
          <w:p w14:paraId="600279AB" w14:textId="77777777" w:rsidR="00CF01A0" w:rsidRPr="00972709" w:rsidRDefault="00CF01A0" w:rsidP="00CF01A0">
            <w:pPr>
              <w:jc w:val="center"/>
              <w:textAlignment w:val="baseline"/>
              <w:cnfStyle w:val="000000010000" w:firstRow="0" w:lastRow="0" w:firstColumn="0" w:lastColumn="0" w:oddVBand="0" w:evenVBand="0" w:oddHBand="0" w:evenHBand="1" w:firstRowFirstColumn="0" w:firstRowLastColumn="0" w:lastRowFirstColumn="0" w:lastRowLastColumn="0"/>
            </w:pPr>
            <w:r w:rsidRPr="00972709">
              <w:t>R-290</w:t>
            </w:r>
            <w:r w:rsidRPr="00972709">
              <w:rPr>
                <w:vertAlign w:val="superscript"/>
              </w:rPr>
              <w:t>4</w:t>
            </w:r>
          </w:p>
        </w:tc>
      </w:tr>
    </w:tbl>
    <w:p w14:paraId="29F4AA37" w14:textId="77777777" w:rsidR="00CF01A0" w:rsidRPr="00972709" w:rsidRDefault="00CF01A0" w:rsidP="006A713F">
      <w:pPr>
        <w:textAlignment w:val="baseline"/>
        <w:rPr>
          <w:i/>
          <w:vertAlign w:val="superscript"/>
        </w:rPr>
      </w:pPr>
      <w:r w:rsidRPr="00972709">
        <w:rPr>
          <w:i/>
          <w:vertAlign w:val="superscript"/>
        </w:rPr>
        <w:t>1</w:t>
      </w:r>
      <w:r w:rsidRPr="00972709">
        <w:rPr>
          <w:i/>
        </w:rPr>
        <w:t>Phase out in new equipment in 2020 for Article 2 Countries, 2030 for Article 5 Countries</w:t>
      </w:r>
    </w:p>
    <w:p w14:paraId="2A32BE66" w14:textId="77777777" w:rsidR="00CF01A0" w:rsidRPr="000D0E12" w:rsidRDefault="00CF01A0" w:rsidP="006A713F">
      <w:pPr>
        <w:textAlignment w:val="baseline"/>
        <w:rPr>
          <w:i/>
          <w:szCs w:val="22"/>
        </w:rPr>
      </w:pPr>
      <w:r w:rsidRPr="00972709">
        <w:rPr>
          <w:i/>
          <w:vertAlign w:val="superscript"/>
        </w:rPr>
        <w:t>2</w:t>
      </w:r>
      <w:r w:rsidRPr="00972709">
        <w:rPr>
          <w:i/>
        </w:rPr>
        <w:t xml:space="preserve">Phased out but may be used for servicing in </w:t>
      </w:r>
      <w:r>
        <w:rPr>
          <w:i/>
          <w:szCs w:val="22"/>
        </w:rPr>
        <w:t>Article5</w:t>
      </w:r>
      <w:r w:rsidRPr="004D702F">
        <w:rPr>
          <w:i/>
          <w:szCs w:val="22"/>
        </w:rPr>
        <w:t>countries</w:t>
      </w:r>
      <w:r>
        <w:rPr>
          <w:i/>
          <w:szCs w:val="22"/>
        </w:rPr>
        <w:t>;</w:t>
      </w:r>
      <w:r w:rsidRPr="00972709">
        <w:rPr>
          <w:i/>
        </w:rPr>
        <w:t xml:space="preserve"> </w:t>
      </w:r>
      <w:r w:rsidRPr="00972709">
        <w:rPr>
          <w:i/>
          <w:vertAlign w:val="superscript"/>
        </w:rPr>
        <w:t>3</w:t>
      </w:r>
      <w:r w:rsidRPr="00972709">
        <w:rPr>
          <w:i/>
        </w:rPr>
        <w:t>Classified as A2L refrigerant (flammable)</w:t>
      </w:r>
    </w:p>
    <w:p w14:paraId="77BF0E4B" w14:textId="5FAF0CCC" w:rsidR="00CF01A0" w:rsidRPr="00972709" w:rsidRDefault="00CF01A0" w:rsidP="006A713F">
      <w:pPr>
        <w:textAlignment w:val="baseline"/>
        <w:rPr>
          <w:i/>
        </w:rPr>
      </w:pPr>
      <w:r w:rsidRPr="00972709">
        <w:rPr>
          <w:i/>
          <w:vertAlign w:val="superscript"/>
        </w:rPr>
        <w:t>4</w:t>
      </w:r>
      <w:r w:rsidRPr="000D0E12">
        <w:rPr>
          <w:i/>
          <w:szCs w:val="22"/>
          <w:vertAlign w:val="superscript"/>
        </w:rPr>
        <w:t xml:space="preserve"> </w:t>
      </w:r>
      <w:r w:rsidRPr="00972709">
        <w:rPr>
          <w:i/>
        </w:rPr>
        <w:t>Classified as A3 refrigerant (highly flammable) currently available in air cooled chillers installed outdoors</w:t>
      </w:r>
    </w:p>
    <w:p w14:paraId="0C52E291" w14:textId="77777777" w:rsidR="00CF01A0" w:rsidRPr="00972709" w:rsidRDefault="00CF01A0" w:rsidP="006A713F">
      <w:pPr>
        <w:textAlignment w:val="baseline"/>
      </w:pPr>
      <w:r>
        <w:t>In future, the use of a</w:t>
      </w:r>
      <w:r w:rsidRPr="00972709">
        <w:t xml:space="preserve">mmonia and water (R-717, R-718) as refrigerants may </w:t>
      </w:r>
      <w:r>
        <w:t xml:space="preserve">become increasingly important, although there are still significant technical challenges before widespread application (see </w:t>
      </w:r>
      <w:r w:rsidRPr="00972709">
        <w:t>2014 RTOC Assessment Report</w:t>
      </w:r>
      <w:r>
        <w:t xml:space="preserve"> for more detail).</w:t>
      </w:r>
      <w:r w:rsidRPr="00972709">
        <w:t xml:space="preserve"> These refrigerants were omitted from Table 1 for simplicity. </w:t>
      </w:r>
    </w:p>
    <w:p w14:paraId="62CA9809" w14:textId="77777777" w:rsidR="00CF01A0" w:rsidRPr="00972709" w:rsidRDefault="00CF01A0" w:rsidP="006A713F">
      <w:pPr>
        <w:textAlignment w:val="baseline"/>
        <w:rPr>
          <w:spacing w:val="-1"/>
        </w:rPr>
      </w:pPr>
      <w:r w:rsidRPr="00972709">
        <w:t xml:space="preserve">Most major manufacturers have </w:t>
      </w:r>
      <w:r>
        <w:t xml:space="preserve">made early </w:t>
      </w:r>
      <w:r w:rsidRPr="00972709">
        <w:t>introduc</w:t>
      </w:r>
      <w:r>
        <w:t xml:space="preserve">tions of </w:t>
      </w:r>
      <w:r w:rsidRPr="00972709">
        <w:t>new products that use lower GWP refrigerants</w:t>
      </w:r>
      <w:r>
        <w:t xml:space="preserve">, but there has not been widespread uptake due to </w:t>
      </w:r>
      <w:r w:rsidRPr="00972709">
        <w:t>uncertainty of refrigerant supply and cost</w:t>
      </w:r>
      <w:r>
        <w:t>.</w:t>
      </w:r>
      <w:r w:rsidRPr="00972709">
        <w:t xml:space="preserve"> </w:t>
      </w:r>
    </w:p>
    <w:p w14:paraId="1137766D" w14:textId="6BA08C4D" w:rsidR="00CF01A0" w:rsidRPr="00972709" w:rsidRDefault="00CF01A0" w:rsidP="006A713F">
      <w:pPr>
        <w:textAlignment w:val="baseline"/>
      </w:pPr>
      <w:r w:rsidRPr="00972709">
        <w:t xml:space="preserve">Regulation is </w:t>
      </w:r>
      <w:r>
        <w:t xml:space="preserve">driving </w:t>
      </w:r>
      <w:r w:rsidRPr="00972709">
        <w:t xml:space="preserve">the adoption of new </w:t>
      </w:r>
      <w:r>
        <w:t>low-GWP</w:t>
      </w:r>
      <w:r w:rsidRPr="00972709">
        <w:t xml:space="preserve">. </w:t>
      </w:r>
      <w:r>
        <w:t>In</w:t>
      </w:r>
      <w:r w:rsidRPr="00972709">
        <w:t xml:space="preserve"> Europe, certain countries have imposed taxes on </w:t>
      </w:r>
      <w:r>
        <w:t xml:space="preserve">high-GWP </w:t>
      </w:r>
      <w:r w:rsidRPr="00972709">
        <w:t>HFC containing product</w:t>
      </w:r>
      <w:r>
        <w:t>s to c</w:t>
      </w:r>
      <w:r w:rsidRPr="00972709">
        <w:t>reate</w:t>
      </w:r>
      <w:r>
        <w:t xml:space="preserve"> a </w:t>
      </w:r>
      <w:r w:rsidRPr="00972709">
        <w:t xml:space="preserve">financial incentive for switching to products containing </w:t>
      </w:r>
      <w:r>
        <w:t xml:space="preserve">low GWP </w:t>
      </w:r>
      <w:r w:rsidRPr="00972709">
        <w:t>refrigerants</w:t>
      </w:r>
      <w:r w:rsidRPr="004A7892">
        <w:t xml:space="preserve">. </w:t>
      </w:r>
      <w:r w:rsidRPr="00972709">
        <w:t>In the US</w:t>
      </w:r>
      <w:r w:rsidR="00125246">
        <w:t xml:space="preserve"> EPA</w:t>
      </w:r>
      <w:r w:rsidRPr="00972709">
        <w:t xml:space="preserve"> phase out </w:t>
      </w:r>
      <w:r>
        <w:t xml:space="preserve">date </w:t>
      </w:r>
      <w:r w:rsidRPr="00972709">
        <w:t xml:space="preserve">of </w:t>
      </w:r>
      <w:r w:rsidR="00125246">
        <w:t xml:space="preserve">1 </w:t>
      </w:r>
      <w:r w:rsidRPr="00972709">
        <w:t>January 2024 for chillers using higher GWP refrigerants HFC-134a, R-410A and R-407C</w:t>
      </w:r>
      <w:r>
        <w:t xml:space="preserve">, </w:t>
      </w:r>
      <w:r w:rsidRPr="00972709">
        <w:t>will allow manufacturers to complete design</w:t>
      </w:r>
      <w:r>
        <w:t>,</w:t>
      </w:r>
      <w:r w:rsidRPr="00972709">
        <w:t xml:space="preserve"> implementation </w:t>
      </w:r>
      <w:r>
        <w:t xml:space="preserve">and commercialization. </w:t>
      </w:r>
    </w:p>
    <w:p w14:paraId="17C6EF51" w14:textId="77777777" w:rsidR="00CF01A0" w:rsidRPr="00972709" w:rsidRDefault="00CF01A0" w:rsidP="006A713F">
      <w:pPr>
        <w:textAlignment w:val="baseline"/>
      </w:pPr>
      <w:r>
        <w:rPr>
          <w:spacing w:val="-1"/>
        </w:rPr>
        <w:t>I</w:t>
      </w:r>
      <w:r w:rsidRPr="00972709">
        <w:rPr>
          <w:spacing w:val="-1"/>
        </w:rPr>
        <w:t xml:space="preserve">t is too early to tell if </w:t>
      </w:r>
      <w:r>
        <w:rPr>
          <w:spacing w:val="-1"/>
        </w:rPr>
        <w:t xml:space="preserve">many </w:t>
      </w:r>
      <w:r w:rsidRPr="00972709">
        <w:rPr>
          <w:spacing w:val="-1"/>
        </w:rPr>
        <w:t xml:space="preserve">manufacturers will offer retrofit packages </w:t>
      </w:r>
      <w:r>
        <w:rPr>
          <w:spacing w:val="-1"/>
        </w:rPr>
        <w:t xml:space="preserve">to upgrade </w:t>
      </w:r>
      <w:r w:rsidRPr="00972709">
        <w:rPr>
          <w:spacing w:val="-1"/>
        </w:rPr>
        <w:t xml:space="preserve">existing chillers with emerging lower GWP refrigerants. </w:t>
      </w:r>
      <w:r>
        <w:rPr>
          <w:spacing w:val="-1"/>
        </w:rPr>
        <w:t>O</w:t>
      </w:r>
      <w:r w:rsidRPr="00972709">
        <w:t xml:space="preserve">ne manufacturer </w:t>
      </w:r>
      <w:r>
        <w:t xml:space="preserve">has </w:t>
      </w:r>
      <w:r w:rsidRPr="00972709">
        <w:t xml:space="preserve">recently announced the ability to retrofit existing </w:t>
      </w:r>
      <w:r>
        <w:t>centrifugal chillers with a low-</w:t>
      </w:r>
      <w:r w:rsidRPr="00972709">
        <w:t>GWP refrigerant.  Competitive pressures will drive changes in the retrofit market</w:t>
      </w:r>
      <w:r>
        <w:t xml:space="preserve"> over coming years.</w:t>
      </w:r>
      <w:r w:rsidRPr="00972709">
        <w:t xml:space="preserve"> </w:t>
      </w:r>
    </w:p>
    <w:p w14:paraId="020781C5" w14:textId="78DCF6EC" w:rsidR="00CF01A0" w:rsidRPr="00907569" w:rsidRDefault="000B3584" w:rsidP="00413E4A">
      <w:pPr>
        <w:pStyle w:val="Heading2"/>
      </w:pPr>
      <w:bookmarkStart w:id="237" w:name="_Toc484164383"/>
      <w:r>
        <w:t>6.10.</w:t>
      </w:r>
      <w:r>
        <w:tab/>
      </w:r>
      <w:r w:rsidR="00125246">
        <w:t>Mobile</w:t>
      </w:r>
      <w:r w:rsidR="00CF01A0" w:rsidRPr="00907569">
        <w:t xml:space="preserve"> </w:t>
      </w:r>
      <w:r w:rsidR="00610FED">
        <w:t>a</w:t>
      </w:r>
      <w:r w:rsidR="00CF01A0" w:rsidRPr="00907569">
        <w:t xml:space="preserve">ir </w:t>
      </w:r>
      <w:r w:rsidR="00610FED">
        <w:t>c</w:t>
      </w:r>
      <w:r w:rsidR="00CF01A0" w:rsidRPr="00907569">
        <w:t>onditioning</w:t>
      </w:r>
      <w:r w:rsidR="00CF01A0">
        <w:t xml:space="preserve"> (MAC)</w:t>
      </w:r>
      <w:bookmarkEnd w:id="237"/>
    </w:p>
    <w:p w14:paraId="1DAC24CE" w14:textId="77777777" w:rsidR="00CF01A0" w:rsidRPr="00FD5ABF" w:rsidRDefault="00CF01A0" w:rsidP="006A713F">
      <w:pPr>
        <w:rPr>
          <w:szCs w:val="22"/>
          <w:lang w:eastAsia="en-GB"/>
        </w:rPr>
      </w:pPr>
      <w:r w:rsidRPr="00FD5ABF">
        <w:rPr>
          <w:szCs w:val="22"/>
          <w:lang w:eastAsia="en-GB"/>
        </w:rPr>
        <w:t xml:space="preserve">In response to the Montreal Protocol, new vehicles with air conditioning (AC) have been equipped with systems using HFC-134a with some R-407C use in buses. By the year 2000, </w:t>
      </w:r>
      <w:r w:rsidRPr="00FD5ABF">
        <w:rPr>
          <w:szCs w:val="22"/>
          <w:lang w:eastAsia="en-GB"/>
        </w:rPr>
        <w:lastRenderedPageBreak/>
        <w:t xml:space="preserve">the transition to HFC-134a was complete in all developed countries and in 2007 in developing countries. </w:t>
      </w:r>
    </w:p>
    <w:p w14:paraId="700CAC4E" w14:textId="77777777" w:rsidR="00CF01A0" w:rsidRPr="00FD5ABF" w:rsidRDefault="00CF01A0" w:rsidP="006A713F">
      <w:pPr>
        <w:rPr>
          <w:color w:val="000000" w:themeColor="text1"/>
          <w:szCs w:val="22"/>
          <w:lang w:eastAsia="en-GB"/>
        </w:rPr>
      </w:pPr>
      <w:proofErr w:type="gramStart"/>
      <w:r>
        <w:rPr>
          <w:szCs w:val="22"/>
          <w:lang w:eastAsia="en-GB"/>
        </w:rPr>
        <w:t xml:space="preserve">In </w:t>
      </w:r>
      <w:r w:rsidRPr="00FD5ABF">
        <w:rPr>
          <w:szCs w:val="22"/>
          <w:lang w:eastAsia="en-GB"/>
        </w:rPr>
        <w:t xml:space="preserve"> 2013</w:t>
      </w:r>
      <w:proofErr w:type="gramEnd"/>
      <w:r>
        <w:rPr>
          <w:szCs w:val="22"/>
          <w:lang w:eastAsia="en-GB"/>
        </w:rPr>
        <w:t xml:space="preserve">, </w:t>
      </w:r>
      <w:r w:rsidRPr="00FD5ABF">
        <w:rPr>
          <w:szCs w:val="22"/>
          <w:lang w:eastAsia="en-GB"/>
        </w:rPr>
        <w:t xml:space="preserve">as </w:t>
      </w:r>
      <w:r>
        <w:rPr>
          <w:szCs w:val="22"/>
          <w:lang w:eastAsia="en-GB"/>
        </w:rPr>
        <w:t xml:space="preserve">a </w:t>
      </w:r>
      <w:r w:rsidRPr="00FD5ABF">
        <w:rPr>
          <w:szCs w:val="22"/>
          <w:lang w:eastAsia="en-GB"/>
        </w:rPr>
        <w:t xml:space="preserve">consequence of </w:t>
      </w:r>
      <w:r>
        <w:rPr>
          <w:szCs w:val="22"/>
          <w:lang w:eastAsia="en-GB"/>
        </w:rPr>
        <w:t xml:space="preserve">the </w:t>
      </w:r>
      <w:r w:rsidRPr="00FD5ABF">
        <w:rPr>
          <w:szCs w:val="22"/>
          <w:lang w:eastAsia="en-GB"/>
        </w:rPr>
        <w:t>European MAC Directive and U.S. EPA regulations the transition to lower GWP refrigerant</w:t>
      </w:r>
      <w:r>
        <w:rPr>
          <w:szCs w:val="22"/>
          <w:lang w:eastAsia="en-GB"/>
        </w:rPr>
        <w:t>s</w:t>
      </w:r>
      <w:r w:rsidRPr="00FD5ABF">
        <w:rPr>
          <w:szCs w:val="22"/>
          <w:lang w:eastAsia="en-GB"/>
        </w:rPr>
        <w:t xml:space="preserve"> started</w:t>
      </w:r>
      <w:r>
        <w:rPr>
          <w:szCs w:val="22"/>
          <w:lang w:eastAsia="en-GB"/>
        </w:rPr>
        <w:t xml:space="preserve">. Now almost </w:t>
      </w:r>
      <w:r w:rsidRPr="00FD5ABF">
        <w:rPr>
          <w:szCs w:val="22"/>
          <w:lang w:eastAsia="en-GB"/>
        </w:rPr>
        <w:t xml:space="preserve">all </w:t>
      </w:r>
      <w:r>
        <w:rPr>
          <w:szCs w:val="22"/>
          <w:lang w:eastAsia="en-GB"/>
        </w:rPr>
        <w:t xml:space="preserve">new </w:t>
      </w:r>
      <w:r w:rsidRPr="00FD5ABF">
        <w:rPr>
          <w:szCs w:val="22"/>
          <w:lang w:eastAsia="en-GB"/>
        </w:rPr>
        <w:t xml:space="preserve">light vehicles in Europe and many in the United States and other countries are </w:t>
      </w:r>
      <w:r>
        <w:rPr>
          <w:szCs w:val="22"/>
          <w:lang w:eastAsia="en-GB"/>
        </w:rPr>
        <w:t xml:space="preserve">equipped </w:t>
      </w:r>
      <w:r w:rsidRPr="00FD5ABF">
        <w:rPr>
          <w:szCs w:val="22"/>
          <w:lang w:eastAsia="en-GB"/>
        </w:rPr>
        <w:t xml:space="preserve">with </w:t>
      </w:r>
      <w:r>
        <w:rPr>
          <w:szCs w:val="22"/>
          <w:lang w:eastAsia="en-GB"/>
        </w:rPr>
        <w:t>HFO</w:t>
      </w:r>
      <w:r w:rsidRPr="00FD5ABF">
        <w:rPr>
          <w:szCs w:val="22"/>
          <w:lang w:eastAsia="en-GB"/>
        </w:rPr>
        <w:t xml:space="preserve">-1234yf mobile air conditioners. </w:t>
      </w:r>
      <w:r>
        <w:rPr>
          <w:szCs w:val="22"/>
          <w:lang w:eastAsia="en-GB"/>
        </w:rPr>
        <w:t xml:space="preserve">A slower </w:t>
      </w:r>
      <w:r w:rsidRPr="00FD5ABF">
        <w:rPr>
          <w:szCs w:val="22"/>
          <w:lang w:eastAsia="en-GB"/>
        </w:rPr>
        <w:t xml:space="preserve">transition to </w:t>
      </w:r>
      <w:r>
        <w:rPr>
          <w:szCs w:val="22"/>
          <w:lang w:eastAsia="en-GB"/>
        </w:rPr>
        <w:t>HFO</w:t>
      </w:r>
      <w:r w:rsidRPr="00FD5ABF">
        <w:rPr>
          <w:szCs w:val="22"/>
          <w:lang w:eastAsia="en-GB"/>
        </w:rPr>
        <w:t xml:space="preserve">-1234yf for heavy </w:t>
      </w:r>
      <w:r>
        <w:rPr>
          <w:szCs w:val="22"/>
          <w:lang w:eastAsia="en-GB"/>
        </w:rPr>
        <w:t>vehicles</w:t>
      </w:r>
      <w:r w:rsidRPr="00FD5ABF">
        <w:rPr>
          <w:szCs w:val="22"/>
          <w:lang w:eastAsia="en-GB"/>
        </w:rPr>
        <w:t xml:space="preserve"> and </w:t>
      </w:r>
      <w:r>
        <w:rPr>
          <w:szCs w:val="22"/>
          <w:lang w:eastAsia="en-GB"/>
        </w:rPr>
        <w:t>delivery vans is also occurring.</w:t>
      </w:r>
    </w:p>
    <w:p w14:paraId="313B1264" w14:textId="77777777" w:rsidR="00CF01A0" w:rsidRPr="00FD5ABF" w:rsidRDefault="00CF01A0" w:rsidP="006A713F">
      <w:pPr>
        <w:rPr>
          <w:szCs w:val="22"/>
          <w:lang w:eastAsia="en-GB"/>
        </w:rPr>
      </w:pPr>
      <w:r w:rsidRPr="00FD5ABF">
        <w:rPr>
          <w:color w:val="000000" w:themeColor="text1"/>
          <w:szCs w:val="22"/>
          <w:lang w:eastAsia="en-GB"/>
        </w:rPr>
        <w:t>R-744 is also an alternative</w:t>
      </w:r>
      <w:r>
        <w:rPr>
          <w:color w:val="000000" w:themeColor="text1"/>
          <w:szCs w:val="22"/>
          <w:lang w:eastAsia="en-GB"/>
        </w:rPr>
        <w:t>, which some p</w:t>
      </w:r>
      <w:r w:rsidRPr="00FD5ABF">
        <w:rPr>
          <w:color w:val="000000" w:themeColor="text1"/>
          <w:szCs w:val="22"/>
          <w:lang w:eastAsia="en-GB"/>
        </w:rPr>
        <w:t xml:space="preserve">remium models have started using </w:t>
      </w:r>
      <w:r>
        <w:rPr>
          <w:color w:val="000000" w:themeColor="text1"/>
          <w:szCs w:val="22"/>
          <w:lang w:eastAsia="en-GB"/>
        </w:rPr>
        <w:t xml:space="preserve">in </w:t>
      </w:r>
      <w:r w:rsidRPr="00FD5ABF">
        <w:rPr>
          <w:color w:val="000000" w:themeColor="text1"/>
          <w:szCs w:val="22"/>
          <w:lang w:eastAsia="en-GB"/>
        </w:rPr>
        <w:t>2017</w:t>
      </w:r>
      <w:r>
        <w:rPr>
          <w:color w:val="000000" w:themeColor="text1"/>
          <w:szCs w:val="22"/>
          <w:lang w:eastAsia="en-GB"/>
        </w:rPr>
        <w:t xml:space="preserve">. </w:t>
      </w:r>
      <w:r w:rsidRPr="00FD5ABF">
        <w:rPr>
          <w:color w:val="000000" w:themeColor="text1"/>
          <w:szCs w:val="22"/>
          <w:lang w:eastAsia="en-GB"/>
        </w:rPr>
        <w:t xml:space="preserve"> R-744 is also under evaluation for </w:t>
      </w:r>
      <w:r>
        <w:rPr>
          <w:color w:val="000000" w:themeColor="text1"/>
          <w:szCs w:val="22"/>
          <w:lang w:eastAsia="en-GB"/>
        </w:rPr>
        <w:t>use</w:t>
      </w:r>
      <w:r w:rsidRPr="00FD5ABF">
        <w:rPr>
          <w:color w:val="000000" w:themeColor="text1"/>
          <w:szCs w:val="22"/>
          <w:lang w:eastAsia="en-GB"/>
        </w:rPr>
        <w:t xml:space="preserve"> in heat pumps on electrified vehicles</w:t>
      </w:r>
      <w:r w:rsidRPr="00FD5ABF">
        <w:rPr>
          <w:szCs w:val="22"/>
          <w:lang w:eastAsia="en-GB"/>
        </w:rPr>
        <w:t xml:space="preserve">. </w:t>
      </w:r>
    </w:p>
    <w:p w14:paraId="423D4917" w14:textId="77777777" w:rsidR="00CF01A0" w:rsidRPr="00FD5ABF" w:rsidRDefault="00CF01A0" w:rsidP="006A713F">
      <w:pPr>
        <w:rPr>
          <w:szCs w:val="22"/>
          <w:lang w:eastAsia="en-GB"/>
        </w:rPr>
      </w:pPr>
      <w:r w:rsidRPr="00FD5ABF">
        <w:rPr>
          <w:szCs w:val="22"/>
          <w:lang w:eastAsia="en-GB"/>
        </w:rPr>
        <w:t>The current systems are of direct expansion type. Indirect expansion (secondary loop) systems are starting to appear on electrified vehicles that require specific thermal management system and battery refrigeration.</w:t>
      </w:r>
    </w:p>
    <w:p w14:paraId="4429CB20" w14:textId="2E236B76" w:rsidR="00CF01A0" w:rsidRPr="00FD5ABF" w:rsidRDefault="00CF01A0" w:rsidP="006A713F">
      <w:pPr>
        <w:rPr>
          <w:szCs w:val="22"/>
          <w:lang w:eastAsia="en-GB"/>
        </w:rPr>
      </w:pPr>
      <w:r>
        <w:rPr>
          <w:szCs w:val="22"/>
          <w:lang w:eastAsia="en-GB"/>
        </w:rPr>
        <w:t>Counterfeit r</w:t>
      </w:r>
      <w:r w:rsidRPr="00FD5ABF">
        <w:rPr>
          <w:szCs w:val="22"/>
          <w:lang w:eastAsia="en-GB"/>
        </w:rPr>
        <w:t>efrigerant</w:t>
      </w:r>
      <w:r>
        <w:rPr>
          <w:szCs w:val="22"/>
          <w:lang w:eastAsia="en-GB"/>
        </w:rPr>
        <w:t>s</w:t>
      </w:r>
      <w:r w:rsidRPr="00FD5ABF">
        <w:rPr>
          <w:szCs w:val="22"/>
          <w:lang w:eastAsia="en-GB"/>
        </w:rPr>
        <w:t xml:space="preserve"> </w:t>
      </w:r>
      <w:r>
        <w:rPr>
          <w:szCs w:val="22"/>
          <w:lang w:eastAsia="en-GB"/>
        </w:rPr>
        <w:t xml:space="preserve">are becoming a major issue, even when </w:t>
      </w:r>
      <w:r w:rsidRPr="00FD5ABF">
        <w:rPr>
          <w:szCs w:val="22"/>
          <w:lang w:eastAsia="en-GB"/>
        </w:rPr>
        <w:t xml:space="preserve">HFC-134a is </w:t>
      </w:r>
      <w:r w:rsidR="00125246">
        <w:rPr>
          <w:szCs w:val="22"/>
          <w:lang w:eastAsia="en-GB"/>
        </w:rPr>
        <w:t xml:space="preserve">relatively </w:t>
      </w:r>
      <w:proofErr w:type="gramStart"/>
      <w:r w:rsidR="00125246">
        <w:rPr>
          <w:szCs w:val="22"/>
          <w:lang w:eastAsia="en-GB"/>
        </w:rPr>
        <w:t>inexpensive  (</w:t>
      </w:r>
      <w:proofErr w:type="gramEnd"/>
      <w:r w:rsidR="00125246">
        <w:rPr>
          <w:szCs w:val="22"/>
          <w:lang w:eastAsia="en-GB"/>
        </w:rPr>
        <w:t>~</w:t>
      </w:r>
      <w:r w:rsidRPr="00FD5ABF">
        <w:rPr>
          <w:szCs w:val="22"/>
          <w:lang w:eastAsia="en-GB"/>
        </w:rPr>
        <w:t xml:space="preserve"> US</w:t>
      </w:r>
      <w:r w:rsidR="00125246">
        <w:rPr>
          <w:szCs w:val="22"/>
          <w:lang w:eastAsia="en-GB"/>
        </w:rPr>
        <w:t xml:space="preserve"> </w:t>
      </w:r>
      <w:r w:rsidRPr="00FD5ABF">
        <w:rPr>
          <w:szCs w:val="22"/>
          <w:lang w:eastAsia="en-GB"/>
        </w:rPr>
        <w:t>$</w:t>
      </w:r>
      <w:r w:rsidR="00125246">
        <w:rPr>
          <w:szCs w:val="22"/>
          <w:lang w:eastAsia="en-GB"/>
        </w:rPr>
        <w:t>5/lb or</w:t>
      </w:r>
      <w:r w:rsidRPr="00FD5ABF">
        <w:rPr>
          <w:szCs w:val="22"/>
          <w:lang w:eastAsia="en-GB"/>
        </w:rPr>
        <w:t xml:space="preserve"> US</w:t>
      </w:r>
      <w:r w:rsidR="00125246">
        <w:rPr>
          <w:szCs w:val="22"/>
          <w:lang w:eastAsia="en-GB"/>
        </w:rPr>
        <w:t xml:space="preserve"> </w:t>
      </w:r>
      <w:r w:rsidRPr="00FD5ABF">
        <w:rPr>
          <w:szCs w:val="22"/>
          <w:lang w:eastAsia="en-GB"/>
        </w:rPr>
        <w:t>$</w:t>
      </w:r>
      <w:r w:rsidR="00125246">
        <w:rPr>
          <w:szCs w:val="22"/>
          <w:lang w:eastAsia="en-GB"/>
        </w:rPr>
        <w:t>11</w:t>
      </w:r>
      <w:r w:rsidRPr="00FD5ABF">
        <w:rPr>
          <w:szCs w:val="22"/>
          <w:lang w:eastAsia="en-GB"/>
        </w:rPr>
        <w:t>/kg</w:t>
      </w:r>
      <w:r w:rsidR="00125246">
        <w:rPr>
          <w:szCs w:val="22"/>
          <w:lang w:eastAsia="en-GB"/>
        </w:rPr>
        <w:t>)</w:t>
      </w:r>
      <w:r>
        <w:rPr>
          <w:szCs w:val="22"/>
          <w:lang w:eastAsia="en-GB"/>
        </w:rPr>
        <w:t xml:space="preserve">. </w:t>
      </w:r>
      <w:r w:rsidRPr="00FD5ABF">
        <w:rPr>
          <w:szCs w:val="22"/>
          <w:lang w:eastAsia="en-GB"/>
        </w:rPr>
        <w:t>Counterfeit HFC-134a contain</w:t>
      </w:r>
      <w:r>
        <w:rPr>
          <w:szCs w:val="22"/>
          <w:lang w:eastAsia="en-GB"/>
        </w:rPr>
        <w:t xml:space="preserve">s </w:t>
      </w:r>
      <w:r w:rsidRPr="00FD5ABF">
        <w:rPr>
          <w:szCs w:val="22"/>
          <w:lang w:eastAsia="en-GB"/>
        </w:rPr>
        <w:t xml:space="preserve">multiple CFC, toxic, or corrosive components </w:t>
      </w:r>
      <w:r>
        <w:rPr>
          <w:szCs w:val="22"/>
          <w:lang w:eastAsia="en-GB"/>
        </w:rPr>
        <w:t xml:space="preserve">and can </w:t>
      </w:r>
      <w:r w:rsidRPr="00FD5ABF">
        <w:rPr>
          <w:szCs w:val="22"/>
          <w:lang w:eastAsia="en-GB"/>
        </w:rPr>
        <w:t>destroy equipment and injur</w:t>
      </w:r>
      <w:r>
        <w:rPr>
          <w:szCs w:val="22"/>
          <w:lang w:eastAsia="en-GB"/>
        </w:rPr>
        <w:t xml:space="preserve">e </w:t>
      </w:r>
      <w:r w:rsidRPr="00FD5ABF">
        <w:rPr>
          <w:szCs w:val="22"/>
          <w:lang w:eastAsia="en-GB"/>
        </w:rPr>
        <w:t xml:space="preserve">end-users.  The counterfeit risk will </w:t>
      </w:r>
      <w:r>
        <w:rPr>
          <w:szCs w:val="22"/>
          <w:lang w:eastAsia="en-GB"/>
        </w:rPr>
        <w:t xml:space="preserve">likely </w:t>
      </w:r>
      <w:r w:rsidRPr="00FD5ABF">
        <w:rPr>
          <w:szCs w:val="22"/>
          <w:lang w:eastAsia="en-GB"/>
        </w:rPr>
        <w:t xml:space="preserve">become even more </w:t>
      </w:r>
      <w:r>
        <w:rPr>
          <w:szCs w:val="22"/>
          <w:lang w:eastAsia="en-GB"/>
        </w:rPr>
        <w:t xml:space="preserve">important as </w:t>
      </w:r>
      <w:r w:rsidRPr="00FD5ABF">
        <w:rPr>
          <w:szCs w:val="22"/>
          <w:lang w:eastAsia="en-GB"/>
        </w:rPr>
        <w:t>more expensive refrigerants (e.g. R-1234yf)</w:t>
      </w:r>
      <w:r>
        <w:rPr>
          <w:szCs w:val="22"/>
          <w:lang w:eastAsia="en-GB"/>
        </w:rPr>
        <w:t xml:space="preserve"> become available.</w:t>
      </w:r>
      <w:r w:rsidRPr="00FD5ABF">
        <w:rPr>
          <w:szCs w:val="22"/>
          <w:lang w:eastAsia="en-GB"/>
        </w:rPr>
        <w:t xml:space="preserve"> </w:t>
      </w:r>
    </w:p>
    <w:p w14:paraId="12626750" w14:textId="77777777" w:rsidR="00CF01A0" w:rsidRPr="00FD5ABF" w:rsidRDefault="00CF01A0" w:rsidP="006A713F">
      <w:pPr>
        <w:rPr>
          <w:szCs w:val="22"/>
          <w:lang w:eastAsia="en-GB"/>
        </w:rPr>
      </w:pPr>
      <w:r w:rsidRPr="00FD5ABF">
        <w:rPr>
          <w:szCs w:val="22"/>
          <w:lang w:eastAsia="en-GB"/>
        </w:rPr>
        <w:t xml:space="preserve">The </w:t>
      </w:r>
      <w:r>
        <w:rPr>
          <w:szCs w:val="22"/>
          <w:lang w:eastAsia="en-GB"/>
        </w:rPr>
        <w:t xml:space="preserve">high </w:t>
      </w:r>
      <w:r w:rsidRPr="00FD5ABF">
        <w:rPr>
          <w:szCs w:val="22"/>
          <w:lang w:eastAsia="en-GB"/>
        </w:rPr>
        <w:t xml:space="preserve">price of HFC-1234yf </w:t>
      </w:r>
      <w:r>
        <w:rPr>
          <w:szCs w:val="22"/>
          <w:lang w:eastAsia="en-GB"/>
        </w:rPr>
        <w:t>(~</w:t>
      </w:r>
      <w:r w:rsidRPr="00FD5ABF">
        <w:rPr>
          <w:szCs w:val="22"/>
          <w:lang w:eastAsia="en-GB"/>
        </w:rPr>
        <w:t xml:space="preserve"> US$ 40-45/kg</w:t>
      </w:r>
      <w:r>
        <w:rPr>
          <w:szCs w:val="22"/>
          <w:lang w:eastAsia="en-GB"/>
        </w:rPr>
        <w:t>)</w:t>
      </w:r>
      <w:r w:rsidRPr="00FD5ABF">
        <w:rPr>
          <w:szCs w:val="22"/>
          <w:lang w:eastAsia="en-GB"/>
        </w:rPr>
        <w:t xml:space="preserve"> </w:t>
      </w:r>
      <w:r>
        <w:rPr>
          <w:szCs w:val="22"/>
          <w:lang w:eastAsia="en-GB"/>
        </w:rPr>
        <w:t xml:space="preserve">with even higher </w:t>
      </w:r>
      <w:r w:rsidRPr="00FD5ABF">
        <w:rPr>
          <w:szCs w:val="22"/>
          <w:lang w:eastAsia="en-GB"/>
        </w:rPr>
        <w:t xml:space="preserve">retail prices is currently a barrier for its </w:t>
      </w:r>
      <w:r>
        <w:rPr>
          <w:szCs w:val="22"/>
          <w:lang w:eastAsia="en-GB"/>
        </w:rPr>
        <w:t xml:space="preserve">uptake </w:t>
      </w:r>
      <w:r w:rsidRPr="00FD5ABF">
        <w:rPr>
          <w:szCs w:val="22"/>
          <w:lang w:eastAsia="en-GB"/>
        </w:rPr>
        <w:t>in developing countries</w:t>
      </w:r>
    </w:p>
    <w:p w14:paraId="642235FC" w14:textId="77777777" w:rsidR="00CF01A0" w:rsidRPr="00FD5ABF" w:rsidRDefault="00CF01A0" w:rsidP="006A713F">
      <w:pPr>
        <w:rPr>
          <w:szCs w:val="22"/>
        </w:rPr>
      </w:pPr>
      <w:r w:rsidRPr="00FD5ABF">
        <w:rPr>
          <w:szCs w:val="22"/>
          <w:lang w:eastAsia="en-GB"/>
        </w:rPr>
        <w:t>The progressive diffusion of electrified vehicles in the main automotive markets (Europe, North America and China) will lead to the diffusion of electric air conditioning likely with heat pump function and to the use of refrigeration to en</w:t>
      </w:r>
      <w:r>
        <w:rPr>
          <w:szCs w:val="22"/>
          <w:lang w:eastAsia="en-GB"/>
        </w:rPr>
        <w:t xml:space="preserve">able </w:t>
      </w:r>
      <w:r w:rsidRPr="00FD5ABF">
        <w:rPr>
          <w:szCs w:val="22"/>
          <w:lang w:eastAsia="en-GB"/>
        </w:rPr>
        <w:t xml:space="preserve">the proper battery management. </w:t>
      </w:r>
    </w:p>
    <w:p w14:paraId="6FFF11A0" w14:textId="6FF855EE" w:rsidR="00CF01A0" w:rsidRPr="00CF01A0" w:rsidRDefault="000B3584" w:rsidP="00413E4A">
      <w:pPr>
        <w:pStyle w:val="Heading2"/>
      </w:pPr>
      <w:bookmarkStart w:id="238" w:name="_Toc484164384"/>
      <w:r>
        <w:t>6.11.</w:t>
      </w:r>
      <w:r>
        <w:tab/>
      </w:r>
      <w:r w:rsidR="00CF01A0">
        <w:t>Sustainable refrigeration</w:t>
      </w:r>
      <w:bookmarkEnd w:id="238"/>
    </w:p>
    <w:p w14:paraId="27542CE0" w14:textId="77777777" w:rsidR="00CF01A0" w:rsidRPr="00FD5ABF" w:rsidRDefault="00CF01A0" w:rsidP="006A713F">
      <w:pPr>
        <w:rPr>
          <w:szCs w:val="22"/>
        </w:rPr>
      </w:pPr>
      <w:r w:rsidRPr="00FD5ABF">
        <w:rPr>
          <w:szCs w:val="22"/>
        </w:rPr>
        <w:t>Sustainable refrigeration refers to the reduction of environmental and social impacts of refrigeration equipment, mainly in its energy sources and usage, and</w:t>
      </w:r>
      <w:r>
        <w:rPr>
          <w:szCs w:val="22"/>
        </w:rPr>
        <w:t xml:space="preserve"> the minimization of</w:t>
      </w:r>
      <w:r w:rsidRPr="00FD5ABF">
        <w:rPr>
          <w:szCs w:val="22"/>
        </w:rPr>
        <w:t xml:space="preserve"> emissions along "closed loop" life cycles.</w:t>
      </w:r>
      <w:r>
        <w:rPr>
          <w:szCs w:val="22"/>
        </w:rPr>
        <w:t xml:space="preserve"> The main aspects involved are: </w:t>
      </w:r>
    </w:p>
    <w:p w14:paraId="634A49B1" w14:textId="05B2681C" w:rsidR="00CF01A0" w:rsidRPr="00635A6A" w:rsidRDefault="00CF01A0" w:rsidP="006A713F">
      <w:pPr>
        <w:pStyle w:val="ListParagraph"/>
        <w:numPr>
          <w:ilvl w:val="0"/>
          <w:numId w:val="64"/>
        </w:numPr>
        <w:ind w:firstLineChars="0"/>
        <w:jc w:val="left"/>
        <w:rPr>
          <w:rFonts w:ascii="Times New Roman" w:hAnsi="Times New Roman"/>
          <w:sz w:val="22"/>
        </w:rPr>
      </w:pPr>
      <w:r w:rsidRPr="00635A6A">
        <w:rPr>
          <w:rFonts w:ascii="Times New Roman" w:hAnsi="Times New Roman"/>
          <w:sz w:val="22"/>
        </w:rPr>
        <w:t>Direct impact produced by refrigerant choice</w:t>
      </w:r>
    </w:p>
    <w:p w14:paraId="33F9ED9C" w14:textId="2850AD46" w:rsidR="00CF01A0" w:rsidRPr="00635A6A" w:rsidRDefault="00CF01A0" w:rsidP="006A713F">
      <w:pPr>
        <w:pStyle w:val="ListParagraph"/>
        <w:numPr>
          <w:ilvl w:val="0"/>
          <w:numId w:val="64"/>
        </w:numPr>
        <w:ind w:firstLineChars="0"/>
        <w:jc w:val="left"/>
        <w:rPr>
          <w:rFonts w:ascii="Times New Roman" w:hAnsi="Times New Roman"/>
          <w:sz w:val="22"/>
        </w:rPr>
      </w:pPr>
      <w:r w:rsidRPr="00635A6A">
        <w:rPr>
          <w:rFonts w:ascii="Times New Roman" w:hAnsi="Times New Roman"/>
          <w:sz w:val="22"/>
        </w:rPr>
        <w:t>Importance of energy efficiency and related emissions, based on annual operational and local conditions</w:t>
      </w:r>
    </w:p>
    <w:p w14:paraId="161D3924" w14:textId="3A142BA0" w:rsidR="00CF01A0" w:rsidRPr="00635A6A" w:rsidRDefault="00CF01A0" w:rsidP="006A713F">
      <w:pPr>
        <w:pStyle w:val="ListParagraph"/>
        <w:numPr>
          <w:ilvl w:val="0"/>
          <w:numId w:val="64"/>
        </w:numPr>
        <w:ind w:firstLineChars="0"/>
        <w:jc w:val="left"/>
        <w:rPr>
          <w:rFonts w:ascii="Times New Roman" w:hAnsi="Times New Roman"/>
          <w:sz w:val="22"/>
        </w:rPr>
      </w:pPr>
      <w:r w:rsidRPr="00635A6A">
        <w:rPr>
          <w:rFonts w:ascii="Times New Roman" w:hAnsi="Times New Roman"/>
          <w:sz w:val="22"/>
        </w:rPr>
        <w:t>Renewable resources as a basis for sustainable refrigeration systems</w:t>
      </w:r>
    </w:p>
    <w:p w14:paraId="7A25C7C8" w14:textId="32DA60C2" w:rsidR="00CF01A0" w:rsidRPr="00635A6A" w:rsidRDefault="00CF01A0" w:rsidP="006A713F">
      <w:pPr>
        <w:pStyle w:val="ListParagraph"/>
        <w:numPr>
          <w:ilvl w:val="0"/>
          <w:numId w:val="64"/>
        </w:numPr>
        <w:ind w:firstLineChars="0"/>
        <w:jc w:val="left"/>
        <w:rPr>
          <w:rFonts w:ascii="Times New Roman" w:hAnsi="Times New Roman"/>
          <w:sz w:val="22"/>
        </w:rPr>
      </w:pPr>
      <w:r w:rsidRPr="00635A6A">
        <w:rPr>
          <w:rFonts w:ascii="Times New Roman" w:hAnsi="Times New Roman"/>
          <w:sz w:val="22"/>
        </w:rPr>
        <w:t xml:space="preserve">Refrigeration and food losses, </w:t>
      </w:r>
    </w:p>
    <w:p w14:paraId="166E3C38" w14:textId="7EBEBED3" w:rsidR="00CF01A0" w:rsidRPr="00635A6A" w:rsidRDefault="00CF01A0" w:rsidP="006A713F">
      <w:pPr>
        <w:pStyle w:val="ListParagraph"/>
        <w:numPr>
          <w:ilvl w:val="0"/>
          <w:numId w:val="64"/>
        </w:numPr>
        <w:ind w:firstLineChars="0"/>
        <w:jc w:val="left"/>
        <w:rPr>
          <w:rFonts w:ascii="Times New Roman" w:hAnsi="Times New Roman"/>
          <w:sz w:val="22"/>
        </w:rPr>
      </w:pPr>
      <w:r w:rsidRPr="00635A6A">
        <w:rPr>
          <w:rFonts w:ascii="Times New Roman" w:hAnsi="Times New Roman"/>
          <w:sz w:val="22"/>
        </w:rPr>
        <w:t>Involvement of cold chains in sustainability-related initiatives</w:t>
      </w:r>
    </w:p>
    <w:p w14:paraId="76ABA860" w14:textId="77777777" w:rsidR="00635A6A" w:rsidRDefault="00635A6A" w:rsidP="006A713F">
      <w:pPr>
        <w:rPr>
          <w:szCs w:val="22"/>
        </w:rPr>
      </w:pPr>
    </w:p>
    <w:p w14:paraId="5799EFA1" w14:textId="77777777" w:rsidR="00CF01A0" w:rsidRDefault="00CF01A0" w:rsidP="006A713F">
      <w:pPr>
        <w:rPr>
          <w:szCs w:val="22"/>
        </w:rPr>
      </w:pPr>
      <w:r w:rsidRPr="00FD5ABF">
        <w:rPr>
          <w:szCs w:val="22"/>
        </w:rPr>
        <w:t xml:space="preserve">Climate-related environmental impacts </w:t>
      </w:r>
      <w:r>
        <w:rPr>
          <w:szCs w:val="22"/>
        </w:rPr>
        <w:t xml:space="preserve">have been highlighted after </w:t>
      </w:r>
      <w:r w:rsidRPr="00FD5ABF">
        <w:rPr>
          <w:szCs w:val="22"/>
        </w:rPr>
        <w:t xml:space="preserve">the UNFCCC Paris </w:t>
      </w:r>
      <w:proofErr w:type="gramStart"/>
      <w:r>
        <w:rPr>
          <w:szCs w:val="22"/>
        </w:rPr>
        <w:t>Agreement,</w:t>
      </w:r>
      <w:proofErr w:type="gramEnd"/>
      <w:r>
        <w:rPr>
          <w:szCs w:val="22"/>
        </w:rPr>
        <w:t xml:space="preserve"> and the Montreal protocol </w:t>
      </w:r>
      <w:r w:rsidRPr="00FD5ABF">
        <w:rPr>
          <w:szCs w:val="22"/>
        </w:rPr>
        <w:t>Kigali amendment</w:t>
      </w:r>
      <w:r>
        <w:rPr>
          <w:szCs w:val="22"/>
        </w:rPr>
        <w:t xml:space="preserve">, leading to </w:t>
      </w:r>
      <w:r w:rsidRPr="00FD5ABF">
        <w:rPr>
          <w:szCs w:val="22"/>
        </w:rPr>
        <w:t>more detailed discussion on LCCP (Lif</w:t>
      </w:r>
      <w:r>
        <w:rPr>
          <w:szCs w:val="22"/>
        </w:rPr>
        <w:t>e Cycle Climate Performance)</w:t>
      </w:r>
      <w:r w:rsidRPr="00FD5ABF">
        <w:rPr>
          <w:szCs w:val="22"/>
        </w:rPr>
        <w:t xml:space="preserve">. Life cycle emission analysis for both refrigerant and the related equipment in which they operate is needed to select the optimal refrigerant for a </w:t>
      </w:r>
      <w:r>
        <w:rPr>
          <w:szCs w:val="22"/>
        </w:rPr>
        <w:t xml:space="preserve">specific </w:t>
      </w:r>
      <w:r w:rsidRPr="00FD5ABF">
        <w:rPr>
          <w:szCs w:val="22"/>
        </w:rPr>
        <w:t xml:space="preserve">application, since </w:t>
      </w:r>
      <w:r>
        <w:rPr>
          <w:szCs w:val="22"/>
        </w:rPr>
        <w:t xml:space="preserve">a wrong </w:t>
      </w:r>
      <w:r w:rsidRPr="00FD5ABF">
        <w:rPr>
          <w:szCs w:val="22"/>
        </w:rPr>
        <w:t>conclusion</w:t>
      </w:r>
      <w:r>
        <w:rPr>
          <w:szCs w:val="22"/>
        </w:rPr>
        <w:t xml:space="preserve"> can arise from </w:t>
      </w:r>
      <w:r w:rsidRPr="00FD5ABF">
        <w:rPr>
          <w:szCs w:val="22"/>
        </w:rPr>
        <w:t xml:space="preserve">the </w:t>
      </w:r>
      <w:r>
        <w:rPr>
          <w:szCs w:val="22"/>
        </w:rPr>
        <w:t xml:space="preserve">assessing the </w:t>
      </w:r>
      <w:r w:rsidRPr="00FD5ABF">
        <w:rPr>
          <w:szCs w:val="22"/>
        </w:rPr>
        <w:t xml:space="preserve">impact </w:t>
      </w:r>
      <w:r>
        <w:rPr>
          <w:szCs w:val="22"/>
        </w:rPr>
        <w:t xml:space="preserve">of the </w:t>
      </w:r>
      <w:r w:rsidRPr="00FD5ABF">
        <w:rPr>
          <w:szCs w:val="22"/>
        </w:rPr>
        <w:t>refrigerant</w:t>
      </w:r>
      <w:r>
        <w:rPr>
          <w:szCs w:val="22"/>
        </w:rPr>
        <w:t xml:space="preserve"> alone</w:t>
      </w:r>
      <w:r w:rsidRPr="00FD5ABF">
        <w:rPr>
          <w:szCs w:val="22"/>
        </w:rPr>
        <w:t xml:space="preserve">. </w:t>
      </w:r>
    </w:p>
    <w:p w14:paraId="365DB9E0" w14:textId="630E5D9D" w:rsidR="00CF01A0" w:rsidRPr="00FD5ABF" w:rsidRDefault="000B3584" w:rsidP="00413E4A">
      <w:pPr>
        <w:pStyle w:val="Heading2"/>
      </w:pPr>
      <w:bookmarkStart w:id="239" w:name="_Toc484164385"/>
      <w:r>
        <w:lastRenderedPageBreak/>
        <w:t>6.12.</w:t>
      </w:r>
      <w:r>
        <w:tab/>
      </w:r>
      <w:r w:rsidR="00CF01A0">
        <w:t>Not-</w:t>
      </w:r>
      <w:r w:rsidR="00610FED">
        <w:t>i</w:t>
      </w:r>
      <w:r w:rsidR="00CF01A0">
        <w:t>n-</w:t>
      </w:r>
      <w:r w:rsidR="00610FED">
        <w:t>k</w:t>
      </w:r>
      <w:r w:rsidR="00CF01A0">
        <w:t xml:space="preserve">ind </w:t>
      </w:r>
      <w:r w:rsidR="00610FED">
        <w:t>t</w:t>
      </w:r>
      <w:r w:rsidR="00CF01A0">
        <w:t>echnologies</w:t>
      </w:r>
      <w:bookmarkEnd w:id="239"/>
    </w:p>
    <w:p w14:paraId="44B08697" w14:textId="77777777" w:rsidR="00CF01A0" w:rsidRPr="00FD5ABF" w:rsidRDefault="00CF01A0" w:rsidP="006A713F">
      <w:pPr>
        <w:rPr>
          <w:szCs w:val="22"/>
        </w:rPr>
      </w:pPr>
      <w:r w:rsidRPr="00FD5ABF">
        <w:rPr>
          <w:szCs w:val="22"/>
        </w:rPr>
        <w:t>Interest continues to grow in NIK technologies as more and more applications utilize NIK technology for projects that have traditionally used only vapour compression technology.</w:t>
      </w:r>
      <w:r>
        <w:rPr>
          <w:szCs w:val="22"/>
        </w:rPr>
        <w:t xml:space="preserve"> Four examples are given below:</w:t>
      </w:r>
    </w:p>
    <w:p w14:paraId="43281BE2" w14:textId="1BC82203" w:rsidR="00CF01A0" w:rsidRDefault="00CF01A0" w:rsidP="006A713F">
      <w:pPr>
        <w:pStyle w:val="ListParagraph"/>
        <w:numPr>
          <w:ilvl w:val="0"/>
          <w:numId w:val="65"/>
        </w:numPr>
        <w:ind w:firstLineChars="0"/>
        <w:contextualSpacing/>
        <w:jc w:val="left"/>
        <w:rPr>
          <w:rFonts w:ascii="Times New Roman" w:hAnsi="Times New Roman"/>
          <w:sz w:val="22"/>
        </w:rPr>
      </w:pPr>
      <w:r w:rsidRPr="00635A6A">
        <w:rPr>
          <w:rFonts w:ascii="Times New Roman" w:hAnsi="Times New Roman"/>
          <w:i/>
          <w:iCs/>
          <w:sz w:val="22"/>
        </w:rPr>
        <w:t xml:space="preserve">Magnetocaloric technology </w:t>
      </w:r>
      <w:r w:rsidRPr="00635A6A">
        <w:rPr>
          <w:rFonts w:ascii="Times New Roman" w:hAnsi="Times New Roman"/>
          <w:sz w:val="22"/>
        </w:rPr>
        <w:t xml:space="preserve">units are in beta testing at three sites in various configurations. They are already in use in refrigerated display cabinets. Medical refrigerators, beverage dispensers, store plugins, and wine cellars are some of the applications currently under testing. </w:t>
      </w:r>
      <w:r w:rsidR="00635A6A">
        <w:rPr>
          <w:rFonts w:ascii="Times New Roman" w:hAnsi="Times New Roman"/>
          <w:sz w:val="22"/>
        </w:rPr>
        <w:t>Larger (</w:t>
      </w:r>
      <w:r w:rsidRPr="00635A6A">
        <w:rPr>
          <w:rFonts w:ascii="Times New Roman" w:hAnsi="Times New Roman"/>
          <w:sz w:val="22"/>
        </w:rPr>
        <w:t>20 kW and above) versions are under development for industrial applications.</w:t>
      </w:r>
    </w:p>
    <w:p w14:paraId="67CD9A44" w14:textId="77777777" w:rsidR="00635A6A" w:rsidRPr="00635A6A" w:rsidRDefault="00635A6A" w:rsidP="006A713F">
      <w:pPr>
        <w:pStyle w:val="ListParagraph"/>
        <w:ind w:left="360" w:firstLineChars="0" w:firstLine="0"/>
        <w:contextualSpacing/>
        <w:jc w:val="left"/>
        <w:rPr>
          <w:rFonts w:ascii="Times New Roman" w:hAnsi="Times New Roman"/>
          <w:sz w:val="22"/>
        </w:rPr>
      </w:pPr>
    </w:p>
    <w:p w14:paraId="19987C6D" w14:textId="721AE7E0" w:rsidR="00635A6A" w:rsidRPr="00635A6A" w:rsidRDefault="00CF01A0" w:rsidP="006A713F">
      <w:pPr>
        <w:pStyle w:val="ListParagraph"/>
        <w:numPr>
          <w:ilvl w:val="0"/>
          <w:numId w:val="65"/>
        </w:numPr>
        <w:ind w:firstLineChars="0"/>
        <w:contextualSpacing/>
        <w:jc w:val="left"/>
        <w:rPr>
          <w:rFonts w:ascii="Times New Roman" w:hAnsi="Times New Roman"/>
          <w:sz w:val="22"/>
        </w:rPr>
      </w:pPr>
      <w:r w:rsidRPr="00635A6A">
        <w:rPr>
          <w:rFonts w:ascii="Times New Roman" w:hAnsi="Times New Roman"/>
          <w:i/>
          <w:iCs/>
          <w:sz w:val="22"/>
        </w:rPr>
        <w:t>Indirect evaporative cooling</w:t>
      </w:r>
      <w:r w:rsidRPr="00635A6A">
        <w:rPr>
          <w:rFonts w:ascii="Times New Roman" w:hAnsi="Times New Roman"/>
          <w:sz w:val="22"/>
        </w:rPr>
        <w:t xml:space="preserve"> achieved forward strides during 2016 with improved COP reported to be 25 to 27, and modular capacities of 13, 26, 39, 52, 78, 104 and 156 kW (3.7, 7.4, 11, 17.8, 22.2, 29.6 and 44.35 TR respectively). They are commercially available. Water consumption has been reduced to significantly lower levels (~1.2 l/hr per kW cooling at maximum operating conditions). </w:t>
      </w:r>
    </w:p>
    <w:p w14:paraId="642D2F54" w14:textId="77777777" w:rsidR="00CF01A0" w:rsidRDefault="00CF01A0" w:rsidP="006A713F">
      <w:pPr>
        <w:pStyle w:val="ListParagraph"/>
        <w:numPr>
          <w:ilvl w:val="0"/>
          <w:numId w:val="65"/>
        </w:numPr>
        <w:ind w:firstLineChars="0"/>
        <w:contextualSpacing/>
        <w:jc w:val="left"/>
        <w:rPr>
          <w:rFonts w:ascii="Times New Roman" w:hAnsi="Times New Roman"/>
          <w:sz w:val="22"/>
        </w:rPr>
      </w:pPr>
      <w:r w:rsidRPr="00635A6A">
        <w:rPr>
          <w:rFonts w:ascii="Times New Roman" w:hAnsi="Times New Roman"/>
          <w:i/>
          <w:iCs/>
          <w:sz w:val="22"/>
        </w:rPr>
        <w:t xml:space="preserve">Absorption refrigeration </w:t>
      </w:r>
      <w:r w:rsidRPr="00635A6A">
        <w:rPr>
          <w:rFonts w:ascii="Times New Roman" w:hAnsi="Times New Roman"/>
          <w:sz w:val="22"/>
        </w:rPr>
        <w:t>units, with recovered thermal heat or with solar heat, of the indirect type operated by LiBr/H</w:t>
      </w:r>
      <w:r w:rsidRPr="00635A6A">
        <w:rPr>
          <w:rFonts w:ascii="Noteworthy Light" w:hAnsi="Noteworthy Light" w:cs="Noteworthy Light"/>
          <w:sz w:val="22"/>
        </w:rPr>
        <w:t>₂</w:t>
      </w:r>
      <w:r w:rsidRPr="00635A6A">
        <w:rPr>
          <w:rFonts w:ascii="Times New Roman" w:hAnsi="Times New Roman"/>
          <w:sz w:val="22"/>
        </w:rPr>
        <w:t xml:space="preserve">O solution, is generating interest, especially for larger systems in article 5 countries where electric energy is in short supply. The pending commercialization of third generation absorption units outside their manufacturing base countries is also a new development. Their higher heat ratio efficiency of 1.6 to 1.8 </w:t>
      </w:r>
      <w:proofErr w:type="gramStart"/>
      <w:r w:rsidRPr="00635A6A">
        <w:rPr>
          <w:rFonts w:ascii="Times New Roman" w:hAnsi="Times New Roman"/>
          <w:sz w:val="22"/>
        </w:rPr>
        <w:t>make</w:t>
      </w:r>
      <w:proofErr w:type="gramEnd"/>
      <w:r w:rsidRPr="00635A6A">
        <w:rPr>
          <w:rFonts w:ascii="Times New Roman" w:hAnsi="Times New Roman"/>
          <w:sz w:val="22"/>
        </w:rPr>
        <w:t xml:space="preserve"> them economically feasible when compared to other cooling systems.</w:t>
      </w:r>
    </w:p>
    <w:p w14:paraId="0D3E62CE" w14:textId="77777777" w:rsidR="00635A6A" w:rsidRPr="00635A6A" w:rsidRDefault="00635A6A" w:rsidP="006A713F">
      <w:pPr>
        <w:pStyle w:val="ListParagraph"/>
        <w:ind w:left="360" w:firstLineChars="0" w:firstLine="0"/>
        <w:contextualSpacing/>
        <w:jc w:val="left"/>
        <w:rPr>
          <w:rFonts w:ascii="Times New Roman" w:hAnsi="Times New Roman"/>
          <w:sz w:val="22"/>
        </w:rPr>
      </w:pPr>
    </w:p>
    <w:p w14:paraId="4E5309A9" w14:textId="0FD88D82" w:rsidR="00CF01A0" w:rsidRPr="00FD5ABF" w:rsidRDefault="00CF01A0" w:rsidP="0015746F">
      <w:pPr>
        <w:pStyle w:val="ListParagraph"/>
        <w:numPr>
          <w:ilvl w:val="0"/>
          <w:numId w:val="65"/>
        </w:numPr>
        <w:ind w:left="450" w:firstLineChars="0"/>
        <w:contextualSpacing/>
        <w:jc w:val="left"/>
      </w:pPr>
      <w:r w:rsidRPr="008D06EA">
        <w:rPr>
          <w:rFonts w:asciiTheme="majorBidi" w:hAnsiTheme="majorBidi" w:cstheme="majorBidi"/>
          <w:i/>
          <w:iCs/>
          <w:sz w:val="22"/>
        </w:rPr>
        <w:t>Adsorption refrigeration</w:t>
      </w:r>
      <w:r w:rsidRPr="00635A6A">
        <w:rPr>
          <w:rFonts w:ascii="Times New Roman" w:hAnsi="Times New Roman"/>
          <w:sz w:val="22"/>
        </w:rPr>
        <w:t xml:space="preserve"> has been available commercially since 2014. Recently, the heat ratio efficiency of these units has improved. </w:t>
      </w:r>
    </w:p>
    <w:p w14:paraId="62A67C92" w14:textId="55CD9B93" w:rsidR="00CF01A0" w:rsidRPr="00972709" w:rsidRDefault="000B3584" w:rsidP="00413E4A">
      <w:pPr>
        <w:pStyle w:val="Heading2"/>
      </w:pPr>
      <w:bookmarkStart w:id="240" w:name="_Toc484164386"/>
      <w:r>
        <w:t>6.13.</w:t>
      </w:r>
      <w:r>
        <w:tab/>
      </w:r>
      <w:r w:rsidR="00CF01A0" w:rsidRPr="00972709">
        <w:t xml:space="preserve">High </w:t>
      </w:r>
      <w:r w:rsidR="00610FED">
        <w:t>a</w:t>
      </w:r>
      <w:r w:rsidR="00CF01A0" w:rsidRPr="00972709">
        <w:t xml:space="preserve">mbient </w:t>
      </w:r>
      <w:r w:rsidR="00610FED">
        <w:t>t</w:t>
      </w:r>
      <w:r w:rsidR="00CF01A0" w:rsidRPr="00972709">
        <w:t>emperature (HAT)</w:t>
      </w:r>
      <w:bookmarkEnd w:id="240"/>
      <w:r w:rsidR="00CF01A0">
        <w:t xml:space="preserve"> </w:t>
      </w:r>
    </w:p>
    <w:p w14:paraId="05939EE6" w14:textId="77777777" w:rsidR="00CF01A0" w:rsidRPr="00C62AFD" w:rsidRDefault="00CF01A0" w:rsidP="006A713F">
      <w:r w:rsidRPr="00C62AFD">
        <w:rPr>
          <w:szCs w:val="22"/>
        </w:rPr>
        <w:t>There is continued work on the research projects for testing alternative refrigerants at HAT conditions</w:t>
      </w:r>
      <w:r w:rsidRPr="008F2342">
        <w:rPr>
          <w:szCs w:val="22"/>
        </w:rPr>
        <w:t xml:space="preserve">. EGYPRA is testing eight refrigerant alternatives in custom-built prototypes built by Egyptian manufacturers, will conclude in the second quarter of 2017. </w:t>
      </w:r>
      <w:r w:rsidRPr="00C62AFD">
        <w:rPr>
          <w:szCs w:val="22"/>
        </w:rPr>
        <w:t>O</w:t>
      </w:r>
      <w:r>
        <w:rPr>
          <w:szCs w:val="22"/>
        </w:rPr>
        <w:t>RNL phase-II tested</w:t>
      </w:r>
      <w:r w:rsidRPr="008F2342">
        <w:rPr>
          <w:szCs w:val="22"/>
        </w:rPr>
        <w:t xml:space="preserve"> alternatives in rooftop units built by manufacturers from HAT countries</w:t>
      </w:r>
      <w:r>
        <w:rPr>
          <w:szCs w:val="22"/>
        </w:rPr>
        <w:t xml:space="preserve">. </w:t>
      </w:r>
      <w:r w:rsidRPr="00C62AFD">
        <w:rPr>
          <w:szCs w:val="22"/>
        </w:rPr>
        <w:t>P</w:t>
      </w:r>
      <w:r w:rsidRPr="008F2342">
        <w:rPr>
          <w:szCs w:val="22"/>
        </w:rPr>
        <w:t>RAHA phase-II is optimizing the design of the prototypes that were built for phase-I a</w:t>
      </w:r>
      <w:r>
        <w:rPr>
          <w:szCs w:val="22"/>
        </w:rPr>
        <w:t>nd testing further alternatives</w:t>
      </w:r>
      <w:r w:rsidRPr="00C62AFD">
        <w:rPr>
          <w:szCs w:val="22"/>
        </w:rPr>
        <w:t>. A workshop on HC-290 took place in April 2017. A workshop on risk assessment at HAT conditions is planned for October 2017</w:t>
      </w:r>
      <w:r>
        <w:rPr>
          <w:szCs w:val="22"/>
        </w:rPr>
        <w:t>.</w:t>
      </w:r>
    </w:p>
    <w:p w14:paraId="0B4392C2" w14:textId="60AE118A" w:rsidR="00CF01A0" w:rsidRPr="00C62AFD" w:rsidRDefault="00CF01A0" w:rsidP="006A713F">
      <w:pPr>
        <w:rPr>
          <w:szCs w:val="22"/>
        </w:rPr>
      </w:pPr>
      <w:r w:rsidRPr="00C62AFD">
        <w:rPr>
          <w:szCs w:val="22"/>
        </w:rPr>
        <w:t>In January 2017, the four HAT research project results, (which also includes AREP-II), were presented at a joint-session at the ASHRAE winter meeting in Las Vegas, Nevada</w:t>
      </w:r>
      <w:r w:rsidR="00353210">
        <w:rPr>
          <w:szCs w:val="22"/>
        </w:rPr>
        <w:t xml:space="preserve">, </w:t>
      </w:r>
      <w:r w:rsidR="0070607D">
        <w:rPr>
          <w:szCs w:val="22"/>
        </w:rPr>
        <w:t>US</w:t>
      </w:r>
      <w:r w:rsidRPr="00C62AFD">
        <w:rPr>
          <w:szCs w:val="22"/>
        </w:rPr>
        <w:t>.  A comparison of the results showed a lot of similarity between the in the outcomes from the research programme, but emphasised the need for design optimization of the equipment used for a better comparison.</w:t>
      </w:r>
    </w:p>
    <w:p w14:paraId="553FD7A4" w14:textId="1C85E060" w:rsidR="00CF01A0" w:rsidRPr="00CF01A0" w:rsidRDefault="00CF01A0" w:rsidP="006A713F">
      <w:pPr>
        <w:rPr>
          <w:szCs w:val="22"/>
        </w:rPr>
      </w:pPr>
      <w:r w:rsidRPr="008738BB">
        <w:rPr>
          <w:szCs w:val="22"/>
        </w:rPr>
        <w:t xml:space="preserve">The emphasis in the coming months will be to provide information related to HAT conditions to the Kigali Decisions XXVIII-3 on energy efficiency and XVIII-4 on safety through members of the High Ambient Working Group (HAWG) who are also members of the XXVIII-3 and XVIII-4 working groups. </w:t>
      </w:r>
    </w:p>
    <w:p w14:paraId="0D40856C" w14:textId="38899298" w:rsidR="00CF01A0" w:rsidRPr="00972709" w:rsidRDefault="000B3584" w:rsidP="00413E4A">
      <w:pPr>
        <w:pStyle w:val="Heading2"/>
      </w:pPr>
      <w:bookmarkStart w:id="241" w:name="_Toc484164387"/>
      <w:r>
        <w:t>6.14.</w:t>
      </w:r>
      <w:r>
        <w:tab/>
      </w:r>
      <w:r w:rsidR="00CF01A0" w:rsidRPr="00972709">
        <w:t>Modelling of RACHP systems</w:t>
      </w:r>
      <w:bookmarkEnd w:id="241"/>
    </w:p>
    <w:p w14:paraId="7F4B47B6" w14:textId="7E2788FB" w:rsidR="00CF01A0" w:rsidRPr="008738BB" w:rsidRDefault="00CF01A0" w:rsidP="006A713F">
      <w:pPr>
        <w:rPr>
          <w:szCs w:val="22"/>
        </w:rPr>
      </w:pPr>
      <w:r w:rsidRPr="008738BB">
        <w:rPr>
          <w:szCs w:val="22"/>
        </w:rPr>
        <w:t xml:space="preserve">The 2018 Assessment Report </w:t>
      </w:r>
      <w:r>
        <w:rPr>
          <w:szCs w:val="22"/>
        </w:rPr>
        <w:t xml:space="preserve">will provide </w:t>
      </w:r>
      <w:r w:rsidRPr="008738BB">
        <w:rPr>
          <w:szCs w:val="22"/>
        </w:rPr>
        <w:t xml:space="preserve">overall considerations of modelling issues, rather than </w:t>
      </w:r>
      <w:r>
        <w:rPr>
          <w:szCs w:val="22"/>
        </w:rPr>
        <w:t xml:space="preserve">the </w:t>
      </w:r>
      <w:r w:rsidRPr="008738BB">
        <w:rPr>
          <w:szCs w:val="22"/>
        </w:rPr>
        <w:t>commercial information on the amounts of product manufactured, exported and imported. Data about product inventories and production amounts will be an important part of the modelling efforts for banks and emission estimates (following the bottom-up approach).</w:t>
      </w:r>
    </w:p>
    <w:p w14:paraId="060B1C43" w14:textId="77777777" w:rsidR="00CF01A0" w:rsidRPr="008738BB" w:rsidRDefault="00CF01A0" w:rsidP="006A713F">
      <w:pPr>
        <w:rPr>
          <w:b/>
          <w:szCs w:val="22"/>
        </w:rPr>
      </w:pPr>
      <w:r w:rsidRPr="008738BB">
        <w:rPr>
          <w:szCs w:val="22"/>
        </w:rPr>
        <w:lastRenderedPageBreak/>
        <w:t xml:space="preserve">In principle, three types of models (with emphasis either on banks and emissions or on energy consumption in the third case) are used to calculate data for </w:t>
      </w:r>
      <w:r>
        <w:rPr>
          <w:szCs w:val="22"/>
        </w:rPr>
        <w:t>RAC</w:t>
      </w:r>
      <w:r w:rsidRPr="008738BB">
        <w:rPr>
          <w:szCs w:val="22"/>
        </w:rPr>
        <w:t xml:space="preserve"> applications. Most of the models have a component that calculates direct and-or indi</w:t>
      </w:r>
      <w:r>
        <w:rPr>
          <w:szCs w:val="22"/>
        </w:rPr>
        <w:t>rect emissions from installed R</w:t>
      </w:r>
      <w:r w:rsidRPr="008738BB">
        <w:rPr>
          <w:szCs w:val="22"/>
        </w:rPr>
        <w:t>AC equipment. As reported in 2016, these are the following:</w:t>
      </w:r>
    </w:p>
    <w:p w14:paraId="7347F5A7" w14:textId="77777777" w:rsidR="00CF01A0" w:rsidRPr="008738BB" w:rsidRDefault="00CF01A0" w:rsidP="006A713F">
      <w:pPr>
        <w:numPr>
          <w:ilvl w:val="0"/>
          <w:numId w:val="50"/>
        </w:numPr>
        <w:spacing w:after="0"/>
        <w:rPr>
          <w:szCs w:val="22"/>
        </w:rPr>
      </w:pPr>
      <w:r w:rsidRPr="008738BB">
        <w:rPr>
          <w:szCs w:val="22"/>
        </w:rPr>
        <w:t>Thermodynamics based models that calculate energy efficiency and energy consumption for an R/AC application under certain circumstances.</w:t>
      </w:r>
    </w:p>
    <w:p w14:paraId="2AA7F42A" w14:textId="77777777" w:rsidR="00CF01A0" w:rsidRPr="008738BB" w:rsidRDefault="00CF01A0" w:rsidP="006A713F">
      <w:pPr>
        <w:numPr>
          <w:ilvl w:val="0"/>
          <w:numId w:val="50"/>
        </w:numPr>
        <w:spacing w:after="0"/>
        <w:rPr>
          <w:szCs w:val="22"/>
        </w:rPr>
      </w:pPr>
      <w:r w:rsidRPr="008738BB">
        <w:rPr>
          <w:szCs w:val="22"/>
        </w:rPr>
        <w:t>Inventory models that calculate the amounts of refrigerant charged into refrigeration and air conditioning equipment based on sales data of various types of equipment for a country or region, which can be defined as the bank of refrigerants. This is the type of model being applied in the various Task Force reports, as mentioned above.</w:t>
      </w:r>
    </w:p>
    <w:p w14:paraId="084EC9B3" w14:textId="77777777" w:rsidR="00CF01A0" w:rsidRPr="00907569" w:rsidRDefault="00CF01A0" w:rsidP="0015746F">
      <w:pPr>
        <w:numPr>
          <w:ilvl w:val="0"/>
          <w:numId w:val="50"/>
        </w:numPr>
        <w:rPr>
          <w:szCs w:val="22"/>
        </w:rPr>
      </w:pPr>
      <w:r w:rsidRPr="008738BB">
        <w:rPr>
          <w:szCs w:val="22"/>
        </w:rPr>
        <w:t xml:space="preserve">Models that focus on the </w:t>
      </w:r>
      <w:r>
        <w:rPr>
          <w:szCs w:val="22"/>
        </w:rPr>
        <w:t xml:space="preserve">total </w:t>
      </w:r>
      <w:r w:rsidRPr="008738BB">
        <w:rPr>
          <w:szCs w:val="22"/>
        </w:rPr>
        <w:t>climate</w:t>
      </w:r>
      <w:r>
        <w:rPr>
          <w:szCs w:val="22"/>
        </w:rPr>
        <w:t>-</w:t>
      </w:r>
      <w:r w:rsidRPr="008738BB">
        <w:rPr>
          <w:szCs w:val="22"/>
        </w:rPr>
        <w:t>relevant emission reductions. They depart from many assumptions or data on the number of pieces of equipment of certain types in the AC subsector and from test data regarding energy efficiency improvements possible by changing refrigerants, do not look at very detailed assumptions as in bottom up models.</w:t>
      </w:r>
    </w:p>
    <w:p w14:paraId="519C94B8" w14:textId="77777777" w:rsidR="00CF01A0" w:rsidRPr="008738BB" w:rsidRDefault="00CF01A0" w:rsidP="006A713F">
      <w:pPr>
        <w:rPr>
          <w:szCs w:val="22"/>
        </w:rPr>
      </w:pPr>
      <w:r w:rsidRPr="008738BB">
        <w:rPr>
          <w:szCs w:val="22"/>
        </w:rPr>
        <w:t>Status and on</w:t>
      </w:r>
      <w:r>
        <w:rPr>
          <w:szCs w:val="22"/>
        </w:rPr>
        <w:t xml:space="preserve"> </w:t>
      </w:r>
      <w:r w:rsidRPr="008738BB">
        <w:rPr>
          <w:szCs w:val="22"/>
        </w:rPr>
        <w:t>going progress for the different model types:</w:t>
      </w:r>
    </w:p>
    <w:p w14:paraId="7F0235A0" w14:textId="77777777" w:rsidR="00CF01A0" w:rsidRPr="008738BB" w:rsidRDefault="00CF01A0" w:rsidP="006A713F">
      <w:pPr>
        <w:numPr>
          <w:ilvl w:val="0"/>
          <w:numId w:val="51"/>
        </w:numPr>
        <w:spacing w:after="0"/>
        <w:rPr>
          <w:szCs w:val="22"/>
        </w:rPr>
      </w:pPr>
      <w:r w:rsidRPr="008738BB">
        <w:rPr>
          <w:szCs w:val="22"/>
        </w:rPr>
        <w:t xml:space="preserve">One of the main purposes of the use of thermodynamic models is to investigate the characteristics and energy efficiency of (new) refrigerants or refrigerant blends compared to a base case. In 2016-17 one important contribution was published by McLinden </w:t>
      </w:r>
      <w:proofErr w:type="gramStart"/>
      <w:r w:rsidRPr="008738BB">
        <w:rPr>
          <w:szCs w:val="22"/>
        </w:rPr>
        <w:t>et</w:t>
      </w:r>
      <w:proofErr w:type="gramEnd"/>
      <w:r w:rsidRPr="008738BB">
        <w:rPr>
          <w:szCs w:val="22"/>
        </w:rPr>
        <w:t xml:space="preserve">. </w:t>
      </w:r>
      <w:proofErr w:type="gramStart"/>
      <w:r w:rsidRPr="008738BB">
        <w:rPr>
          <w:szCs w:val="22"/>
        </w:rPr>
        <w:t>al</w:t>
      </w:r>
      <w:proofErr w:type="gramEnd"/>
      <w:r w:rsidRPr="008738BB">
        <w:rPr>
          <w:szCs w:val="22"/>
        </w:rPr>
        <w:t xml:space="preserve">, who investigated a very large number of low GWP fluids, based on alkanes, olefines, triple bound molecules, ethers etc. They used a simple thermodynamic model to investigate capacity and COP (energy efficiency) characteristics compared to the currently used R-410A. Although it was concluded that there might be some new fluids to be considered, these are expected to not lead to real improvements to the existing ones. </w:t>
      </w:r>
      <w:r>
        <w:rPr>
          <w:szCs w:val="22"/>
        </w:rPr>
        <w:t>P</w:t>
      </w:r>
      <w:r w:rsidRPr="008738BB">
        <w:rPr>
          <w:szCs w:val="22"/>
        </w:rPr>
        <w:t>ropane lik</w:t>
      </w:r>
      <w:r>
        <w:rPr>
          <w:szCs w:val="22"/>
        </w:rPr>
        <w:t>e</w:t>
      </w:r>
      <w:r w:rsidRPr="008738BB">
        <w:rPr>
          <w:szCs w:val="22"/>
        </w:rPr>
        <w:t xml:space="preserve"> fluids </w:t>
      </w:r>
      <w:proofErr w:type="gramStart"/>
      <w:r w:rsidRPr="008738BB">
        <w:rPr>
          <w:szCs w:val="22"/>
        </w:rPr>
        <w:t>are</w:t>
      </w:r>
      <w:proofErr w:type="gramEnd"/>
      <w:r w:rsidRPr="008738BB">
        <w:rPr>
          <w:szCs w:val="22"/>
        </w:rPr>
        <w:t xml:space="preserve"> the ones with good characteristics (i.e., propane, propene, cyclopropane, isobutane, propyne)</w:t>
      </w:r>
      <w:r>
        <w:rPr>
          <w:szCs w:val="22"/>
        </w:rPr>
        <w:t>.</w:t>
      </w:r>
    </w:p>
    <w:p w14:paraId="12D032B7" w14:textId="4A5834AA" w:rsidR="00CF01A0" w:rsidRPr="008738BB" w:rsidRDefault="00CF01A0" w:rsidP="006A713F">
      <w:pPr>
        <w:numPr>
          <w:ilvl w:val="0"/>
          <w:numId w:val="51"/>
        </w:numPr>
        <w:spacing w:after="0"/>
        <w:rPr>
          <w:szCs w:val="22"/>
        </w:rPr>
      </w:pPr>
      <w:r w:rsidRPr="008738BB">
        <w:rPr>
          <w:szCs w:val="22"/>
        </w:rPr>
        <w:t>In 2016, this method has been used in the</w:t>
      </w:r>
      <w:r w:rsidR="00125246">
        <w:rPr>
          <w:szCs w:val="22"/>
        </w:rPr>
        <w:t xml:space="preserve"> Decision</w:t>
      </w:r>
      <w:r w:rsidRPr="008738BB">
        <w:rPr>
          <w:szCs w:val="22"/>
        </w:rPr>
        <w:t xml:space="preserve"> XXVII/4 Task Force report, in order to further investigate the demand for low GWP fluids for the RAC sector until 2050. In particular, the conversion period of the manufacturing in certain sub-sectors was considered. After mid-2016, the method was used to create a sort of database for the demand of all RAC subsectors for a business as usual case for 2015-2050, this for non-Article 5 and Article 5 parties. Next to RAC, estimated data (extrapolated to the future) were generated for other HFC consuming sectors (foams, aerosols, fire protection). Using the data, the HFC amendment proposals were compared, in particular where it concerns the climate benefit compared to a BAU case. Good results were obtained which could be used in the discussions towards the baseline and reduction schedules laid down in the Kigali Amendment. It should be mentioned that the demand is directly linked to economic growth parameters as well as assumpt</w:t>
      </w:r>
      <w:r w:rsidR="00125246">
        <w:rPr>
          <w:szCs w:val="22"/>
        </w:rPr>
        <w:t>ions on leakage during lifetime</w:t>
      </w:r>
      <w:r w:rsidRPr="008738BB">
        <w:rPr>
          <w:szCs w:val="22"/>
        </w:rPr>
        <w:t xml:space="preserve">.   </w:t>
      </w:r>
    </w:p>
    <w:p w14:paraId="5836460F" w14:textId="77777777" w:rsidR="00CF01A0" w:rsidRPr="00DC4933" w:rsidRDefault="00CF01A0" w:rsidP="006A713F">
      <w:pPr>
        <w:numPr>
          <w:ilvl w:val="0"/>
          <w:numId w:val="51"/>
        </w:numPr>
        <w:spacing w:after="0"/>
        <w:rPr>
          <w:szCs w:val="22"/>
        </w:rPr>
      </w:pPr>
      <w:r w:rsidRPr="008738BB">
        <w:rPr>
          <w:szCs w:val="22"/>
        </w:rPr>
        <w:t>The method described gives the potential of savings in emissions towards the future. An overall analysis of the emission potentials of various sectors, including PFCs and HFC-23, has been given in a publication by Purohit and Hoglund-Isaksson. They also give estimates for abatement costs. Where the study is based on an existing emissions calculating model, it is also clear that the results are dependent on multiple assumptions regarding physical parameters and geographical distribution of emissions, where underlying assumptions on demand etc. are needed. Results are therefore far more dependent on the quality of changing technology data and physical input data than on the analytical type of modelling. The Purohit study also goes into first abatement costs determinations.</w:t>
      </w:r>
      <w:r w:rsidRPr="008738BB" w:rsidDel="007874B9">
        <w:rPr>
          <w:b/>
          <w:szCs w:val="22"/>
        </w:rPr>
        <w:t xml:space="preserve"> </w:t>
      </w:r>
    </w:p>
    <w:p w14:paraId="3C429499" w14:textId="77777777" w:rsidR="000B3584" w:rsidRDefault="000B3584" w:rsidP="006A713F">
      <w:pPr>
        <w:rPr>
          <w:szCs w:val="22"/>
        </w:rPr>
      </w:pPr>
    </w:p>
    <w:p w14:paraId="43AB053E" w14:textId="01B96BAD" w:rsidR="00942E2A" w:rsidRPr="00FD4EE9" w:rsidRDefault="00CF01A0" w:rsidP="0015746F">
      <w:pPr>
        <w:rPr>
          <w:szCs w:val="22"/>
        </w:rPr>
      </w:pPr>
      <w:r>
        <w:rPr>
          <w:szCs w:val="22"/>
        </w:rPr>
        <w:lastRenderedPageBreak/>
        <w:t xml:space="preserve">The </w:t>
      </w:r>
      <w:r w:rsidRPr="008738BB">
        <w:rPr>
          <w:szCs w:val="22"/>
        </w:rPr>
        <w:t xml:space="preserve">adoption of the Kigali amendment </w:t>
      </w:r>
      <w:r>
        <w:rPr>
          <w:szCs w:val="22"/>
        </w:rPr>
        <w:t>will drive</w:t>
      </w:r>
      <w:r w:rsidRPr="008738BB">
        <w:rPr>
          <w:szCs w:val="22"/>
        </w:rPr>
        <w:t xml:space="preserve"> </w:t>
      </w:r>
      <w:r>
        <w:rPr>
          <w:szCs w:val="22"/>
        </w:rPr>
        <w:t xml:space="preserve">new </w:t>
      </w:r>
      <w:r w:rsidRPr="008738BB">
        <w:rPr>
          <w:szCs w:val="22"/>
        </w:rPr>
        <w:t>studies of the impact of the use of lower GWP fluids</w:t>
      </w:r>
      <w:r>
        <w:rPr>
          <w:szCs w:val="22"/>
        </w:rPr>
        <w:t>. This will likely include new emphasis on</w:t>
      </w:r>
      <w:r w:rsidRPr="008738BB">
        <w:rPr>
          <w:szCs w:val="22"/>
        </w:rPr>
        <w:t xml:space="preserve"> energy efficiency. </w:t>
      </w:r>
      <w:r>
        <w:rPr>
          <w:szCs w:val="22"/>
        </w:rPr>
        <w:t xml:space="preserve">The quality of the rapidly evolving technical data will be fundamentally important, in order for the modelling to provide correct and timely </w:t>
      </w:r>
      <w:r w:rsidRPr="008738BB">
        <w:rPr>
          <w:szCs w:val="22"/>
        </w:rPr>
        <w:t xml:space="preserve">conclusions on </w:t>
      </w:r>
      <w:r>
        <w:rPr>
          <w:szCs w:val="22"/>
        </w:rPr>
        <w:t xml:space="preserve">the </w:t>
      </w:r>
      <w:r w:rsidRPr="008738BB">
        <w:rPr>
          <w:szCs w:val="22"/>
        </w:rPr>
        <w:t xml:space="preserve">mitigation </w:t>
      </w:r>
      <w:r>
        <w:rPr>
          <w:szCs w:val="22"/>
        </w:rPr>
        <w:t>offered by</w:t>
      </w:r>
      <w:r w:rsidRPr="008738BB">
        <w:rPr>
          <w:szCs w:val="22"/>
        </w:rPr>
        <w:t xml:space="preserve"> lower GWP refrigerant fluids</w:t>
      </w:r>
      <w:r>
        <w:rPr>
          <w:szCs w:val="22"/>
        </w:rPr>
        <w:t>, and for prioritising policy.</w:t>
      </w:r>
      <w:r w:rsidR="00942E2A" w:rsidRPr="00FD4EE9">
        <w:rPr>
          <w:szCs w:val="22"/>
        </w:rPr>
        <w:br w:type="page"/>
      </w:r>
    </w:p>
    <w:p w14:paraId="12F4E6D4" w14:textId="5959D83A" w:rsidR="00C203E5" w:rsidRPr="00C55283" w:rsidRDefault="00C203E5" w:rsidP="00413E4A">
      <w:pPr>
        <w:pStyle w:val="Heading1"/>
        <w:rPr>
          <w:rStyle w:val="Heading1Char2"/>
          <w:rFonts w:ascii="Times New Roman" w:hAnsi="Times New Roman"/>
        </w:rPr>
      </w:pPr>
      <w:bookmarkStart w:id="242" w:name="_Toc484164388"/>
      <w:bookmarkStart w:id="243" w:name="_Toc295289741"/>
      <w:bookmarkStart w:id="244" w:name="_Toc388648379"/>
      <w:bookmarkStart w:id="245" w:name="_Toc295406184"/>
      <w:bookmarkEnd w:id="66"/>
      <w:r w:rsidRPr="00FD4EE9">
        <w:rPr>
          <w:rStyle w:val="Heading1Char2"/>
          <w:rFonts w:ascii="Times New Roman" w:hAnsi="Times New Roman"/>
        </w:rPr>
        <w:lastRenderedPageBreak/>
        <w:t>7</w:t>
      </w:r>
      <w:r w:rsidR="004D1972" w:rsidRPr="00FD4EE9">
        <w:rPr>
          <w:rStyle w:val="Heading1Char2"/>
          <w:rFonts w:ascii="Times New Roman" w:hAnsi="Times New Roman"/>
        </w:rPr>
        <w:tab/>
      </w:r>
      <w:r w:rsidR="00B508CB" w:rsidRPr="000D6BA0">
        <w:rPr>
          <w:rStyle w:val="Heading1Char2"/>
          <w:rFonts w:ascii="Times New Roman" w:hAnsi="Times New Roman"/>
        </w:rPr>
        <w:t>Decision XXVIII/8 Report on Issues Related to the Phas</w:t>
      </w:r>
      <w:r w:rsidR="00B508CB" w:rsidRPr="008E1961">
        <w:rPr>
          <w:rStyle w:val="Heading1Char2"/>
          <w:rFonts w:ascii="Times New Roman" w:hAnsi="Times New Roman"/>
        </w:rPr>
        <w:t>e-out of HCFCs</w:t>
      </w:r>
      <w:bookmarkEnd w:id="242"/>
      <w:r w:rsidR="00B508CB" w:rsidRPr="008E1961">
        <w:rPr>
          <w:rStyle w:val="Heading1Char2"/>
          <w:rFonts w:ascii="Times New Roman" w:hAnsi="Times New Roman"/>
        </w:rPr>
        <w:t> </w:t>
      </w:r>
    </w:p>
    <w:p w14:paraId="59E94A60" w14:textId="77777777" w:rsidR="005B7B41" w:rsidRDefault="005B7B41" w:rsidP="00413E4A">
      <w:pPr>
        <w:pStyle w:val="Heading2"/>
      </w:pPr>
      <w:bookmarkStart w:id="246" w:name="_Toc452992648"/>
      <w:bookmarkStart w:id="247" w:name="_Toc484164389"/>
      <w:r>
        <w:t>Executive Summary</w:t>
      </w:r>
      <w:bookmarkEnd w:id="246"/>
      <w:bookmarkEnd w:id="247"/>
    </w:p>
    <w:p w14:paraId="65D71AE4" w14:textId="36F80E09" w:rsidR="005B7B41" w:rsidRPr="003214EB" w:rsidRDefault="005B7B41" w:rsidP="006A713F">
      <w:pPr>
        <w:numPr>
          <w:ilvl w:val="0"/>
          <w:numId w:val="56"/>
        </w:numPr>
        <w:ind w:left="0" w:firstLine="0"/>
        <w:rPr>
          <w:szCs w:val="22"/>
        </w:rPr>
      </w:pPr>
      <w:r w:rsidRPr="00EC032A">
        <w:rPr>
          <w:szCs w:val="22"/>
        </w:rPr>
        <w:t>At their 28th Meeting, in 2016</w:t>
      </w:r>
      <w:r>
        <w:rPr>
          <w:szCs w:val="22"/>
        </w:rPr>
        <w:t>, p</w:t>
      </w:r>
      <w:r w:rsidRPr="00EC032A">
        <w:rPr>
          <w:szCs w:val="22"/>
        </w:rPr>
        <w:t xml:space="preserve">arties took </w:t>
      </w:r>
      <w:r w:rsidRPr="00EC032A">
        <w:rPr>
          <w:szCs w:val="22"/>
          <w:lang w:val="en-US"/>
        </w:rPr>
        <w:t xml:space="preserve">Decision XXVIII/8, “Phase-out of hydrochlorofluorocarbons”, </w:t>
      </w:r>
      <w:r>
        <w:rPr>
          <w:szCs w:val="22"/>
          <w:lang w:val="en-US"/>
        </w:rPr>
        <w:t>which requested the TEAP to provide further assessment of the i</w:t>
      </w:r>
      <w:r w:rsidRPr="00965A15">
        <w:rPr>
          <w:szCs w:val="22"/>
          <w:lang w:val="en-US"/>
        </w:rPr>
        <w:t>ssues re</w:t>
      </w:r>
      <w:r>
        <w:rPr>
          <w:szCs w:val="22"/>
          <w:lang w:val="en-US"/>
        </w:rPr>
        <w:t xml:space="preserve">lated to the phase-out of </w:t>
      </w:r>
      <w:r w:rsidR="006804DF">
        <w:rPr>
          <w:szCs w:val="22"/>
          <w:lang w:val="en-US"/>
        </w:rPr>
        <w:t>HCFCs</w:t>
      </w:r>
      <w:r>
        <w:rPr>
          <w:szCs w:val="22"/>
          <w:lang w:val="en-US"/>
        </w:rPr>
        <w:t xml:space="preserve">, provided in response to </w:t>
      </w:r>
      <w:r w:rsidRPr="00965A15">
        <w:rPr>
          <w:szCs w:val="22"/>
          <w:lang w:val="en-US"/>
        </w:rPr>
        <w:t>Decision XXVII/5</w:t>
      </w:r>
      <w:r>
        <w:rPr>
          <w:szCs w:val="22"/>
          <w:lang w:val="en-US"/>
        </w:rPr>
        <w:t xml:space="preserve">, and requested parties to provide relevant information for use by TEAP in providing this assessment. </w:t>
      </w:r>
    </w:p>
    <w:p w14:paraId="082F8AC0" w14:textId="0C62F1F5" w:rsidR="005B7B41" w:rsidRPr="00EC032A" w:rsidRDefault="005B7B41" w:rsidP="006A713F">
      <w:pPr>
        <w:numPr>
          <w:ilvl w:val="0"/>
          <w:numId w:val="56"/>
        </w:numPr>
        <w:ind w:left="0" w:firstLine="0"/>
        <w:rPr>
          <w:szCs w:val="22"/>
        </w:rPr>
      </w:pPr>
      <w:r>
        <w:rPr>
          <w:szCs w:val="22"/>
        </w:rPr>
        <w:t xml:space="preserve">TEAP appreciates the responses it has received to date from Armenia, Bangladesh European Union, Jamaica, Japan, Mauritius, Mexico and the </w:t>
      </w:r>
      <w:r w:rsidR="0070607D">
        <w:rPr>
          <w:szCs w:val="22"/>
        </w:rPr>
        <w:t>US</w:t>
      </w:r>
      <w:r>
        <w:rPr>
          <w:szCs w:val="22"/>
        </w:rPr>
        <w:t xml:space="preserve">, and has incorporated the information where appropriate in this assessment.    </w:t>
      </w:r>
    </w:p>
    <w:p w14:paraId="22EAAD23" w14:textId="45EA9F9B" w:rsidR="005B7B41" w:rsidRPr="00EC23BF" w:rsidRDefault="005B7B41" w:rsidP="006A713F">
      <w:pPr>
        <w:numPr>
          <w:ilvl w:val="0"/>
          <w:numId w:val="56"/>
        </w:numPr>
        <w:ind w:left="0" w:firstLine="0"/>
      </w:pPr>
      <w:r w:rsidRPr="00EC23BF">
        <w:rPr>
          <w:szCs w:val="22"/>
          <w:lang w:val="en-US"/>
        </w:rPr>
        <w:t>Consideration of the various types of data for HCFC consumpti</w:t>
      </w:r>
      <w:r w:rsidRPr="00A10339">
        <w:rPr>
          <w:szCs w:val="22"/>
          <w:lang w:val="en-US"/>
        </w:rPr>
        <w:t xml:space="preserve">on in A5 parties </w:t>
      </w:r>
      <w:r w:rsidR="00274196">
        <w:rPr>
          <w:szCs w:val="22"/>
          <w:lang w:val="en-US"/>
        </w:rPr>
        <w:t>predicts</w:t>
      </w:r>
      <w:r w:rsidRPr="00A10339">
        <w:rPr>
          <w:szCs w:val="22"/>
          <w:lang w:val="en-US"/>
        </w:rPr>
        <w:t xml:space="preserve"> that the 2020 HCFC consumption w</w:t>
      </w:r>
      <w:r w:rsidR="00274196">
        <w:rPr>
          <w:szCs w:val="22"/>
          <w:lang w:val="en-US"/>
        </w:rPr>
        <w:t>ill</w:t>
      </w:r>
      <w:r w:rsidRPr="00A10339">
        <w:rPr>
          <w:szCs w:val="22"/>
          <w:lang w:val="en-US"/>
        </w:rPr>
        <w:t xml:space="preserve"> be lower than the allowed HCFC production under the Protocol. Based on this comparison, as well </w:t>
      </w:r>
      <w:r w:rsidR="00274196">
        <w:rPr>
          <w:szCs w:val="22"/>
          <w:lang w:val="en-US"/>
        </w:rPr>
        <w:t>as</w:t>
      </w:r>
      <w:r w:rsidRPr="00EC23BF">
        <w:rPr>
          <w:szCs w:val="22"/>
          <w:lang w:val="en-US"/>
        </w:rPr>
        <w:t xml:space="preserve"> from extrapolations performed, the conclusion drawn by TEAP in 2016</w:t>
      </w:r>
      <w:r>
        <w:rPr>
          <w:szCs w:val="22"/>
          <w:lang w:val="en-US"/>
        </w:rPr>
        <w:t>,</w:t>
      </w:r>
      <w:r w:rsidRPr="00EC23BF">
        <w:rPr>
          <w:szCs w:val="22"/>
          <w:lang w:val="en-US"/>
        </w:rPr>
        <w:t xml:space="preserve"> that no </w:t>
      </w:r>
      <w:r>
        <w:rPr>
          <w:szCs w:val="22"/>
          <w:lang w:val="en-US"/>
        </w:rPr>
        <w:t xml:space="preserve">BDN </w:t>
      </w:r>
      <w:r w:rsidRPr="00EC23BF">
        <w:rPr>
          <w:szCs w:val="22"/>
          <w:lang w:val="en-US"/>
        </w:rPr>
        <w:t>production would be needed by non-Article 5 parties after 2020</w:t>
      </w:r>
      <w:r>
        <w:rPr>
          <w:szCs w:val="22"/>
          <w:lang w:val="en-US"/>
        </w:rPr>
        <w:t>,</w:t>
      </w:r>
      <w:r w:rsidRPr="00EC23BF">
        <w:rPr>
          <w:szCs w:val="22"/>
          <w:lang w:val="en-US"/>
        </w:rPr>
        <w:t xml:space="preserve"> rem</w:t>
      </w:r>
      <w:r>
        <w:rPr>
          <w:szCs w:val="22"/>
          <w:lang w:val="en-US"/>
        </w:rPr>
        <w:t>a</w:t>
      </w:r>
      <w:r w:rsidRPr="00EC23BF">
        <w:rPr>
          <w:szCs w:val="22"/>
          <w:lang w:val="en-US"/>
        </w:rPr>
        <w:t>ins unchanged</w:t>
      </w:r>
      <w:r>
        <w:rPr>
          <w:szCs w:val="22"/>
          <w:lang w:val="en-US"/>
        </w:rPr>
        <w:t>.</w:t>
      </w:r>
    </w:p>
    <w:p w14:paraId="2000D2D6" w14:textId="195D3465" w:rsidR="005B7B41" w:rsidRPr="00EC23BF" w:rsidRDefault="005B7B41" w:rsidP="006A713F">
      <w:pPr>
        <w:numPr>
          <w:ilvl w:val="0"/>
          <w:numId w:val="56"/>
        </w:numPr>
        <w:ind w:left="0" w:firstLine="0"/>
        <w:rPr>
          <w:szCs w:val="22"/>
          <w:lang w:val="en-US"/>
        </w:rPr>
      </w:pPr>
      <w:r>
        <w:rPr>
          <w:szCs w:val="22"/>
        </w:rPr>
        <w:t xml:space="preserve">The Decision XXVII/5 report finding remains unchanged that very specific small (yet unidentified) </w:t>
      </w:r>
      <w:r w:rsidR="006804DF">
        <w:rPr>
          <w:szCs w:val="22"/>
        </w:rPr>
        <w:t>R</w:t>
      </w:r>
      <w:r>
        <w:rPr>
          <w:szCs w:val="22"/>
        </w:rPr>
        <w:t xml:space="preserve">AC uses in niche applications could be potentially essential (satisfying the criteria set out in Decision IV/25).  </w:t>
      </w:r>
    </w:p>
    <w:p w14:paraId="5AA51B48" w14:textId="1EEA053E" w:rsidR="005B7B41" w:rsidRDefault="005B7B41" w:rsidP="006A713F">
      <w:pPr>
        <w:numPr>
          <w:ilvl w:val="0"/>
          <w:numId w:val="56"/>
        </w:numPr>
        <w:ind w:left="0" w:firstLine="0"/>
        <w:rPr>
          <w:szCs w:val="22"/>
          <w:lang w:val="en-US"/>
        </w:rPr>
      </w:pPr>
      <w:r>
        <w:rPr>
          <w:szCs w:val="22"/>
          <w:lang w:val="en-US"/>
        </w:rPr>
        <w:t>While it remains difficult to draw conclusions related to specific servicing needs, q</w:t>
      </w:r>
      <w:r w:rsidRPr="002B027C">
        <w:rPr>
          <w:szCs w:val="22"/>
          <w:lang w:val="en-US"/>
        </w:rPr>
        <w:t xml:space="preserve">uantities of newly produced </w:t>
      </w:r>
      <w:r>
        <w:rPr>
          <w:szCs w:val="22"/>
          <w:lang w:val="en-US"/>
        </w:rPr>
        <w:t xml:space="preserve">HCFC-123 and certain </w:t>
      </w:r>
      <w:r w:rsidRPr="002B027C">
        <w:rPr>
          <w:szCs w:val="22"/>
          <w:lang w:val="en-US"/>
        </w:rPr>
        <w:t>HCFCs</w:t>
      </w:r>
      <w:r w:rsidR="006804DF">
        <w:rPr>
          <w:szCs w:val="22"/>
          <w:lang w:val="en-US"/>
        </w:rPr>
        <w:t xml:space="preserve"> for R</w:t>
      </w:r>
      <w:r>
        <w:rPr>
          <w:szCs w:val="22"/>
          <w:lang w:val="en-US"/>
        </w:rPr>
        <w:t>AC blends</w:t>
      </w:r>
      <w:r w:rsidRPr="002B027C">
        <w:rPr>
          <w:szCs w:val="22"/>
          <w:lang w:val="en-US"/>
        </w:rPr>
        <w:t xml:space="preserve"> </w:t>
      </w:r>
      <w:r>
        <w:rPr>
          <w:szCs w:val="22"/>
          <w:lang w:val="en-US"/>
        </w:rPr>
        <w:t>may</w:t>
      </w:r>
      <w:r w:rsidRPr="002B027C">
        <w:rPr>
          <w:szCs w:val="22"/>
          <w:lang w:val="en-US"/>
        </w:rPr>
        <w:t xml:space="preserve"> be required </w:t>
      </w:r>
      <w:r>
        <w:rPr>
          <w:szCs w:val="22"/>
          <w:lang w:val="en-US"/>
        </w:rPr>
        <w:t xml:space="preserve">in non-Article 5 parties </w:t>
      </w:r>
      <w:r w:rsidRPr="002B027C">
        <w:rPr>
          <w:szCs w:val="22"/>
          <w:lang w:val="en-US"/>
        </w:rPr>
        <w:t>for the period 2020-2030</w:t>
      </w:r>
      <w:r>
        <w:rPr>
          <w:szCs w:val="22"/>
          <w:lang w:val="en-US"/>
        </w:rPr>
        <w:t xml:space="preserve"> in certain applications.  </w:t>
      </w:r>
    </w:p>
    <w:p w14:paraId="0B147433" w14:textId="77777777" w:rsidR="005B7B41" w:rsidRDefault="005B7B41" w:rsidP="006A713F">
      <w:pPr>
        <w:numPr>
          <w:ilvl w:val="0"/>
          <w:numId w:val="56"/>
        </w:numPr>
        <w:ind w:left="0" w:firstLine="0"/>
        <w:rPr>
          <w:szCs w:val="22"/>
          <w:lang w:val="en-US"/>
        </w:rPr>
      </w:pPr>
      <w:r>
        <w:rPr>
          <w:szCs w:val="22"/>
        </w:rPr>
        <w:t xml:space="preserve">After 2030, </w:t>
      </w:r>
      <w:r>
        <w:rPr>
          <w:szCs w:val="22"/>
          <w:lang w:val="en-US"/>
        </w:rPr>
        <w:t xml:space="preserve">when the 0.5% servicing tail is no longer available for non-Article 5 parties, </w:t>
      </w:r>
      <w:r>
        <w:rPr>
          <w:szCs w:val="22"/>
        </w:rPr>
        <w:t xml:space="preserve">it is possible that </w:t>
      </w:r>
      <w:r w:rsidRPr="00036BBF">
        <w:rPr>
          <w:szCs w:val="22"/>
          <w:lang w:val="en-US"/>
        </w:rPr>
        <w:t xml:space="preserve">newly produced HCFCs </w:t>
      </w:r>
      <w:r>
        <w:rPr>
          <w:szCs w:val="22"/>
          <w:lang w:val="en-US"/>
        </w:rPr>
        <w:t>may be needed to service existing equipment that use HCFC-123 or HCFC blends in very specific critical applications, although this is not yet clear.</w:t>
      </w:r>
      <w:r w:rsidRPr="002B027C">
        <w:rPr>
          <w:szCs w:val="22"/>
          <w:lang w:val="en-US"/>
        </w:rPr>
        <w:t xml:space="preserve"> </w:t>
      </w:r>
    </w:p>
    <w:p w14:paraId="2ABA703E" w14:textId="77777777" w:rsidR="005B7B41" w:rsidRPr="00B31322" w:rsidRDefault="005B7B41" w:rsidP="006A713F">
      <w:pPr>
        <w:numPr>
          <w:ilvl w:val="0"/>
          <w:numId w:val="56"/>
        </w:numPr>
        <w:ind w:left="0" w:firstLine="0"/>
      </w:pPr>
      <w:r w:rsidRPr="00845C1C">
        <w:rPr>
          <w:szCs w:val="22"/>
        </w:rPr>
        <w:t xml:space="preserve">In fire protection, </w:t>
      </w:r>
      <w:r>
        <w:rPr>
          <w:szCs w:val="22"/>
        </w:rPr>
        <w:t xml:space="preserve">the Decision XXVII/5 report estimate remains unchanged </w:t>
      </w:r>
      <w:r w:rsidRPr="00845C1C">
        <w:rPr>
          <w:szCs w:val="22"/>
        </w:rPr>
        <w:t xml:space="preserve">that (as an upper limit for planning purposes and to assess impacts </w:t>
      </w:r>
      <w:r>
        <w:rPr>
          <w:szCs w:val="22"/>
        </w:rPr>
        <w:t xml:space="preserve">on </w:t>
      </w:r>
      <w:r w:rsidRPr="00845C1C">
        <w:rPr>
          <w:szCs w:val="22"/>
        </w:rPr>
        <w:t>the environment) volumes of HCFC-123 (for the production of HCFC</w:t>
      </w:r>
      <w:r>
        <w:rPr>
          <w:szCs w:val="22"/>
        </w:rPr>
        <w:t>-</w:t>
      </w:r>
      <w:r w:rsidRPr="00845C1C">
        <w:rPr>
          <w:szCs w:val="22"/>
        </w:rPr>
        <w:t>based Blend B) not exceed</w:t>
      </w:r>
      <w:r>
        <w:rPr>
          <w:szCs w:val="22"/>
        </w:rPr>
        <w:t>ing</w:t>
      </w:r>
      <w:r w:rsidRPr="00845C1C">
        <w:rPr>
          <w:szCs w:val="22"/>
        </w:rPr>
        <w:t xml:space="preserve"> 750 tonnes annually in non-Article 5 parties </w:t>
      </w:r>
      <w:r>
        <w:rPr>
          <w:szCs w:val="22"/>
        </w:rPr>
        <w:t xml:space="preserve">could be needed </w:t>
      </w:r>
      <w:r w:rsidRPr="00845C1C">
        <w:rPr>
          <w:szCs w:val="22"/>
        </w:rPr>
        <w:t xml:space="preserve">(combined with </w:t>
      </w:r>
      <w:r>
        <w:rPr>
          <w:szCs w:val="22"/>
        </w:rPr>
        <w:t xml:space="preserve">potential </w:t>
      </w:r>
      <w:r w:rsidRPr="00845C1C">
        <w:rPr>
          <w:szCs w:val="22"/>
        </w:rPr>
        <w:t>amount</w:t>
      </w:r>
      <w:r>
        <w:rPr>
          <w:szCs w:val="22"/>
        </w:rPr>
        <w:t>s</w:t>
      </w:r>
      <w:r w:rsidRPr="00845C1C">
        <w:rPr>
          <w:szCs w:val="22"/>
        </w:rPr>
        <w:t xml:space="preserve"> required for servicing, this would imply a </w:t>
      </w:r>
      <w:r>
        <w:rPr>
          <w:szCs w:val="22"/>
        </w:rPr>
        <w:t xml:space="preserve">total </w:t>
      </w:r>
      <w:r w:rsidRPr="00845C1C">
        <w:rPr>
          <w:szCs w:val="22"/>
        </w:rPr>
        <w:t>consumption of about 900 tonnes annually</w:t>
      </w:r>
      <w:r>
        <w:rPr>
          <w:szCs w:val="22"/>
        </w:rPr>
        <w:t>, or</w:t>
      </w:r>
      <w:r w:rsidRPr="00845C1C">
        <w:rPr>
          <w:szCs w:val="22"/>
        </w:rPr>
        <w:t xml:space="preserve"> almost 20 ODP tonnes</w:t>
      </w:r>
      <w:r>
        <w:rPr>
          <w:szCs w:val="22"/>
        </w:rPr>
        <w:t>)</w:t>
      </w:r>
      <w:r w:rsidRPr="00845C1C">
        <w:rPr>
          <w:szCs w:val="22"/>
        </w:rPr>
        <w:t>.</w:t>
      </w:r>
    </w:p>
    <w:p w14:paraId="4D70B857" w14:textId="77777777" w:rsidR="005B7B41" w:rsidRPr="00B218F9" w:rsidRDefault="005B7B41" w:rsidP="006A713F">
      <w:pPr>
        <w:numPr>
          <w:ilvl w:val="0"/>
          <w:numId w:val="56"/>
        </w:numPr>
        <w:ind w:left="0" w:firstLine="0"/>
        <w:rPr>
          <w:szCs w:val="22"/>
          <w:lang w:val="en-US"/>
        </w:rPr>
      </w:pPr>
      <w:r>
        <w:rPr>
          <w:szCs w:val="22"/>
          <w:lang w:val="en-US"/>
        </w:rPr>
        <w:t xml:space="preserve">The Decision XXVII/5 finding remains unchanged that </w:t>
      </w:r>
      <w:r>
        <w:rPr>
          <w:szCs w:val="22"/>
        </w:rPr>
        <w:t>n</w:t>
      </w:r>
      <w:r w:rsidRPr="00965A15">
        <w:rPr>
          <w:szCs w:val="22"/>
        </w:rPr>
        <w:t xml:space="preserve">o information </w:t>
      </w:r>
      <w:r>
        <w:rPr>
          <w:szCs w:val="22"/>
        </w:rPr>
        <w:t xml:space="preserve">was found </w:t>
      </w:r>
      <w:r w:rsidRPr="00965A15">
        <w:rPr>
          <w:szCs w:val="22"/>
        </w:rPr>
        <w:t xml:space="preserve">that any HCFC uses </w:t>
      </w:r>
      <w:r>
        <w:rPr>
          <w:szCs w:val="22"/>
        </w:rPr>
        <w:t xml:space="preserve">in the foam sector </w:t>
      </w:r>
      <w:r w:rsidRPr="00965A15">
        <w:rPr>
          <w:szCs w:val="22"/>
        </w:rPr>
        <w:t xml:space="preserve">could be considered as </w:t>
      </w:r>
      <w:r>
        <w:rPr>
          <w:szCs w:val="22"/>
        </w:rPr>
        <w:t xml:space="preserve">potentially </w:t>
      </w:r>
      <w:r w:rsidRPr="00965A15">
        <w:rPr>
          <w:szCs w:val="22"/>
        </w:rPr>
        <w:t>essential</w:t>
      </w:r>
      <w:r>
        <w:rPr>
          <w:szCs w:val="22"/>
        </w:rPr>
        <w:t xml:space="preserve"> after 2020.  </w:t>
      </w:r>
    </w:p>
    <w:p w14:paraId="785CB5D2" w14:textId="77777777" w:rsidR="005B7B41" w:rsidRPr="00941823" w:rsidRDefault="005B7B41" w:rsidP="006A713F">
      <w:pPr>
        <w:numPr>
          <w:ilvl w:val="0"/>
          <w:numId w:val="56"/>
        </w:numPr>
        <w:ind w:left="0" w:firstLine="0"/>
        <w:rPr>
          <w:szCs w:val="22"/>
          <w:lang w:val="en-US"/>
        </w:rPr>
      </w:pPr>
      <w:r>
        <w:rPr>
          <w:szCs w:val="22"/>
          <w:lang w:val="en-US"/>
        </w:rPr>
        <w:t xml:space="preserve">The Decision XXVII/5 finding remains unchanged that it </w:t>
      </w:r>
      <w:r w:rsidRPr="00941823">
        <w:rPr>
          <w:szCs w:val="22"/>
          <w:lang w:val="en-US"/>
        </w:rPr>
        <w:t>is possible that some niche solvent applications, such as aerospace or military, might require small quantities of HCFCs, to service existing equipment (e.g., HCFC-121, -122a, -141b and -225ca/cb).</w:t>
      </w:r>
    </w:p>
    <w:p w14:paraId="17B83FCA" w14:textId="6D01BF6C" w:rsidR="005B7B41" w:rsidRPr="00254A2D" w:rsidRDefault="005B7B41" w:rsidP="006A713F">
      <w:pPr>
        <w:numPr>
          <w:ilvl w:val="0"/>
          <w:numId w:val="56"/>
        </w:numPr>
        <w:ind w:left="0" w:firstLine="0"/>
      </w:pPr>
      <w:r>
        <w:rPr>
          <w:szCs w:val="22"/>
          <w:lang w:val="en-US"/>
        </w:rPr>
        <w:t xml:space="preserve">The Decision XXVII/5 finding remains unchanged that </w:t>
      </w:r>
      <w:r w:rsidRPr="00965A15">
        <w:rPr>
          <w:szCs w:val="22"/>
          <w:lang w:val="en-US"/>
        </w:rPr>
        <w:t xml:space="preserve">essential uses for non-Article 5 </w:t>
      </w:r>
      <w:r>
        <w:rPr>
          <w:szCs w:val="22"/>
          <w:lang w:val="en-US"/>
        </w:rPr>
        <w:t>p</w:t>
      </w:r>
      <w:r w:rsidRPr="00965A15">
        <w:rPr>
          <w:szCs w:val="22"/>
          <w:lang w:val="en-US"/>
        </w:rPr>
        <w:t>arties are likely to be required for laboratory and analytical uses, and for the research into and development of new substances</w:t>
      </w:r>
      <w:r>
        <w:rPr>
          <w:szCs w:val="22"/>
          <w:lang w:val="en-US"/>
        </w:rPr>
        <w:t>, and perhaps for some solvent uses.</w:t>
      </w:r>
      <w:r w:rsidRPr="007648AE">
        <w:rPr>
          <w:szCs w:val="22"/>
          <w:lang w:val="en-US"/>
        </w:rPr>
        <w:t xml:space="preserve"> It is estimated that the</w:t>
      </w:r>
      <w:r w:rsidR="00274196">
        <w:rPr>
          <w:szCs w:val="22"/>
          <w:lang w:val="en-US"/>
        </w:rPr>
        <w:t>se</w:t>
      </w:r>
      <w:r w:rsidRPr="007648AE">
        <w:rPr>
          <w:szCs w:val="22"/>
          <w:lang w:val="en-US"/>
        </w:rPr>
        <w:t xml:space="preserve"> applications</w:t>
      </w:r>
      <w:r>
        <w:rPr>
          <w:szCs w:val="22"/>
          <w:lang w:val="en-US"/>
        </w:rPr>
        <w:t xml:space="preserve"> might require </w:t>
      </w:r>
      <w:r w:rsidR="00274196">
        <w:rPr>
          <w:szCs w:val="22"/>
          <w:lang w:val="en-US"/>
        </w:rPr>
        <w:t>of the order of tens</w:t>
      </w:r>
      <w:r>
        <w:rPr>
          <w:szCs w:val="22"/>
          <w:lang w:val="en-US"/>
        </w:rPr>
        <w:t xml:space="preserve"> of tonnes </w:t>
      </w:r>
      <w:r w:rsidRPr="007648AE">
        <w:rPr>
          <w:szCs w:val="22"/>
          <w:lang w:val="en-US"/>
        </w:rPr>
        <w:t>annually</w:t>
      </w:r>
      <w:r>
        <w:rPr>
          <w:szCs w:val="22"/>
          <w:lang w:val="en-US"/>
        </w:rPr>
        <w:t xml:space="preserve"> (i.e., in the order of 1 ODP tonne)</w:t>
      </w:r>
      <w:r w:rsidRPr="007648AE">
        <w:rPr>
          <w:szCs w:val="22"/>
          <w:lang w:val="en-US"/>
        </w:rPr>
        <w:t>.</w:t>
      </w:r>
    </w:p>
    <w:p w14:paraId="1273DDA9" w14:textId="7DF6101B" w:rsidR="005B7B41" w:rsidRPr="00EC23BF" w:rsidRDefault="005B7B41" w:rsidP="006A713F">
      <w:pPr>
        <w:numPr>
          <w:ilvl w:val="0"/>
          <w:numId w:val="56"/>
        </w:numPr>
        <w:tabs>
          <w:tab w:val="left" w:pos="360"/>
        </w:tabs>
        <w:ind w:left="0" w:firstLine="0"/>
      </w:pPr>
      <w:r w:rsidRPr="00614148">
        <w:rPr>
          <w:szCs w:val="22"/>
          <w:lang w:val="en-US"/>
        </w:rPr>
        <w:lastRenderedPageBreak/>
        <w:t>TEAP and its MCTOC h</w:t>
      </w:r>
      <w:r w:rsidRPr="00614148">
        <w:rPr>
          <w:szCs w:val="22"/>
        </w:rPr>
        <w:t xml:space="preserve">ave become aware of several manufacturing processes that currently use HCFCs as solvents in processes that might be considered similar to process agent uses, and </w:t>
      </w:r>
      <w:r>
        <w:rPr>
          <w:szCs w:val="22"/>
        </w:rPr>
        <w:t xml:space="preserve">would be </w:t>
      </w:r>
      <w:r w:rsidRPr="00614148">
        <w:rPr>
          <w:szCs w:val="22"/>
        </w:rPr>
        <w:t>potentially impacted by the 2020 phase out. Known applications include processes using HCFC-141b and HCFC-225</w:t>
      </w:r>
      <w:r>
        <w:rPr>
          <w:szCs w:val="22"/>
        </w:rPr>
        <w:t>ca/cb</w:t>
      </w:r>
      <w:r w:rsidRPr="00614148">
        <w:rPr>
          <w:szCs w:val="22"/>
        </w:rPr>
        <w:t xml:space="preserve"> as solvents.  </w:t>
      </w:r>
      <w:r w:rsidRPr="00614148">
        <w:rPr>
          <w:szCs w:val="22"/>
          <w:lang w:val="en-US"/>
        </w:rPr>
        <w:t xml:space="preserve">The total </w:t>
      </w:r>
      <w:r w:rsidRPr="00EC23BF">
        <w:rPr>
          <w:szCs w:val="22"/>
          <w:lang w:val="en-US"/>
        </w:rPr>
        <w:t>known</w:t>
      </w:r>
      <w:r w:rsidRPr="00614148">
        <w:rPr>
          <w:szCs w:val="22"/>
          <w:lang w:val="en-US"/>
        </w:rPr>
        <w:t xml:space="preserve"> use of HCFCs in such processes is around 100 tonnes. Alternative processes are under development and expected to be completed by 2020. However some uncertainties still remain. </w:t>
      </w:r>
      <w:r w:rsidRPr="00274196">
        <w:rPr>
          <w:b/>
          <w:szCs w:val="22"/>
        </w:rPr>
        <w:t>Parties may wish to consider clarifying whether they know of solvent uses of HCFCs in processes that might be considered similar to process agent uses. Parties may further wish to consider clarifying how to treat any existing HCFC solvent uses in processes that are similar to process agent uses in relation to the 2020 control measures under Article 2.</w:t>
      </w:r>
      <w:bookmarkStart w:id="248" w:name="_Toc452992650"/>
    </w:p>
    <w:p w14:paraId="07DB85FD" w14:textId="54C782AE" w:rsidR="005B7B41" w:rsidRPr="00EC23BF" w:rsidRDefault="004C71DF" w:rsidP="00413E4A">
      <w:pPr>
        <w:pStyle w:val="Heading2"/>
      </w:pPr>
      <w:bookmarkStart w:id="249" w:name="_Toc484164390"/>
      <w:r>
        <w:t>7.1.</w:t>
      </w:r>
      <w:r>
        <w:tab/>
      </w:r>
      <w:r w:rsidR="005B7B41" w:rsidRPr="00EC23BF">
        <w:t>Decision XXVIII/8 and TEAP’s approach to this response</w:t>
      </w:r>
      <w:bookmarkEnd w:id="248"/>
      <w:bookmarkEnd w:id="249"/>
    </w:p>
    <w:p w14:paraId="0BAFEBC5" w14:textId="77777777" w:rsidR="005B7B41" w:rsidRPr="00965A15" w:rsidRDefault="005B7B41" w:rsidP="006A713F">
      <w:pPr>
        <w:rPr>
          <w:szCs w:val="22"/>
          <w:lang w:val="en-US"/>
        </w:rPr>
      </w:pPr>
      <w:r w:rsidRPr="00EC032A">
        <w:rPr>
          <w:szCs w:val="22"/>
        </w:rPr>
        <w:t xml:space="preserve">At their 28th Meeting, in 2016, the Parties took </w:t>
      </w:r>
      <w:r w:rsidRPr="00EC032A">
        <w:rPr>
          <w:szCs w:val="22"/>
          <w:lang w:val="en-US"/>
        </w:rPr>
        <w:t xml:space="preserve">Decision XXVIII/8, “Phase-out of hydrochlorofluorocarbons”, </w:t>
      </w:r>
      <w:r>
        <w:rPr>
          <w:szCs w:val="22"/>
          <w:lang w:val="en-US"/>
        </w:rPr>
        <w:t>which requested the TEAP to provide further assessment of the i</w:t>
      </w:r>
      <w:r w:rsidRPr="00965A15">
        <w:rPr>
          <w:szCs w:val="22"/>
          <w:lang w:val="en-US"/>
        </w:rPr>
        <w:t>ssues re</w:t>
      </w:r>
      <w:r>
        <w:rPr>
          <w:szCs w:val="22"/>
          <w:lang w:val="en-US"/>
        </w:rPr>
        <w:t xml:space="preserve">lated to the phase-out of HCFCs, provided last year in response to </w:t>
      </w:r>
      <w:r w:rsidRPr="00965A15">
        <w:rPr>
          <w:szCs w:val="22"/>
          <w:lang w:val="en-US"/>
        </w:rPr>
        <w:t>Decision XXVII/5</w:t>
      </w:r>
      <w:r>
        <w:rPr>
          <w:szCs w:val="22"/>
          <w:lang w:val="en-US"/>
        </w:rPr>
        <w:t>, and requested parties to provide relevant information for use by the TEAP in providing this assessment, which states:</w:t>
      </w:r>
      <w:r w:rsidRPr="00965A15">
        <w:rPr>
          <w:szCs w:val="22"/>
          <w:lang w:val="en-US"/>
        </w:rPr>
        <w:t xml:space="preserve"> </w:t>
      </w:r>
    </w:p>
    <w:p w14:paraId="76F49927" w14:textId="74AE2647" w:rsidR="005B7B41" w:rsidRPr="008B7274" w:rsidRDefault="005B7B41" w:rsidP="006A713F">
      <w:pPr>
        <w:rPr>
          <w:iCs/>
          <w:szCs w:val="22"/>
        </w:rPr>
      </w:pPr>
      <w:r w:rsidRPr="008B7274">
        <w:rPr>
          <w:i/>
          <w:iCs/>
          <w:szCs w:val="22"/>
        </w:rPr>
        <w:t xml:space="preserve">Aware </w:t>
      </w:r>
      <w:r w:rsidRPr="008B7274">
        <w:rPr>
          <w:iCs/>
          <w:szCs w:val="22"/>
        </w:rPr>
        <w:t>that parties not operating under paragraph 1 of Article 5 of the Montreal Protocol (non</w:t>
      </w:r>
      <w:r w:rsidR="006804DF">
        <w:rPr>
          <w:rFonts w:ascii="MS Mincho" w:hAnsi="MS Mincho" w:cs="MS Mincho"/>
          <w:iCs/>
          <w:szCs w:val="22"/>
        </w:rPr>
        <w:t>-</w:t>
      </w:r>
      <w:r w:rsidRPr="008B7274">
        <w:rPr>
          <w:iCs/>
          <w:szCs w:val="22"/>
        </w:rPr>
        <w:t>A</w:t>
      </w:r>
      <w:r w:rsidR="006804DF">
        <w:rPr>
          <w:iCs/>
          <w:szCs w:val="22"/>
        </w:rPr>
        <w:t xml:space="preserve">rticle </w:t>
      </w:r>
      <w:r w:rsidRPr="008B7274">
        <w:rPr>
          <w:iCs/>
          <w:szCs w:val="22"/>
        </w:rPr>
        <w:t>5 parties) are taking measures to reduce and eventually eliminate the production and consumption of the ozone-depleting substances listed in Annex C, group I (hydrochlorofluorocarbons),</w:t>
      </w:r>
    </w:p>
    <w:p w14:paraId="20A471BF" w14:textId="77777777" w:rsidR="005B7B41" w:rsidRPr="008B7274" w:rsidRDefault="005B7B41" w:rsidP="006A713F">
      <w:pPr>
        <w:rPr>
          <w:iCs/>
          <w:szCs w:val="22"/>
        </w:rPr>
      </w:pPr>
      <w:r w:rsidRPr="008B7274">
        <w:rPr>
          <w:i/>
          <w:iCs/>
          <w:szCs w:val="22"/>
        </w:rPr>
        <w:t xml:space="preserve">Recognizing </w:t>
      </w:r>
      <w:r w:rsidRPr="008B7274">
        <w:rPr>
          <w:iCs/>
          <w:szCs w:val="22"/>
        </w:rPr>
        <w:t>a need for continued consideration of issues related to hydrochlorofluorocarbons as indicated in paragraphs 12, 13, and 14 of decision XIX/6, and taking into account the report of the Technology and Economic Assessment Panel in response to decision XXVII/5,</w:t>
      </w:r>
    </w:p>
    <w:p w14:paraId="5FAC73A4" w14:textId="77777777" w:rsidR="005B7B41" w:rsidRPr="008B7274" w:rsidRDefault="005B7B41" w:rsidP="006A713F">
      <w:pPr>
        <w:rPr>
          <w:iCs/>
          <w:szCs w:val="22"/>
        </w:rPr>
      </w:pPr>
      <w:r w:rsidRPr="008B7274">
        <w:rPr>
          <w:i/>
          <w:iCs/>
          <w:szCs w:val="22"/>
        </w:rPr>
        <w:t xml:space="preserve">Noting </w:t>
      </w:r>
      <w:r w:rsidRPr="008B7274">
        <w:rPr>
          <w:iCs/>
          <w:szCs w:val="22"/>
        </w:rPr>
        <w:t>that Article 5 parties may require access to hydrochlorofluorocarbons produced by non-Article 5 parties to satisfy their basic domestic needs after 2020,</w:t>
      </w:r>
    </w:p>
    <w:p w14:paraId="75DD50D0" w14:textId="77777777" w:rsidR="005B7B41" w:rsidRDefault="005B7B41" w:rsidP="006A713F">
      <w:pPr>
        <w:ind w:left="990" w:hanging="270"/>
        <w:rPr>
          <w:iCs/>
          <w:szCs w:val="22"/>
        </w:rPr>
      </w:pPr>
      <w:r w:rsidRPr="008B7274">
        <w:rPr>
          <w:iCs/>
          <w:szCs w:val="22"/>
        </w:rPr>
        <w:t>1.</w:t>
      </w:r>
      <w:r>
        <w:rPr>
          <w:iCs/>
          <w:szCs w:val="22"/>
        </w:rPr>
        <w:t xml:space="preserve"> </w:t>
      </w:r>
      <w:r w:rsidRPr="008B7274">
        <w:rPr>
          <w:iCs/>
          <w:szCs w:val="22"/>
        </w:rPr>
        <w:t xml:space="preserve">To request the Technology and Economic Assessment Panel, in relation to Annex C, group I, substances: </w:t>
      </w:r>
    </w:p>
    <w:p w14:paraId="46722D87" w14:textId="77777777" w:rsidR="005B7B41" w:rsidRPr="008B7274" w:rsidRDefault="005B7B41" w:rsidP="006A713F">
      <w:pPr>
        <w:ind w:left="1710" w:hanging="270"/>
        <w:rPr>
          <w:iCs/>
          <w:szCs w:val="22"/>
        </w:rPr>
      </w:pPr>
      <w:r w:rsidRPr="008B7274">
        <w:rPr>
          <w:iCs/>
          <w:szCs w:val="22"/>
        </w:rPr>
        <w:t>a.</w:t>
      </w:r>
      <w:r>
        <w:rPr>
          <w:iCs/>
          <w:szCs w:val="22"/>
        </w:rPr>
        <w:t xml:space="preserve"> </w:t>
      </w:r>
      <w:r w:rsidRPr="008B7274">
        <w:rPr>
          <w:iCs/>
          <w:szCs w:val="22"/>
        </w:rPr>
        <w:t>To continue to assess sectors, including subsectors, if any, where essential uses for non</w:t>
      </w:r>
      <w:r w:rsidRPr="008B7274">
        <w:rPr>
          <w:rFonts w:ascii="MS Mincho" w:hAnsi="MS Mincho" w:cs="MS Mincho"/>
          <w:iCs/>
          <w:szCs w:val="22"/>
        </w:rPr>
        <w:t>‑</w:t>
      </w:r>
      <w:r w:rsidRPr="008B7274">
        <w:rPr>
          <w:iCs/>
          <w:szCs w:val="22"/>
        </w:rPr>
        <w:t>Article 5 parties may be needed after 1 January 2020, including estimates of the volumes of hydrochlorofluorocarbons that may be needed;</w:t>
      </w:r>
    </w:p>
    <w:p w14:paraId="25497886" w14:textId="77777777" w:rsidR="005B7B41" w:rsidRPr="008B7274" w:rsidRDefault="005B7B41" w:rsidP="006A713F">
      <w:pPr>
        <w:ind w:left="1710" w:hanging="270"/>
        <w:rPr>
          <w:iCs/>
          <w:szCs w:val="22"/>
        </w:rPr>
      </w:pPr>
      <w:r w:rsidRPr="008B7274">
        <w:rPr>
          <w:iCs/>
          <w:szCs w:val="22"/>
        </w:rPr>
        <w:t>b.</w:t>
      </w:r>
      <w:r>
        <w:rPr>
          <w:iCs/>
          <w:szCs w:val="22"/>
        </w:rPr>
        <w:t xml:space="preserve"> </w:t>
      </w:r>
      <w:r w:rsidRPr="008B7274">
        <w:rPr>
          <w:iCs/>
          <w:szCs w:val="22"/>
        </w:rPr>
        <w:t>To continue to assess the servicing requirements for refrigeration and air-conditioning equipment and any other possible needs in other sectors between 2020 and 2030 for non-Article 5 parties;</w:t>
      </w:r>
    </w:p>
    <w:p w14:paraId="0EA1766A" w14:textId="77777777" w:rsidR="005B7B41" w:rsidRPr="008B7274" w:rsidRDefault="005B7B41" w:rsidP="006A713F">
      <w:pPr>
        <w:ind w:left="1710" w:hanging="270"/>
        <w:rPr>
          <w:iCs/>
          <w:szCs w:val="22"/>
        </w:rPr>
      </w:pPr>
      <w:r w:rsidRPr="008B7274">
        <w:rPr>
          <w:iCs/>
          <w:szCs w:val="22"/>
        </w:rPr>
        <w:t>c.</w:t>
      </w:r>
      <w:r>
        <w:rPr>
          <w:iCs/>
          <w:szCs w:val="22"/>
        </w:rPr>
        <w:t xml:space="preserve"> </w:t>
      </w:r>
      <w:r w:rsidRPr="008B7274">
        <w:rPr>
          <w:iCs/>
          <w:szCs w:val="22"/>
        </w:rPr>
        <w:t>To continue to review recent volumes of production of each of the hydrochlorofluorocarbons to satisfy basic domestic needs and to make projected estimates of such future production and estimated needs of Article 5 parties to satisfy basic domestic needs beyond 1</w:t>
      </w:r>
      <w:r>
        <w:rPr>
          <w:iCs/>
          <w:szCs w:val="22"/>
        </w:rPr>
        <w:t xml:space="preserve"> </w:t>
      </w:r>
      <w:r w:rsidRPr="008B7274">
        <w:rPr>
          <w:iCs/>
          <w:szCs w:val="22"/>
        </w:rPr>
        <w:t>January 2020;</w:t>
      </w:r>
    </w:p>
    <w:p w14:paraId="634869CB" w14:textId="77777777" w:rsidR="005B7B41" w:rsidRPr="008B7274" w:rsidRDefault="005B7B41" w:rsidP="006A713F">
      <w:pPr>
        <w:ind w:left="990" w:hanging="270"/>
        <w:rPr>
          <w:iCs/>
          <w:szCs w:val="22"/>
        </w:rPr>
      </w:pPr>
      <w:r w:rsidRPr="008B7274">
        <w:rPr>
          <w:iCs/>
          <w:szCs w:val="22"/>
        </w:rPr>
        <w:t>2.</w:t>
      </w:r>
      <w:r>
        <w:rPr>
          <w:iCs/>
          <w:szCs w:val="22"/>
        </w:rPr>
        <w:t xml:space="preserve"> </w:t>
      </w:r>
      <w:r w:rsidRPr="008B7274">
        <w:rPr>
          <w:iCs/>
          <w:szCs w:val="22"/>
        </w:rPr>
        <w:t>To request the Panel to report on the assessment referred to above to the Open</w:t>
      </w:r>
      <w:r w:rsidRPr="008B7274">
        <w:rPr>
          <w:rFonts w:ascii="MS Mincho" w:hAnsi="MS Mincho" w:cs="MS Mincho"/>
          <w:iCs/>
          <w:szCs w:val="22"/>
        </w:rPr>
        <w:t>‑</w:t>
      </w:r>
      <w:r w:rsidRPr="008B7274">
        <w:rPr>
          <w:iCs/>
          <w:szCs w:val="22"/>
        </w:rPr>
        <w:t>ended Working Group at its thirty-ninth meeting, in 2017;</w:t>
      </w:r>
    </w:p>
    <w:p w14:paraId="6C0F6DCE" w14:textId="77777777" w:rsidR="005B7B41" w:rsidRDefault="005B7B41" w:rsidP="006A713F">
      <w:pPr>
        <w:ind w:left="990" w:hanging="270"/>
        <w:rPr>
          <w:iCs/>
          <w:szCs w:val="22"/>
        </w:rPr>
      </w:pPr>
      <w:r w:rsidRPr="008B7274">
        <w:rPr>
          <w:iCs/>
          <w:szCs w:val="22"/>
        </w:rPr>
        <w:t>3.</w:t>
      </w:r>
      <w:r>
        <w:rPr>
          <w:iCs/>
          <w:szCs w:val="22"/>
        </w:rPr>
        <w:t xml:space="preserve"> </w:t>
      </w:r>
      <w:r w:rsidRPr="008B7274">
        <w:rPr>
          <w:iCs/>
          <w:szCs w:val="22"/>
        </w:rPr>
        <w:t>To invite parties to provide relevant information to the Ozone Secretariat by 15 March 2017 for inclusion in the Panel’s assessment;</w:t>
      </w:r>
    </w:p>
    <w:p w14:paraId="26F4689B" w14:textId="79CE631B" w:rsidR="005B7B41" w:rsidRPr="00965A15" w:rsidRDefault="005B7B41" w:rsidP="006A713F">
      <w:pPr>
        <w:rPr>
          <w:szCs w:val="22"/>
        </w:rPr>
      </w:pPr>
      <w:r>
        <w:rPr>
          <w:szCs w:val="22"/>
        </w:rPr>
        <w:lastRenderedPageBreak/>
        <w:t>To respond to Decision XXVIII/8, TEAP</w:t>
      </w:r>
      <w:r w:rsidRPr="00965A15">
        <w:rPr>
          <w:szCs w:val="22"/>
        </w:rPr>
        <w:t xml:space="preserve"> </w:t>
      </w:r>
      <w:r>
        <w:rPr>
          <w:szCs w:val="22"/>
        </w:rPr>
        <w:t>continued to collect relevant information including the information provided by parties, contained in the Annex to this chapter, and updated the Decision XXVII/5 assessment where needed.  The effort was conducted primarily electronically</w:t>
      </w:r>
      <w:r w:rsidRPr="00965A15">
        <w:rPr>
          <w:szCs w:val="22"/>
        </w:rPr>
        <w:t xml:space="preserve">. </w:t>
      </w:r>
      <w:r>
        <w:rPr>
          <w:szCs w:val="22"/>
        </w:rPr>
        <w:t xml:space="preserve"> Some preliminary information and findings were presented and discussed </w:t>
      </w:r>
      <w:r w:rsidRPr="00965A15">
        <w:rPr>
          <w:szCs w:val="22"/>
        </w:rPr>
        <w:t xml:space="preserve">at the TEAP meeting, </w:t>
      </w:r>
      <w:r>
        <w:rPr>
          <w:szCs w:val="22"/>
        </w:rPr>
        <w:t>1-5 May 2017</w:t>
      </w:r>
      <w:r w:rsidRPr="00965A15">
        <w:rPr>
          <w:szCs w:val="22"/>
        </w:rPr>
        <w:t xml:space="preserve">, in </w:t>
      </w:r>
      <w:r>
        <w:rPr>
          <w:szCs w:val="22"/>
        </w:rPr>
        <w:t>Kyoto, Japan</w:t>
      </w:r>
      <w:r w:rsidR="006804DF">
        <w:rPr>
          <w:szCs w:val="22"/>
        </w:rPr>
        <w:t>.</w:t>
      </w:r>
      <w:r>
        <w:rPr>
          <w:szCs w:val="22"/>
        </w:rPr>
        <w:t xml:space="preserve"> A</w:t>
      </w:r>
      <w:r w:rsidRPr="00965A15">
        <w:rPr>
          <w:szCs w:val="22"/>
        </w:rPr>
        <w:t xml:space="preserve"> final draft </w:t>
      </w:r>
      <w:r>
        <w:rPr>
          <w:szCs w:val="22"/>
        </w:rPr>
        <w:t xml:space="preserve">was included as a separate chapter of the TEAP Progress Report, which was sent </w:t>
      </w:r>
      <w:r w:rsidRPr="00965A15">
        <w:rPr>
          <w:szCs w:val="22"/>
        </w:rPr>
        <w:t>to UNE</w:t>
      </w:r>
      <w:r w:rsidR="00274196">
        <w:rPr>
          <w:szCs w:val="22"/>
        </w:rPr>
        <w:t>P</w:t>
      </w:r>
      <w:r w:rsidRPr="00965A15">
        <w:rPr>
          <w:szCs w:val="22"/>
        </w:rPr>
        <w:t xml:space="preserve">’s Ozone Secretariat, </w:t>
      </w:r>
      <w:r>
        <w:rPr>
          <w:szCs w:val="22"/>
        </w:rPr>
        <w:t>in the latter part of May 2017</w:t>
      </w:r>
      <w:r w:rsidRPr="00965A15">
        <w:rPr>
          <w:szCs w:val="22"/>
        </w:rPr>
        <w:t>.</w:t>
      </w:r>
    </w:p>
    <w:p w14:paraId="095DC406" w14:textId="04ED300C" w:rsidR="005B7B41" w:rsidRPr="00EF2D3A" w:rsidRDefault="004C71DF" w:rsidP="00413E4A">
      <w:pPr>
        <w:pStyle w:val="Heading2"/>
      </w:pPr>
      <w:bookmarkStart w:id="250" w:name="_Toc452992670"/>
      <w:bookmarkStart w:id="251" w:name="_Toc484164391"/>
      <w:r>
        <w:t>7.2.</w:t>
      </w:r>
      <w:r>
        <w:tab/>
      </w:r>
      <w:r w:rsidR="005B7B41">
        <w:t xml:space="preserve">Update for </w:t>
      </w:r>
      <w:r w:rsidR="005B7B41" w:rsidRPr="00EF2D3A">
        <w:t xml:space="preserve">HCFC production for </w:t>
      </w:r>
      <w:bookmarkEnd w:id="250"/>
      <w:r w:rsidR="005B7B41">
        <w:t>BDN</w:t>
      </w:r>
      <w:bookmarkEnd w:id="251"/>
    </w:p>
    <w:p w14:paraId="6D35D91E" w14:textId="77777777" w:rsidR="005B7B41" w:rsidRDefault="005B7B41" w:rsidP="006A713F">
      <w:pPr>
        <w:rPr>
          <w:szCs w:val="22"/>
          <w:lang w:val="en-US"/>
        </w:rPr>
      </w:pPr>
      <w:r>
        <w:rPr>
          <w:szCs w:val="22"/>
          <w:lang w:val="en-US"/>
        </w:rPr>
        <w:t>I</w:t>
      </w:r>
      <w:r w:rsidRPr="008F2E7A">
        <w:rPr>
          <w:szCs w:val="22"/>
          <w:lang w:val="en-US"/>
        </w:rPr>
        <w:t xml:space="preserve">t </w:t>
      </w:r>
      <w:r>
        <w:rPr>
          <w:szCs w:val="22"/>
          <w:lang w:val="en-US"/>
        </w:rPr>
        <w:t xml:space="preserve">seems </w:t>
      </w:r>
      <w:r w:rsidRPr="008F2E7A">
        <w:rPr>
          <w:szCs w:val="22"/>
          <w:lang w:val="en-US"/>
        </w:rPr>
        <w:t xml:space="preserve">unlikely that significant quantities, if any, of HCFCs produced in non-Article 5 </w:t>
      </w:r>
      <w:r>
        <w:rPr>
          <w:szCs w:val="22"/>
          <w:lang w:val="en-US"/>
        </w:rPr>
        <w:t>p</w:t>
      </w:r>
      <w:r w:rsidRPr="008F2E7A">
        <w:rPr>
          <w:szCs w:val="22"/>
          <w:lang w:val="en-US"/>
        </w:rPr>
        <w:t xml:space="preserve">arties would be required to meet </w:t>
      </w:r>
      <w:r>
        <w:rPr>
          <w:szCs w:val="22"/>
          <w:lang w:val="en-US"/>
        </w:rPr>
        <w:t>BDNs</w:t>
      </w:r>
      <w:r w:rsidRPr="008F2E7A">
        <w:rPr>
          <w:szCs w:val="22"/>
          <w:lang w:val="en-US"/>
        </w:rPr>
        <w:t xml:space="preserve"> of Article 5 </w:t>
      </w:r>
      <w:r>
        <w:rPr>
          <w:szCs w:val="22"/>
          <w:lang w:val="en-US"/>
        </w:rPr>
        <w:t>p</w:t>
      </w:r>
      <w:r w:rsidRPr="008F2E7A">
        <w:rPr>
          <w:szCs w:val="22"/>
          <w:lang w:val="en-US"/>
        </w:rPr>
        <w:t xml:space="preserve">arties. </w:t>
      </w:r>
      <w:r>
        <w:rPr>
          <w:szCs w:val="22"/>
          <w:lang w:val="en-US"/>
        </w:rPr>
        <w:t xml:space="preserve">No new information as derived from the data presented in the 2016 Decision XXVII/5 report, based upon (1) Article 7 consumption data reporting, (2) Country Program data and (3) HPMP derived consumption data, has become available. This implies that, as far as can be concluded at present, Montreal Protocol allowed Article 5 HCFC production could satisfy Article 5 HCFC consumption for the year 2020 and several years beyond. </w:t>
      </w:r>
    </w:p>
    <w:p w14:paraId="45D743EB" w14:textId="77777777" w:rsidR="005B7B41" w:rsidRPr="00965A15" w:rsidRDefault="005B7B41" w:rsidP="006A713F">
      <w:pPr>
        <w:rPr>
          <w:szCs w:val="22"/>
          <w:lang w:val="en-US"/>
        </w:rPr>
      </w:pPr>
      <w:r w:rsidRPr="00726BDF">
        <w:rPr>
          <w:szCs w:val="22"/>
        </w:rPr>
        <w:t xml:space="preserve">TEAP </w:t>
      </w:r>
      <w:r>
        <w:rPr>
          <w:szCs w:val="22"/>
        </w:rPr>
        <w:t xml:space="preserve">is of the opinion that inclusion of one additional year of data does not change its previous assessment.  </w:t>
      </w:r>
    </w:p>
    <w:p w14:paraId="6E555720" w14:textId="43C516CF" w:rsidR="005B7B41" w:rsidRPr="00426A6A" w:rsidRDefault="004C71DF" w:rsidP="00413E4A">
      <w:pPr>
        <w:pStyle w:val="Heading2"/>
      </w:pPr>
      <w:bookmarkStart w:id="252" w:name="_Toc484164392"/>
      <w:r>
        <w:t>7.3.</w:t>
      </w:r>
      <w:r>
        <w:tab/>
      </w:r>
      <w:r w:rsidR="005B7B41">
        <w:t xml:space="preserve">Update on </w:t>
      </w:r>
      <w:r w:rsidR="00610FED">
        <w:t>s</w:t>
      </w:r>
      <w:r w:rsidR="005B7B41">
        <w:t xml:space="preserve">ervicing </w:t>
      </w:r>
      <w:r w:rsidR="00610FED">
        <w:t>n</w:t>
      </w:r>
      <w:r w:rsidR="005B7B41">
        <w:t xml:space="preserve">eeds and </w:t>
      </w:r>
      <w:r w:rsidR="00610FED">
        <w:t>e</w:t>
      </w:r>
      <w:r w:rsidR="005B7B41">
        <w:t xml:space="preserve">ssential </w:t>
      </w:r>
      <w:r w:rsidR="00610FED">
        <w:t>u</w:t>
      </w:r>
      <w:r w:rsidR="005B7B41">
        <w:t>ses</w:t>
      </w:r>
      <w:bookmarkEnd w:id="252"/>
    </w:p>
    <w:p w14:paraId="5AFC4EC6" w14:textId="5E9171F5" w:rsidR="005B7B41" w:rsidRDefault="004C71DF" w:rsidP="00413E4A">
      <w:pPr>
        <w:pStyle w:val="Heading3"/>
      </w:pPr>
      <w:bookmarkStart w:id="253" w:name="_Toc484164393"/>
      <w:bookmarkStart w:id="254" w:name="_Toc452992663"/>
      <w:bookmarkStart w:id="255" w:name="_Toc452992662"/>
      <w:r>
        <w:t>7.3.1.</w:t>
      </w:r>
      <w:r>
        <w:tab/>
      </w:r>
      <w:r w:rsidR="005B7B41">
        <w:t>Fire protection</w:t>
      </w:r>
      <w:bookmarkEnd w:id="253"/>
      <w:r w:rsidR="005B7B41">
        <w:t xml:space="preserve"> </w:t>
      </w:r>
    </w:p>
    <w:p w14:paraId="1C66EE5A" w14:textId="7DBD0D6C" w:rsidR="005B7B41" w:rsidRPr="00457AEF" w:rsidRDefault="005B7B41" w:rsidP="006A713F">
      <w:r>
        <w:rPr>
          <w:szCs w:val="22"/>
        </w:rPr>
        <w:t>There is n</w:t>
      </w:r>
      <w:r w:rsidRPr="00726BDF">
        <w:rPr>
          <w:szCs w:val="22"/>
        </w:rPr>
        <w:t>o change from the Decision XXVII/5 report</w:t>
      </w:r>
      <w:r>
        <w:rPr>
          <w:szCs w:val="22"/>
        </w:rPr>
        <w:t xml:space="preserve">.  </w:t>
      </w:r>
      <w:r w:rsidRPr="00845C1C">
        <w:rPr>
          <w:szCs w:val="22"/>
        </w:rPr>
        <w:t xml:space="preserve">TEAP and its </w:t>
      </w:r>
      <w:r>
        <w:rPr>
          <w:szCs w:val="22"/>
        </w:rPr>
        <w:t>Halons Technical Options Committee</w:t>
      </w:r>
      <w:r w:rsidRPr="00845C1C">
        <w:rPr>
          <w:szCs w:val="22"/>
        </w:rPr>
        <w:t xml:space="preserve"> </w:t>
      </w:r>
      <w:r>
        <w:rPr>
          <w:szCs w:val="22"/>
        </w:rPr>
        <w:t xml:space="preserve">estimate </w:t>
      </w:r>
      <w:r w:rsidRPr="00845C1C">
        <w:rPr>
          <w:szCs w:val="22"/>
        </w:rPr>
        <w:t xml:space="preserve">that (as an upper limit for planning purposes and to assess impacts </w:t>
      </w:r>
      <w:r>
        <w:rPr>
          <w:szCs w:val="22"/>
        </w:rPr>
        <w:t xml:space="preserve">on </w:t>
      </w:r>
      <w:r w:rsidRPr="00845C1C">
        <w:rPr>
          <w:szCs w:val="22"/>
        </w:rPr>
        <w:t>the environment) volumes of HCFC-123</w:t>
      </w:r>
      <w:r w:rsidR="00274196">
        <w:rPr>
          <w:rStyle w:val="FootnoteReference"/>
          <w:szCs w:val="22"/>
        </w:rPr>
        <w:footnoteReference w:id="19"/>
      </w:r>
      <w:r w:rsidRPr="00845C1C">
        <w:rPr>
          <w:szCs w:val="22"/>
        </w:rPr>
        <w:t xml:space="preserve"> not exceed</w:t>
      </w:r>
      <w:r>
        <w:rPr>
          <w:szCs w:val="22"/>
        </w:rPr>
        <w:t>ing</w:t>
      </w:r>
      <w:r w:rsidRPr="00845C1C">
        <w:rPr>
          <w:szCs w:val="22"/>
        </w:rPr>
        <w:t xml:space="preserve"> 750 tonnes annually in non-Article 5 parties </w:t>
      </w:r>
      <w:r>
        <w:rPr>
          <w:szCs w:val="22"/>
        </w:rPr>
        <w:t xml:space="preserve">could be needed to meet requirements </w:t>
      </w:r>
      <w:r w:rsidRPr="00845C1C">
        <w:rPr>
          <w:szCs w:val="22"/>
        </w:rPr>
        <w:t xml:space="preserve">(combined with the </w:t>
      </w:r>
      <w:r>
        <w:rPr>
          <w:szCs w:val="22"/>
        </w:rPr>
        <w:t xml:space="preserve">potential </w:t>
      </w:r>
      <w:r w:rsidRPr="00845C1C">
        <w:rPr>
          <w:szCs w:val="22"/>
        </w:rPr>
        <w:t>amount</w:t>
      </w:r>
      <w:r>
        <w:rPr>
          <w:szCs w:val="22"/>
        </w:rPr>
        <w:t>s</w:t>
      </w:r>
      <w:r w:rsidRPr="00845C1C">
        <w:rPr>
          <w:szCs w:val="22"/>
        </w:rPr>
        <w:t xml:space="preserve"> required for servicing, this would imply a </w:t>
      </w:r>
      <w:r>
        <w:rPr>
          <w:szCs w:val="22"/>
        </w:rPr>
        <w:t xml:space="preserve">total </w:t>
      </w:r>
      <w:r w:rsidRPr="00845C1C">
        <w:rPr>
          <w:szCs w:val="22"/>
        </w:rPr>
        <w:t>consumption of about 900 tonnes annually of HCFC-123 or, almost 20 ODP tonnes</w:t>
      </w:r>
      <w:r>
        <w:rPr>
          <w:szCs w:val="22"/>
        </w:rPr>
        <w:t>)</w:t>
      </w:r>
      <w:r w:rsidRPr="00845C1C">
        <w:rPr>
          <w:szCs w:val="22"/>
        </w:rPr>
        <w:t>.</w:t>
      </w:r>
    </w:p>
    <w:p w14:paraId="33D2C62B" w14:textId="0CCDBF31" w:rsidR="005B7B41" w:rsidRDefault="004C71DF" w:rsidP="00413E4A">
      <w:pPr>
        <w:pStyle w:val="Heading3"/>
      </w:pPr>
      <w:bookmarkStart w:id="256" w:name="_Toc484164394"/>
      <w:r>
        <w:t>7.3.2.</w:t>
      </w:r>
      <w:r>
        <w:tab/>
      </w:r>
      <w:r w:rsidR="005B7B41">
        <w:t>Foams</w:t>
      </w:r>
      <w:bookmarkEnd w:id="254"/>
      <w:bookmarkEnd w:id="256"/>
    </w:p>
    <w:p w14:paraId="3809206F" w14:textId="48F35FD9" w:rsidR="005B7B41" w:rsidRPr="00624E86" w:rsidRDefault="005B7B41" w:rsidP="006A713F">
      <w:r>
        <w:t>There is n</w:t>
      </w:r>
      <w:r w:rsidRPr="00624E86">
        <w:t>o change from the Decision XXVII/5 report.</w:t>
      </w:r>
      <w:r>
        <w:t xml:space="preserve">  </w:t>
      </w:r>
      <w:r w:rsidRPr="00457AEF">
        <w:t xml:space="preserve">TEAP and its </w:t>
      </w:r>
      <w:r>
        <w:t>F</w:t>
      </w:r>
      <w:r w:rsidR="006804DF">
        <w:t>TOC</w:t>
      </w:r>
      <w:r>
        <w:t xml:space="preserve"> </w:t>
      </w:r>
      <w:r w:rsidRPr="00457AEF">
        <w:t>have not been able to identify any uses that could qualify as potentially essential after 2020</w:t>
      </w:r>
      <w:r>
        <w:t>.</w:t>
      </w:r>
    </w:p>
    <w:p w14:paraId="512E20BC" w14:textId="31241136" w:rsidR="005B7B41" w:rsidRDefault="004C71DF" w:rsidP="00413E4A">
      <w:pPr>
        <w:pStyle w:val="Heading3"/>
      </w:pPr>
      <w:bookmarkStart w:id="257" w:name="_Toc484164395"/>
      <w:r>
        <w:t>7.3.3.</w:t>
      </w:r>
      <w:r>
        <w:tab/>
      </w:r>
      <w:r w:rsidR="00AB65FA">
        <w:t>R</w:t>
      </w:r>
      <w:r w:rsidR="005B7B41">
        <w:t>AC</w:t>
      </w:r>
      <w:bookmarkEnd w:id="255"/>
      <w:bookmarkEnd w:id="257"/>
    </w:p>
    <w:p w14:paraId="71AAA10A" w14:textId="665EA8C3" w:rsidR="005B7B41" w:rsidRDefault="005B7B41" w:rsidP="006A713F">
      <w:pPr>
        <w:rPr>
          <w:szCs w:val="22"/>
          <w:lang w:val="en-US"/>
        </w:rPr>
      </w:pPr>
      <w:r>
        <w:rPr>
          <w:szCs w:val="22"/>
        </w:rPr>
        <w:t>The Decision XXVII/5 report finding remains unchanged that very spec</w:t>
      </w:r>
      <w:r w:rsidR="00AB65FA">
        <w:rPr>
          <w:szCs w:val="22"/>
        </w:rPr>
        <w:t>ific small (yet unidentified) R</w:t>
      </w:r>
      <w:r>
        <w:rPr>
          <w:szCs w:val="22"/>
        </w:rPr>
        <w:t xml:space="preserve">AC uses in niche applications could be potentially essential (satisfying the criteria in IV/25).  </w:t>
      </w:r>
      <w:r>
        <w:rPr>
          <w:szCs w:val="22"/>
          <w:lang w:val="en-US"/>
        </w:rPr>
        <w:t>While it remains difficult to draw conclusions related to specific servicing needs beyond 2020, q</w:t>
      </w:r>
      <w:r w:rsidRPr="002B027C">
        <w:rPr>
          <w:szCs w:val="22"/>
          <w:lang w:val="en-US"/>
        </w:rPr>
        <w:t xml:space="preserve">uantities of newly produced </w:t>
      </w:r>
      <w:r>
        <w:rPr>
          <w:szCs w:val="22"/>
          <w:lang w:val="en-US"/>
        </w:rPr>
        <w:t xml:space="preserve">HCFC-123 and certain </w:t>
      </w:r>
      <w:r w:rsidRPr="002B027C">
        <w:rPr>
          <w:szCs w:val="22"/>
          <w:lang w:val="en-US"/>
        </w:rPr>
        <w:t>HCFCs</w:t>
      </w:r>
      <w:r>
        <w:rPr>
          <w:szCs w:val="22"/>
          <w:lang w:val="en-US"/>
        </w:rPr>
        <w:t xml:space="preserve"> for R/AC blends</w:t>
      </w:r>
      <w:r w:rsidRPr="002B027C">
        <w:rPr>
          <w:szCs w:val="22"/>
          <w:lang w:val="en-US"/>
        </w:rPr>
        <w:t xml:space="preserve"> </w:t>
      </w:r>
      <w:r>
        <w:rPr>
          <w:szCs w:val="22"/>
          <w:lang w:val="en-US"/>
        </w:rPr>
        <w:t>may</w:t>
      </w:r>
      <w:r w:rsidRPr="002B027C">
        <w:rPr>
          <w:szCs w:val="22"/>
          <w:lang w:val="en-US"/>
        </w:rPr>
        <w:t xml:space="preserve"> be required </w:t>
      </w:r>
      <w:r>
        <w:rPr>
          <w:szCs w:val="22"/>
          <w:lang w:val="en-US"/>
        </w:rPr>
        <w:t xml:space="preserve">in non-A5 parties </w:t>
      </w:r>
      <w:r w:rsidRPr="002B027C">
        <w:rPr>
          <w:szCs w:val="22"/>
          <w:lang w:val="en-US"/>
        </w:rPr>
        <w:t>for the period 2020-2030</w:t>
      </w:r>
      <w:r>
        <w:rPr>
          <w:szCs w:val="22"/>
          <w:lang w:val="en-US"/>
        </w:rPr>
        <w:t xml:space="preserve"> (and beyond), where recycling is not practical (due to resulting compositional changes to the blend), existing installed equipment is critical, and flammable refrigerants may not be suitable as alternatives (such as in some military applications)</w:t>
      </w:r>
      <w:r>
        <w:rPr>
          <w:rStyle w:val="FootnoteReference"/>
          <w:szCs w:val="22"/>
          <w:lang w:val="en-US"/>
        </w:rPr>
        <w:footnoteReference w:id="20"/>
      </w:r>
      <w:r>
        <w:rPr>
          <w:szCs w:val="22"/>
          <w:lang w:val="en-US"/>
        </w:rPr>
        <w:t xml:space="preserve">.  </w:t>
      </w:r>
      <w:r>
        <w:rPr>
          <w:szCs w:val="22"/>
        </w:rPr>
        <w:t xml:space="preserve">However, after 2030, </w:t>
      </w:r>
      <w:r>
        <w:rPr>
          <w:szCs w:val="22"/>
          <w:lang w:val="en-US"/>
        </w:rPr>
        <w:t xml:space="preserve">when the 0.5% servicing tail </w:t>
      </w:r>
      <w:r>
        <w:rPr>
          <w:szCs w:val="22"/>
          <w:lang w:val="en-US"/>
        </w:rPr>
        <w:lastRenderedPageBreak/>
        <w:t xml:space="preserve">is no longer available for non-A5 parties, </w:t>
      </w:r>
      <w:r>
        <w:rPr>
          <w:szCs w:val="22"/>
        </w:rPr>
        <w:t xml:space="preserve">it is possible that </w:t>
      </w:r>
      <w:r w:rsidRPr="00036BBF">
        <w:rPr>
          <w:szCs w:val="22"/>
          <w:lang w:val="en-US"/>
        </w:rPr>
        <w:t xml:space="preserve">newly produced HCFCs </w:t>
      </w:r>
      <w:r>
        <w:rPr>
          <w:szCs w:val="22"/>
          <w:lang w:val="en-US"/>
        </w:rPr>
        <w:t xml:space="preserve">may be needed to service existing equipment that use HCFC-123 or HCFC blends in very specific critical applications, although this is not yet clear. The </w:t>
      </w:r>
      <w:r w:rsidRPr="002B027C">
        <w:rPr>
          <w:szCs w:val="22"/>
          <w:lang w:val="en-US"/>
        </w:rPr>
        <w:t xml:space="preserve">source of supply </w:t>
      </w:r>
      <w:r>
        <w:rPr>
          <w:szCs w:val="22"/>
          <w:lang w:val="en-US"/>
        </w:rPr>
        <w:t xml:space="preserve">of </w:t>
      </w:r>
      <w:r w:rsidRPr="002B027C">
        <w:rPr>
          <w:szCs w:val="22"/>
          <w:lang w:val="en-US"/>
        </w:rPr>
        <w:t xml:space="preserve">servicing requirements </w:t>
      </w:r>
      <w:r>
        <w:rPr>
          <w:szCs w:val="22"/>
          <w:lang w:val="en-US"/>
        </w:rPr>
        <w:t xml:space="preserve">for pure, non-blended HCFC fluids could potentially come </w:t>
      </w:r>
      <w:r w:rsidRPr="002B027C">
        <w:rPr>
          <w:szCs w:val="22"/>
          <w:lang w:val="en-US"/>
        </w:rPr>
        <w:t xml:space="preserve">from recycled and reclaimed material from existing RAC </w:t>
      </w:r>
      <w:r>
        <w:rPr>
          <w:szCs w:val="22"/>
          <w:lang w:val="en-US"/>
        </w:rPr>
        <w:t xml:space="preserve">and fire protection </w:t>
      </w:r>
      <w:r w:rsidRPr="002B027C">
        <w:rPr>
          <w:szCs w:val="22"/>
          <w:lang w:val="en-US"/>
        </w:rPr>
        <w:t>equipment</w:t>
      </w:r>
      <w:r>
        <w:rPr>
          <w:szCs w:val="22"/>
          <w:lang w:val="en-US"/>
        </w:rPr>
        <w:t xml:space="preserve"> reaching end of life post 2020</w:t>
      </w:r>
      <w:r w:rsidRPr="002B027C">
        <w:rPr>
          <w:szCs w:val="22"/>
          <w:lang w:val="en-US"/>
        </w:rPr>
        <w:t xml:space="preserve">. </w:t>
      </w:r>
    </w:p>
    <w:p w14:paraId="39F0E72E" w14:textId="5D5C04D0" w:rsidR="005B7B41" w:rsidRDefault="004C71DF" w:rsidP="00413E4A">
      <w:pPr>
        <w:pStyle w:val="Heading3"/>
      </w:pPr>
      <w:bookmarkStart w:id="258" w:name="_Toc484164396"/>
      <w:r>
        <w:t>7.3.4.</w:t>
      </w:r>
      <w:r>
        <w:tab/>
      </w:r>
      <w:r w:rsidR="005B7B41">
        <w:t>Medical applications and chemical sectors</w:t>
      </w:r>
      <w:bookmarkEnd w:id="258"/>
    </w:p>
    <w:p w14:paraId="6F16C3C3" w14:textId="77777777" w:rsidR="00AB65FA" w:rsidRPr="00656E7D" w:rsidRDefault="00AB65FA" w:rsidP="006A713F">
      <w:r w:rsidRPr="00656E7D">
        <w:t xml:space="preserve">MCTOC reviewed the potential sectors and sub-sectors where essential uses of HCFCs for Parties not operating under Article 5 may be needed after 2020. At present, MCTOC considers that essential uses for non-Article 5 parties are likely to be required for laboratory and analytical uses, for example to be used as analytical standards for the measurement of atmospheric levels of HCFCs, and for the research into and development of new substances. For example, the European Union reports the following laboratory and analytical uses that may continue to require HCFCs post-2020 due to slow progress in moving to alternatives. </w:t>
      </w:r>
    </w:p>
    <w:p w14:paraId="576108D9" w14:textId="77777777" w:rsidR="00AB65FA" w:rsidRPr="00AB65FA" w:rsidRDefault="00AB65FA" w:rsidP="006A713F">
      <w:pPr>
        <w:pStyle w:val="ListParagraph"/>
        <w:numPr>
          <w:ilvl w:val="0"/>
          <w:numId w:val="71"/>
        </w:numPr>
        <w:ind w:firstLineChars="0"/>
        <w:jc w:val="left"/>
        <w:rPr>
          <w:rFonts w:ascii="Times New Roman" w:hAnsi="Times New Roman"/>
          <w:sz w:val="22"/>
        </w:rPr>
      </w:pPr>
      <w:r w:rsidRPr="00AB65FA">
        <w:rPr>
          <w:rFonts w:ascii="Times New Roman" w:hAnsi="Times New Roman"/>
          <w:sz w:val="22"/>
        </w:rPr>
        <w:t xml:space="preserve">Reference chemical (in analytical methods) e.g. HCFC-21, HCFC-22, HCFC-31, HCFC-122, HCFC-123, HCFC-124, HCFC-133, HCFC-141b, HCFC-142b, HCFC-151a, HCFC-233; </w:t>
      </w:r>
    </w:p>
    <w:p w14:paraId="409D5429" w14:textId="77777777" w:rsidR="00AB65FA" w:rsidRPr="00AB65FA" w:rsidRDefault="00AB65FA" w:rsidP="006A713F">
      <w:pPr>
        <w:pStyle w:val="ListParagraph"/>
        <w:numPr>
          <w:ilvl w:val="0"/>
          <w:numId w:val="71"/>
        </w:numPr>
        <w:ind w:firstLineChars="0"/>
        <w:jc w:val="left"/>
        <w:rPr>
          <w:rFonts w:ascii="Times New Roman" w:hAnsi="Times New Roman"/>
          <w:sz w:val="22"/>
        </w:rPr>
      </w:pPr>
      <w:r w:rsidRPr="00AB65FA">
        <w:rPr>
          <w:rFonts w:ascii="Times New Roman" w:hAnsi="Times New Roman"/>
          <w:sz w:val="22"/>
        </w:rPr>
        <w:t xml:space="preserve">Feedstock (reagent in laboratory chemical synthesis) e.g. HCFC-22, HCFC-242, HCFC -252; </w:t>
      </w:r>
    </w:p>
    <w:p w14:paraId="6EB26EE0" w14:textId="77777777" w:rsidR="00AB65FA" w:rsidRPr="00AB65FA" w:rsidRDefault="00AB65FA" w:rsidP="006A713F">
      <w:pPr>
        <w:pStyle w:val="ListParagraph"/>
        <w:numPr>
          <w:ilvl w:val="0"/>
          <w:numId w:val="71"/>
        </w:numPr>
        <w:ind w:firstLineChars="0"/>
        <w:jc w:val="left"/>
        <w:rPr>
          <w:rFonts w:ascii="Times New Roman" w:hAnsi="Times New Roman"/>
          <w:sz w:val="22"/>
        </w:rPr>
      </w:pPr>
      <w:r w:rsidRPr="00AB65FA">
        <w:rPr>
          <w:rFonts w:ascii="Times New Roman" w:hAnsi="Times New Roman"/>
          <w:sz w:val="22"/>
        </w:rPr>
        <w:t xml:space="preserve">Solvent (inert solvent in laboratory chemical synthesis) e.g. HCFC-31; </w:t>
      </w:r>
    </w:p>
    <w:p w14:paraId="4E547A3D" w14:textId="77777777" w:rsidR="00AB65FA" w:rsidRPr="00AB65FA" w:rsidRDefault="00AB65FA" w:rsidP="006A713F">
      <w:pPr>
        <w:pStyle w:val="ListParagraph"/>
        <w:numPr>
          <w:ilvl w:val="0"/>
          <w:numId w:val="71"/>
        </w:numPr>
        <w:ind w:firstLineChars="0"/>
        <w:jc w:val="left"/>
        <w:rPr>
          <w:rFonts w:ascii="Times New Roman" w:hAnsi="Times New Roman"/>
          <w:sz w:val="22"/>
        </w:rPr>
      </w:pPr>
      <w:r w:rsidRPr="00AB65FA">
        <w:rPr>
          <w:rFonts w:ascii="Times New Roman" w:hAnsi="Times New Roman"/>
          <w:sz w:val="22"/>
        </w:rPr>
        <w:t xml:space="preserve">Reference chemical (in toxicological studies) e.g. HCFC-21; </w:t>
      </w:r>
    </w:p>
    <w:p w14:paraId="19E26189" w14:textId="77777777" w:rsidR="00AB65FA" w:rsidRPr="00AB65FA" w:rsidRDefault="00AB65FA" w:rsidP="006A713F">
      <w:pPr>
        <w:pStyle w:val="ListParagraph"/>
        <w:numPr>
          <w:ilvl w:val="0"/>
          <w:numId w:val="71"/>
        </w:numPr>
        <w:ind w:firstLineChars="0"/>
        <w:jc w:val="left"/>
        <w:rPr>
          <w:rFonts w:ascii="Times New Roman" w:hAnsi="Times New Roman"/>
          <w:sz w:val="22"/>
        </w:rPr>
      </w:pPr>
      <w:r w:rsidRPr="00AB65FA">
        <w:rPr>
          <w:rFonts w:ascii="Times New Roman" w:hAnsi="Times New Roman"/>
          <w:sz w:val="22"/>
        </w:rPr>
        <w:t xml:space="preserve">ODS as a component in samples to be tested. </w:t>
      </w:r>
    </w:p>
    <w:p w14:paraId="7624DD87" w14:textId="77777777" w:rsidR="00AB65FA" w:rsidRDefault="00AB65FA" w:rsidP="0015746F">
      <w:pPr>
        <w:spacing w:after="0"/>
      </w:pPr>
    </w:p>
    <w:p w14:paraId="1CC48369" w14:textId="77777777" w:rsidR="00AB65FA" w:rsidRPr="00656E7D" w:rsidRDefault="00AB65FA" w:rsidP="006A713F">
      <w:r w:rsidRPr="00656E7D">
        <w:t>The quantity of HCFCs imported and produced in the European Union for these laboratory and analytical uses is, and will most likely remain, below 1 ODP tonne</w:t>
      </w:r>
      <w:r w:rsidRPr="00656E7D">
        <w:footnoteReference w:id="21"/>
      </w:r>
      <w:r w:rsidRPr="00656E7D">
        <w:t xml:space="preserve">. </w:t>
      </w:r>
    </w:p>
    <w:p w14:paraId="39F2274A" w14:textId="77777777" w:rsidR="00AB65FA" w:rsidRPr="00656E7D" w:rsidRDefault="00AB65FA" w:rsidP="006A713F">
      <w:r w:rsidRPr="00656E7D">
        <w:t xml:space="preserve">It is possible that some other niche solvent applications, such as aerospace or military, might also require small quantities of HCFCs, potentially to service existing equipment (e.g. HCFC-122, -122a, -141b, -225). For example, HCFC-225 replaced CFC-113 in precision cleaning and cleanliness verification of sensitive equipment, such as oxygen systems, in aerospace applications. HCFO-1233zd has undergone successful laboratory testing for this application, but for at least one important user there is currently no on-going production of large systems that would allow the proving of the efficacy of this solvent in the actual conditions of use. If HCFO-1233zd or other alternatives, such as HFEs, fail to demonstrate adequate performance, the application would need to continue to use HCFC-225 (or the original CFC-113). It is estimated that this application would require small quantities, possibly in the order of 10s of tonnes annually (i.e., in the order of 1 ODP tonne). Parties may identify these and other potential uses as the phase-out approaches and bring them to the MOP for consideration as essential uses by the parties. It would be unlikely for all such HCFC solvent uses to exceed several hundred metric tonnes (i.e., several ODP tonnes) in total per year. However this is not yet clear, or whether any quantities would be available and suitable from stockpile or recycled sources. </w:t>
      </w:r>
    </w:p>
    <w:p w14:paraId="19DA1B0D" w14:textId="77777777" w:rsidR="00AB65FA" w:rsidRPr="00656E7D" w:rsidRDefault="00AB65FA" w:rsidP="006A713F">
      <w:r w:rsidRPr="00656E7D">
        <w:t xml:space="preserve">MCTOC has become aware of several manufacturing processes that are currently using HCFCs as solvents in processes that might be considered similar to process agent uses, and </w:t>
      </w:r>
      <w:r w:rsidRPr="00656E7D">
        <w:lastRenderedPageBreak/>
        <w:t xml:space="preserve">potentially impacted by the 2020 phase out in HCFC production and consumption. Known applications include processes using HCFC-141b and HCFC-225 as solvents. They are used either as reaction solvents or solvents for extractive distillation. The total known use of HCFCs as solvents in such processes is around 100 tonnes. Alternative processes not using HCFCs are under development for each of these known processes, and expected to be completed by 2020. However some uncertainties still remain, with feasibility studies not yet finished, and customer evaluation of the new products still underway. </w:t>
      </w:r>
    </w:p>
    <w:p w14:paraId="5F4C7B0B" w14:textId="4959943B" w:rsidR="00AB65FA" w:rsidRPr="009427BE" w:rsidRDefault="00AB65FA" w:rsidP="006A713F">
      <w:pPr>
        <w:rPr>
          <w:i/>
        </w:rPr>
      </w:pPr>
      <w:r w:rsidRPr="00656E7D">
        <w:t xml:space="preserve">Parties may be aware of other such uses of HCFCs although none (including those aforementioned) have been reported under decision XXII/8 (3), which states </w:t>
      </w:r>
      <w:r w:rsidRPr="009427BE">
        <w:rPr>
          <w:i/>
        </w:rPr>
        <w:t>“To request each party to report to the Ozone Secretariat, by 15 March 2011, if possible, or 1 July 2011 at the latest, the specific applications for which it uses controlled substances as process agents and to continue to report such information in the context of the annual repo</w:t>
      </w:r>
      <w:r>
        <w:rPr>
          <w:i/>
        </w:rPr>
        <w:t>rts required by decision X/14;”</w:t>
      </w:r>
    </w:p>
    <w:p w14:paraId="14192D1D" w14:textId="77777777" w:rsidR="00AB65FA" w:rsidRPr="00656E7D" w:rsidRDefault="00AB65FA" w:rsidP="006A713F">
      <w:r w:rsidRPr="00656E7D">
        <w:t xml:space="preserve">Parties have made a range of decisions relating to the use of controlled substances as process agents. These decisions were taken as a consequence of the control measures under Article 2 and the essential use decision IV/25 in the mid-1990s, and notably in relation to ODS such as CFCs and CTC. In 1994, TEAP had been unable to recommend production and consumption under essential use exemptions for these uses under decision IV/25. Decision VI/10 sought to clarify the situation after some Parties had interpreted use of controlled substances in certain applications, where they were used as process agents, as feedstock applications, while other Parties had interpreted similar applications as use and thereby subject to phase-out. </w:t>
      </w:r>
    </w:p>
    <w:p w14:paraId="24E47C64" w14:textId="77777777" w:rsidR="00AB65FA" w:rsidRPr="00656E7D" w:rsidRDefault="00AB65FA" w:rsidP="006A713F">
      <w:r w:rsidRPr="00656E7D">
        <w:t>Decision X/14(7) states “That Parties should not install or commission new plant using controlled substances as process agents after 30 June 1999, unless the Meeting of the Parties has decided that the use in question meets the criteria for essential uses under decision IV/25;”</w:t>
      </w:r>
    </w:p>
    <w:p w14:paraId="6C84CD69" w14:textId="77777777" w:rsidR="00AB65FA" w:rsidRPr="00656E7D" w:rsidRDefault="00AB65FA" w:rsidP="006A713F">
      <w:r w:rsidRPr="00656E7D">
        <w:t xml:space="preserve">Decision XVII/6(4) states </w:t>
      </w:r>
      <w:r w:rsidRPr="009427BE">
        <w:rPr>
          <w:i/>
        </w:rPr>
        <w:t>“Where Parties install or commission new plant after 30 June 1999, using controlled substances as process agents, to request Parties to submit their applications to the Ozone Secretariat and the Technology and Economic Assessment Panel by 31 December 2006, and by 31 December every subsequent year or otherwise in a timely manner that allows the Technology and Economic Assessment Panel to conduct an appropriate analysis, for consideration subject to the criteria for essential uses under decision IV/25, in accordance with paragraph 7 of decision X/14;”</w:t>
      </w:r>
    </w:p>
    <w:p w14:paraId="3DC9211E" w14:textId="77777777" w:rsidR="00AB65FA" w:rsidRPr="00656E7D" w:rsidRDefault="00AB65FA" w:rsidP="006A713F">
      <w:r w:rsidRPr="00656E7D">
        <w:t>The essential use decision IV/25 relates to controlled substances for the purposes of the control measures in Article 2 of the Protocol, with an exemption authorised by Parties allowing the production and consumption of controlled substa</w:t>
      </w:r>
      <w:r>
        <w:t>nces after their mandated phase</w:t>
      </w:r>
      <w:r w:rsidRPr="00656E7D">
        <w:t xml:space="preserve">out under Article 2. </w:t>
      </w:r>
    </w:p>
    <w:p w14:paraId="68084BFF" w14:textId="77777777" w:rsidR="00AB65FA" w:rsidRPr="00656E7D" w:rsidRDefault="00AB65FA" w:rsidP="006A713F">
      <w:r w:rsidRPr="00656E7D">
        <w:t xml:space="preserve">These decisions (IV/25, X/14(7) and XVII/6(4)) refer to controlled substances generally and do not explicitly exclude HCFCs. Taken together, these decisions require that, from 1999 onwards, Parties should not install or commission new plant using controlled substances as process agents, including HCFCs, unless Parties have agreed that they meet the essential use criteria under decision IV/25. No new plant applications using HCFCs have been referred for consideration, and no existing HCFC uses have been reported under decision XXII/8 (3). </w:t>
      </w:r>
    </w:p>
    <w:p w14:paraId="21585626" w14:textId="77777777" w:rsidR="00AB65FA" w:rsidRPr="00AB65FA" w:rsidRDefault="00AB65FA" w:rsidP="006A713F">
      <w:pPr>
        <w:rPr>
          <w:b/>
        </w:rPr>
      </w:pPr>
      <w:r w:rsidRPr="00AB65FA">
        <w:rPr>
          <w:b/>
        </w:rPr>
        <w:t xml:space="preserve">Parties may wish to clarify whether they know of other such solvent uses of HCFCs in processes that might be considered similar to process </w:t>
      </w:r>
      <w:proofErr w:type="gramStart"/>
      <w:r w:rsidRPr="00AB65FA">
        <w:rPr>
          <w:b/>
        </w:rPr>
        <w:t>agents</w:t>
      </w:r>
      <w:proofErr w:type="gramEnd"/>
      <w:r w:rsidRPr="00AB65FA">
        <w:rPr>
          <w:b/>
        </w:rPr>
        <w:t xml:space="preserve"> uses. </w:t>
      </w:r>
    </w:p>
    <w:p w14:paraId="54EDA17B" w14:textId="77777777" w:rsidR="00AB65FA" w:rsidRPr="00AB65FA" w:rsidRDefault="00AB65FA" w:rsidP="006A713F">
      <w:pPr>
        <w:rPr>
          <w:b/>
        </w:rPr>
      </w:pPr>
      <w:r w:rsidRPr="00AB65FA">
        <w:rPr>
          <w:b/>
        </w:rPr>
        <w:t xml:space="preserve">Parties may also wish to clarify how to treat any existing HCFCs solvent uses in processes that are similar to process agent uses in relation to the 2020 control measures under Article 2. </w:t>
      </w:r>
    </w:p>
    <w:p w14:paraId="40F463A0" w14:textId="77777777" w:rsidR="00AB65FA" w:rsidRDefault="00AB65FA" w:rsidP="006A713F">
      <w:r w:rsidRPr="00656E7D">
        <w:lastRenderedPageBreak/>
        <w:t xml:space="preserve">Sterilants and aerosols uses will almost certainly not require any production of HCFCs for essential uses in non-Article 5 parties. There are a variety of technically and economically feasible alternatives to the use of HCFCs in sterilization and aerosols, making them unlikely to be justifiable as an essential use in non-Article 5 parties. </w:t>
      </w:r>
    </w:p>
    <w:p w14:paraId="516C0E38" w14:textId="49D6C969" w:rsidR="005B7B41" w:rsidRPr="0062091A" w:rsidRDefault="005B7B41" w:rsidP="00413E4A">
      <w:pPr>
        <w:pStyle w:val="Heading2"/>
      </w:pPr>
      <w:bookmarkStart w:id="259" w:name="_Toc484164397"/>
      <w:r w:rsidRPr="0062091A">
        <w:t>A</w:t>
      </w:r>
      <w:r w:rsidR="007C3101">
        <w:t>nnex</w:t>
      </w:r>
      <w:r w:rsidRPr="0062091A">
        <w:t xml:space="preserve"> </w:t>
      </w:r>
      <w:r w:rsidR="009C7E14" w:rsidRPr="0062091A">
        <w:t>2</w:t>
      </w:r>
      <w:r w:rsidR="00AA1A8F">
        <w:t>:</w:t>
      </w:r>
      <w:r w:rsidR="0060093C">
        <w:tab/>
      </w:r>
      <w:r w:rsidR="009C7E14" w:rsidRPr="0062091A">
        <w:t xml:space="preserve"> P</w:t>
      </w:r>
      <w:r w:rsidRPr="0062091A">
        <w:t>arties</w:t>
      </w:r>
      <w:r w:rsidR="00610FED" w:rsidRPr="0062091A">
        <w:t>’</w:t>
      </w:r>
      <w:r w:rsidRPr="0062091A">
        <w:t xml:space="preserve"> submissions</w:t>
      </w:r>
      <w:r w:rsidR="009C7E14" w:rsidRPr="0062091A">
        <w:t xml:space="preserve"> in response to Decision XXVIII/8</w:t>
      </w:r>
      <w:bookmarkEnd w:id="259"/>
    </w:p>
    <w:p w14:paraId="18560A6B" w14:textId="65F83F76" w:rsidR="008350E2" w:rsidRPr="000C45FA" w:rsidRDefault="000D6BA0" w:rsidP="008350E2">
      <w:pPr>
        <w:rPr>
          <w:sz w:val="28"/>
          <w:szCs w:val="28"/>
        </w:rPr>
      </w:pPr>
      <w:r w:rsidRPr="000D6BA0">
        <w:rPr>
          <w:szCs w:val="22"/>
        </w:rPr>
        <w:t>TEAP appreciates the responses it has received to date from Armenia, Bangladesh, European Union, Jamaica, Japan, Mauritius, Mexico and the US, and has incorporated the information where appropriate into this assessment. The substantive parts of parties’ submissions have been compiled in a separate document, in pdf format. The document, posted at the same time as this report, can be found on the website of the Ozone Secretariat at the following link</w:t>
      </w:r>
      <w:proofErr w:type="gramStart"/>
      <w:r w:rsidRPr="000D6BA0">
        <w:rPr>
          <w:szCs w:val="22"/>
        </w:rPr>
        <w:t>:</w:t>
      </w:r>
      <w:proofErr w:type="gramEnd"/>
      <w:r>
        <w:rPr>
          <w:szCs w:val="22"/>
        </w:rPr>
        <w:br/>
      </w:r>
      <w:hyperlink r:id="rId86" w:history="1">
        <w:r w:rsidR="00D54787" w:rsidRPr="00A54BB4">
          <w:rPr>
            <w:rStyle w:val="Hyperlink"/>
            <w:szCs w:val="22"/>
          </w:rPr>
          <w:t>http://conf.montreal-protocol.org/meeting/oewg/oewg-39/presession/background-documents/annex2-to-TEAP-progress-report-May2017.pdf</w:t>
        </w:r>
      </w:hyperlink>
    </w:p>
    <w:p w14:paraId="7A9766DA" w14:textId="77777777" w:rsidR="00851B0C" w:rsidRPr="00FD4EE9" w:rsidRDefault="00851B0C">
      <w:pPr>
        <w:spacing w:after="0"/>
      </w:pPr>
      <w:r w:rsidRPr="00FD4EE9">
        <w:br w:type="page"/>
      </w:r>
    </w:p>
    <w:p w14:paraId="684A4D0C" w14:textId="5F496132" w:rsidR="00A64E06" w:rsidRDefault="00A64E06" w:rsidP="00413E4A">
      <w:pPr>
        <w:pStyle w:val="Heading1"/>
        <w:rPr>
          <w:rStyle w:val="Heading1Char2"/>
          <w:rFonts w:ascii="Times New Roman" w:hAnsi="Times New Roman"/>
        </w:rPr>
      </w:pPr>
      <w:bookmarkStart w:id="260" w:name="_Toc484164398"/>
      <w:r>
        <w:rPr>
          <w:rStyle w:val="Heading1Char2"/>
          <w:rFonts w:ascii="Times New Roman" w:hAnsi="Times New Roman"/>
        </w:rPr>
        <w:lastRenderedPageBreak/>
        <w:t xml:space="preserve">8 </w:t>
      </w:r>
      <w:r w:rsidR="0062091A">
        <w:rPr>
          <w:rStyle w:val="Heading1Char2"/>
          <w:rFonts w:ascii="Times New Roman" w:hAnsi="Times New Roman"/>
        </w:rPr>
        <w:tab/>
      </w:r>
      <w:r>
        <w:rPr>
          <w:rStyle w:val="Heading1Char2"/>
          <w:rFonts w:ascii="Times New Roman" w:hAnsi="Times New Roman"/>
        </w:rPr>
        <w:t>Other TEAP matters</w:t>
      </w:r>
      <w:bookmarkEnd w:id="260"/>
    </w:p>
    <w:p w14:paraId="6FCFEA2F" w14:textId="224AA082" w:rsidR="00A64E06" w:rsidRPr="002B7818" w:rsidRDefault="00A64E06" w:rsidP="00413E4A">
      <w:pPr>
        <w:pStyle w:val="Heading2"/>
      </w:pPr>
      <w:bookmarkStart w:id="261" w:name="_Toc354502660"/>
      <w:bookmarkStart w:id="262" w:name="_Toc388648371"/>
      <w:bookmarkStart w:id="263" w:name="_Toc295406179"/>
      <w:bookmarkStart w:id="264" w:name="_Toc484164399"/>
      <w:r>
        <w:t>8</w:t>
      </w:r>
      <w:r w:rsidRPr="002B7818">
        <w:t>.1</w:t>
      </w:r>
      <w:r w:rsidRPr="002B7818">
        <w:tab/>
      </w:r>
      <w:bookmarkEnd w:id="261"/>
      <w:bookmarkEnd w:id="262"/>
      <w:bookmarkEnd w:id="263"/>
      <w:r w:rsidR="00177452">
        <w:t>TEAP and TOCs organisation</w:t>
      </w:r>
      <w:bookmarkEnd w:id="264"/>
    </w:p>
    <w:p w14:paraId="5E36CA68" w14:textId="723274AF" w:rsidR="00523E05" w:rsidRDefault="00177452" w:rsidP="006A71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color w:val="auto"/>
          <w:szCs w:val="22"/>
        </w:rPr>
      </w:pPr>
      <w:r w:rsidRPr="00177452">
        <w:rPr>
          <w:szCs w:val="22"/>
        </w:rPr>
        <w:t>As indicated in Annex 1, TEAP currently includes 18 members</w:t>
      </w:r>
      <w:r>
        <w:rPr>
          <w:szCs w:val="22"/>
        </w:rPr>
        <w:t xml:space="preserve"> including 4 Senior Experts</w:t>
      </w:r>
      <w:r w:rsidRPr="00177452">
        <w:rPr>
          <w:szCs w:val="22"/>
        </w:rPr>
        <w:t xml:space="preserve"> and </w:t>
      </w:r>
      <w:r>
        <w:rPr>
          <w:szCs w:val="22"/>
        </w:rPr>
        <w:t>nearly</w:t>
      </w:r>
      <w:r w:rsidRPr="00177452">
        <w:rPr>
          <w:szCs w:val="22"/>
        </w:rPr>
        <w:t xml:space="preserve"> 150</w:t>
      </w:r>
      <w:r>
        <w:rPr>
          <w:szCs w:val="22"/>
        </w:rPr>
        <w:t xml:space="preserve"> experts</w:t>
      </w:r>
      <w:r w:rsidRPr="00177452">
        <w:rPr>
          <w:szCs w:val="22"/>
        </w:rPr>
        <w:t xml:space="preserve"> who serve on its </w:t>
      </w:r>
      <w:r>
        <w:rPr>
          <w:szCs w:val="22"/>
        </w:rPr>
        <w:t>five</w:t>
      </w:r>
      <w:r w:rsidRPr="00177452">
        <w:rPr>
          <w:szCs w:val="22"/>
        </w:rPr>
        <w:t xml:space="preserve"> TOCs. </w:t>
      </w:r>
      <w:r w:rsidRPr="00177452">
        <w:rPr>
          <w:color w:val="auto"/>
          <w:szCs w:val="22"/>
        </w:rPr>
        <w:t xml:space="preserve">In TEAP’s Decision XXIV/8 Task Force Report (May 2013), TOCs membership numbers in the 2014-2018 period were anticipated to remain the same or decrease from the 2013-2014 period due to anticipated attrition during the 2014 reappointment process; the exception to this was RTOC which was </w:t>
      </w:r>
      <w:r w:rsidR="00440F61">
        <w:rPr>
          <w:color w:val="auto"/>
          <w:szCs w:val="22"/>
        </w:rPr>
        <w:t>predicted</w:t>
      </w:r>
      <w:r w:rsidRPr="00177452">
        <w:rPr>
          <w:color w:val="auto"/>
          <w:szCs w:val="22"/>
        </w:rPr>
        <w:t xml:space="preserve"> to retain or increase its previous membership numbers based on anticipated workload. Annex 1 of this report provides updated TOC membership lists, which include the start dates and current terms of appointment for all members. </w:t>
      </w:r>
    </w:p>
    <w:p w14:paraId="5F42E1BF" w14:textId="664576FB" w:rsidR="00177452" w:rsidRPr="00177452" w:rsidRDefault="00177452" w:rsidP="006A71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color w:val="auto"/>
          <w:szCs w:val="22"/>
        </w:rPr>
      </w:pPr>
      <w:r>
        <w:rPr>
          <w:color w:val="auto"/>
          <w:szCs w:val="22"/>
        </w:rPr>
        <w:br/>
      </w:r>
      <w:r w:rsidR="00440F61">
        <w:rPr>
          <w:color w:val="auto"/>
          <w:szCs w:val="22"/>
        </w:rPr>
        <w:t xml:space="preserve">During this </w:t>
      </w:r>
      <w:r w:rsidR="00440F61" w:rsidRPr="00177452">
        <w:rPr>
          <w:color w:val="auto"/>
          <w:szCs w:val="22"/>
        </w:rPr>
        <w:t>30</w:t>
      </w:r>
      <w:r w:rsidR="00440F61" w:rsidRPr="00177452">
        <w:rPr>
          <w:color w:val="auto"/>
          <w:szCs w:val="22"/>
          <w:vertAlign w:val="superscript"/>
        </w:rPr>
        <w:t>th</w:t>
      </w:r>
      <w:r w:rsidR="00440F61" w:rsidRPr="00177452">
        <w:rPr>
          <w:color w:val="auto"/>
          <w:szCs w:val="22"/>
        </w:rPr>
        <w:t xml:space="preserve"> Anniversary</w:t>
      </w:r>
      <w:r w:rsidR="00440F61">
        <w:rPr>
          <w:color w:val="auto"/>
          <w:szCs w:val="22"/>
        </w:rPr>
        <w:t xml:space="preserve"> year</w:t>
      </w:r>
      <w:r w:rsidR="00440F61" w:rsidRPr="00177452">
        <w:rPr>
          <w:color w:val="auto"/>
          <w:szCs w:val="22"/>
        </w:rPr>
        <w:t xml:space="preserve"> of the Montreal Protocol, TEAP </w:t>
      </w:r>
      <w:r w:rsidR="00440F61">
        <w:rPr>
          <w:color w:val="auto"/>
          <w:szCs w:val="22"/>
        </w:rPr>
        <w:t xml:space="preserve">recognises and is </w:t>
      </w:r>
      <w:r w:rsidR="00440F61" w:rsidRPr="00177452">
        <w:rPr>
          <w:color w:val="auto"/>
          <w:szCs w:val="22"/>
        </w:rPr>
        <w:t xml:space="preserve">grateful for the voluntary service of the TEAP and TOCs members, past and present, and their </w:t>
      </w:r>
      <w:r w:rsidR="00440F61">
        <w:rPr>
          <w:color w:val="auto"/>
          <w:szCs w:val="22"/>
        </w:rPr>
        <w:t xml:space="preserve">substantial </w:t>
      </w:r>
      <w:r w:rsidR="00440F61" w:rsidRPr="00177452">
        <w:rPr>
          <w:color w:val="auto"/>
          <w:szCs w:val="22"/>
        </w:rPr>
        <w:t>contributions to the successful protection of the ozone layer. TEAP looks forward to the contributions of continuing and new members to the TOCs in the 2018 assessment report period</w:t>
      </w:r>
      <w:r w:rsidRPr="00177452">
        <w:rPr>
          <w:color w:val="auto"/>
          <w:szCs w:val="22"/>
        </w:rPr>
        <w:t xml:space="preserve">. </w:t>
      </w:r>
    </w:p>
    <w:p w14:paraId="23DB540D" w14:textId="77777777" w:rsidR="00177452" w:rsidRPr="00177452" w:rsidRDefault="00177452" w:rsidP="006A71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color w:val="auto"/>
          <w:szCs w:val="22"/>
        </w:rPr>
      </w:pPr>
    </w:p>
    <w:p w14:paraId="006A6CC4" w14:textId="30342D46" w:rsidR="00A64E06" w:rsidRPr="00177452" w:rsidRDefault="00177452" w:rsidP="006A71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color w:val="auto"/>
          <w:szCs w:val="22"/>
        </w:rPr>
      </w:pPr>
      <w:r w:rsidRPr="00177452">
        <w:rPr>
          <w:color w:val="auto"/>
          <w:szCs w:val="22"/>
        </w:rPr>
        <w:t>In addition to the above update, TEAP takes the opportunity in this report to bring to the attention of the Parties specific issues relevant for particular TOCs:</w:t>
      </w:r>
    </w:p>
    <w:p w14:paraId="0DDB4970" w14:textId="28AD71DD" w:rsidR="00A64E06" w:rsidRDefault="00A64E06" w:rsidP="00413E4A">
      <w:pPr>
        <w:pStyle w:val="Heading3"/>
      </w:pPr>
      <w:bookmarkStart w:id="265" w:name="_Toc388648372"/>
      <w:bookmarkStart w:id="266" w:name="_Toc295406180"/>
      <w:bookmarkStart w:id="267" w:name="_Toc484164400"/>
      <w:r>
        <w:t>8.1.1</w:t>
      </w:r>
      <w:r>
        <w:tab/>
        <w:t>FTOC</w:t>
      </w:r>
      <w:bookmarkEnd w:id="265"/>
      <w:bookmarkEnd w:id="266"/>
      <w:bookmarkEnd w:id="267"/>
    </w:p>
    <w:p w14:paraId="55BB5FC3" w14:textId="54375ACC" w:rsidR="00A64E06" w:rsidRDefault="00523E05" w:rsidP="006A71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color w:val="auto"/>
        </w:rPr>
      </w:pPr>
      <w:r>
        <w:rPr>
          <w:color w:val="auto"/>
        </w:rPr>
        <w:t xml:space="preserve">Following the simultaneous resignation of the co-chairs, TEAP co-chair Ashley Woodcock has acted as interim co-chair through 2016/17. Paulo Altoe (Brazil) has been appointed as A5 co-chair since 1 January 2017. FTOC </w:t>
      </w:r>
      <w:r w:rsidR="00642375">
        <w:rPr>
          <w:color w:val="auto"/>
        </w:rPr>
        <w:t>had a successful meeting</w:t>
      </w:r>
      <w:r>
        <w:rPr>
          <w:color w:val="auto"/>
        </w:rPr>
        <w:t xml:space="preserve"> in Manchester in March 2017</w:t>
      </w:r>
      <w:r w:rsidR="00642375">
        <w:rPr>
          <w:color w:val="auto"/>
        </w:rPr>
        <w:t>, concurrently with MCTOC, which enabled cross-cutting discussions. FTOC</w:t>
      </w:r>
      <w:r>
        <w:rPr>
          <w:color w:val="auto"/>
        </w:rPr>
        <w:t xml:space="preserve"> has produced Progress Reports for 2016 and 2017 and members have participated in the responses to Decision XXVIII/5 on replenishment and Decision XXVIII/8 on phaseout of HCFCs. It is anticipated that a new non-A5 co-chair could be identified </w:t>
      </w:r>
      <w:r w:rsidR="00642375">
        <w:rPr>
          <w:color w:val="auto"/>
        </w:rPr>
        <w:t>in 2017 for appointment</w:t>
      </w:r>
      <w:r>
        <w:rPr>
          <w:color w:val="auto"/>
        </w:rPr>
        <w:t xml:space="preserve"> in 2018. In addition to the interim co-chair, FTOC has 22 members (9 from A5 parties and 13 from non-A5 parties). Five new members have been appointed in the last 12 months, and two members have retired</w:t>
      </w:r>
      <w:r w:rsidR="002A4E6F">
        <w:rPr>
          <w:color w:val="auto"/>
        </w:rPr>
        <w:t>.</w:t>
      </w:r>
    </w:p>
    <w:p w14:paraId="1055AF9B" w14:textId="591EBF81" w:rsidR="00A64E06" w:rsidRDefault="00A64E06" w:rsidP="00413E4A">
      <w:pPr>
        <w:pStyle w:val="Heading3"/>
      </w:pPr>
      <w:bookmarkStart w:id="268" w:name="_Toc388648377"/>
      <w:bookmarkStart w:id="269" w:name="_Toc295406182"/>
      <w:bookmarkStart w:id="270" w:name="_Toc484164401"/>
      <w:r>
        <w:t>8.1.2</w:t>
      </w:r>
      <w:r>
        <w:tab/>
        <w:t>HTOC</w:t>
      </w:r>
      <w:bookmarkEnd w:id="268"/>
      <w:bookmarkEnd w:id="269"/>
      <w:bookmarkEnd w:id="270"/>
    </w:p>
    <w:p w14:paraId="508AC6B6" w14:textId="11A020EF" w:rsidR="00452299" w:rsidRDefault="00452299" w:rsidP="006A713F">
      <w:pPr>
        <w:rPr>
          <w:b/>
          <w:u w:val="single"/>
        </w:rPr>
      </w:pPr>
      <w:r>
        <w:t>Two memb</w:t>
      </w:r>
      <w:r w:rsidR="00523E05">
        <w:t>ers and co-chair Dave Catchpole</w:t>
      </w:r>
      <w:r>
        <w:t xml:space="preserve"> </w:t>
      </w:r>
      <w:r w:rsidR="00523E05">
        <w:t>(U</w:t>
      </w:r>
      <w:r>
        <w:t>K</w:t>
      </w:r>
      <w:r w:rsidR="00523E05">
        <w:t>)</w:t>
      </w:r>
      <w:r>
        <w:t xml:space="preserve"> retired at the end of 2016.  Three new members and one new Consulting Expert have been added to the HTOC in 2017:  Ms. Laura Green, </w:t>
      </w:r>
      <w:r w:rsidR="00C948A7">
        <w:t>(</w:t>
      </w:r>
      <w:r w:rsidR="0070607D">
        <w:t>US</w:t>
      </w:r>
      <w:r w:rsidR="00C948A7">
        <w:t>)</w:t>
      </w:r>
      <w:r>
        <w:t xml:space="preserve"> to provide expertise in fire protection in the oil and gas sector (lost with the retirement of Mr. David Catchpole); Dr. R.P. Singh, </w:t>
      </w:r>
      <w:r w:rsidR="00C948A7">
        <w:t>(</w:t>
      </w:r>
      <w:r>
        <w:t>India</w:t>
      </w:r>
      <w:r w:rsidR="00C948A7">
        <w:t>)</w:t>
      </w:r>
      <w:r>
        <w:t xml:space="preserve"> (to continue regional expertise that was lost with the retirement of </w:t>
      </w:r>
      <w:r w:rsidRPr="00EE65F8">
        <w:t>Mr. H.S. Kaprwan</w:t>
      </w:r>
      <w:r>
        <w:t xml:space="preserve">), and Ms. Elvira Nigido, Australia, and Ms. Pat Burns, </w:t>
      </w:r>
      <w:r w:rsidR="00C948A7">
        <w:t>(U</w:t>
      </w:r>
      <w:r>
        <w:t>S</w:t>
      </w:r>
      <w:r w:rsidR="00C948A7">
        <w:t>)</w:t>
      </w:r>
      <w:r>
        <w:t xml:space="preserve"> to increase the HTOC expertise in international supplies and banking of halons and alternatives.  </w:t>
      </w:r>
    </w:p>
    <w:p w14:paraId="6B7CE4EB" w14:textId="426120B0" w:rsidR="00A64E06" w:rsidRDefault="00A64E06" w:rsidP="00413E4A">
      <w:pPr>
        <w:pStyle w:val="Heading3"/>
      </w:pPr>
      <w:bookmarkStart w:id="271" w:name="_Toc484164402"/>
      <w:bookmarkStart w:id="272" w:name="_Toc388648378"/>
      <w:bookmarkStart w:id="273" w:name="_Toc295406183"/>
      <w:r>
        <w:t>8.1.3</w:t>
      </w:r>
      <w:r>
        <w:tab/>
        <w:t>MBTOC</w:t>
      </w:r>
      <w:bookmarkEnd w:id="271"/>
    </w:p>
    <w:p w14:paraId="0BDA2D1C" w14:textId="256AD0B3" w:rsidR="00E16716" w:rsidRPr="00125841" w:rsidRDefault="00E16716" w:rsidP="006A713F">
      <w:r>
        <w:rPr>
          <w:lang w:val="en-US" w:eastAsia="en-US"/>
        </w:rPr>
        <w:t xml:space="preserve">MBTOC membership is at a historical low with 16 members (including one economist), but still it retains the required expertise in soils, structures and commodities and QPS to complete the current tasks. Nevertheless, MBTOC is still seeking </w:t>
      </w:r>
      <w:r w:rsidR="00440F61">
        <w:rPr>
          <w:lang w:val="en-US" w:eastAsia="en-US"/>
        </w:rPr>
        <w:t xml:space="preserve">to recruit </w:t>
      </w:r>
      <w:r>
        <w:rPr>
          <w:lang w:val="en-US" w:eastAsia="en-US"/>
        </w:rPr>
        <w:t>experts for the nursery industries, particularly a</w:t>
      </w:r>
      <w:r w:rsidR="00440F61">
        <w:rPr>
          <w:lang w:val="en-US" w:eastAsia="en-US"/>
        </w:rPr>
        <w:t>n</w:t>
      </w:r>
      <w:r>
        <w:rPr>
          <w:lang w:val="en-US" w:eastAsia="en-US"/>
        </w:rPr>
        <w:t xml:space="preserve"> </w:t>
      </w:r>
      <w:r w:rsidR="00440F61">
        <w:rPr>
          <w:lang w:val="en-US" w:eastAsia="en-US"/>
        </w:rPr>
        <w:t>expert</w:t>
      </w:r>
      <w:r>
        <w:rPr>
          <w:lang w:val="en-US" w:eastAsia="en-US"/>
        </w:rPr>
        <w:t xml:space="preserve"> having a clear understanding of issues affecting the strawberry runner industries globally.</w:t>
      </w:r>
    </w:p>
    <w:p w14:paraId="059F1123" w14:textId="002C7D2A" w:rsidR="00A64E06" w:rsidRDefault="00A64E06" w:rsidP="00413E4A">
      <w:pPr>
        <w:pStyle w:val="Heading3"/>
      </w:pPr>
      <w:bookmarkStart w:id="274" w:name="_Toc484164403"/>
      <w:r>
        <w:lastRenderedPageBreak/>
        <w:t>8.1.4</w:t>
      </w:r>
      <w:r>
        <w:tab/>
        <w:t>MCTOC</w:t>
      </w:r>
      <w:bookmarkEnd w:id="274"/>
    </w:p>
    <w:p w14:paraId="4BA3DD0E" w14:textId="68642E23" w:rsidR="00F75FC5" w:rsidRPr="00F75FC5" w:rsidRDefault="00F75FC5" w:rsidP="006A713F">
      <w:r>
        <w:rPr>
          <w:color w:val="auto"/>
        </w:rPr>
        <w:t>The new MCTOC, which combines sectoral topics from the old CTOC and MTOC, has been functioning now for more than one year. Chemicals and medical (inhalers) members met together for MCTOC’s inaugural meeting in 2016. Chemicals and aerosols members only met in 2017, without medical (inhalers) members. A full meeting of members will again be held in 2018 in the assessment year. The exception is sterilants members, who continue to participate solely via correspondence. In readiness for its assignments, MCTOC co-chairs have been working to recruit new experts in areas of chemicals manufacturing, solvents, and sterilants, and continues to seek new experts in destruction technologies, laboratory and analytical uses, aerosols and inhalers. The two-year term of Helen Tope (Australia) as MCTOC co-chair is due to conclude in 2017.</w:t>
      </w:r>
    </w:p>
    <w:p w14:paraId="40C34AA4" w14:textId="15292724" w:rsidR="00A64E06" w:rsidRDefault="00A64E06" w:rsidP="00413E4A">
      <w:pPr>
        <w:pStyle w:val="Heading3"/>
      </w:pPr>
      <w:bookmarkStart w:id="275" w:name="_Toc484164404"/>
      <w:r>
        <w:t>8.1.5</w:t>
      </w:r>
      <w:r>
        <w:tab/>
        <w:t>RTOC</w:t>
      </w:r>
      <w:bookmarkEnd w:id="275"/>
      <w:r w:rsidRPr="00A64E06">
        <w:t xml:space="preserve"> </w:t>
      </w:r>
    </w:p>
    <w:p w14:paraId="00D046AB" w14:textId="02AB086B" w:rsidR="00A64E06" w:rsidRDefault="00A64E06" w:rsidP="006A713F">
      <w:pPr>
        <w:widowControl w:val="0"/>
        <w:autoSpaceDE w:val="0"/>
        <w:autoSpaceDN w:val="0"/>
        <w:adjustRightInd w:val="0"/>
        <w:spacing w:after="0"/>
        <w:rPr>
          <w:color w:val="auto"/>
          <w:szCs w:val="22"/>
          <w:lang w:val="en-US" w:eastAsia="en-US"/>
        </w:rPr>
      </w:pPr>
      <w:r>
        <w:rPr>
          <w:color w:val="auto"/>
          <w:szCs w:val="22"/>
          <w:lang w:val="en-US" w:eastAsia="en-US"/>
        </w:rPr>
        <w:t>Rob</w:t>
      </w:r>
      <w:r w:rsidR="0013442A">
        <w:rPr>
          <w:color w:val="auto"/>
          <w:szCs w:val="22"/>
          <w:lang w:val="en-US" w:eastAsia="en-US"/>
        </w:rPr>
        <w:t>erto Peixoto and Fabio Polonara</w:t>
      </w:r>
      <w:r>
        <w:rPr>
          <w:color w:val="auto"/>
          <w:szCs w:val="22"/>
          <w:lang w:val="en-US" w:eastAsia="en-US"/>
        </w:rPr>
        <w:t xml:space="preserve"> are co-chairs of RTOC after Lambert Kuijpers stepped down as co-chair after 30 years of outstanding service. He continues to support RTOC with his experience and competence as a member.</w:t>
      </w:r>
    </w:p>
    <w:p w14:paraId="766EA039" w14:textId="77777777" w:rsidR="0013442A" w:rsidRDefault="0013442A" w:rsidP="006A713F">
      <w:pPr>
        <w:widowControl w:val="0"/>
        <w:autoSpaceDE w:val="0"/>
        <w:autoSpaceDN w:val="0"/>
        <w:adjustRightInd w:val="0"/>
        <w:spacing w:after="0"/>
        <w:rPr>
          <w:color w:val="auto"/>
          <w:szCs w:val="22"/>
          <w:lang w:val="en-US" w:eastAsia="en-US"/>
        </w:rPr>
      </w:pPr>
    </w:p>
    <w:p w14:paraId="71D362B9" w14:textId="37DE36B6" w:rsidR="0013442A" w:rsidRDefault="00A64E06" w:rsidP="006A713F">
      <w:pPr>
        <w:widowControl w:val="0"/>
        <w:autoSpaceDE w:val="0"/>
        <w:autoSpaceDN w:val="0"/>
        <w:adjustRightInd w:val="0"/>
        <w:spacing w:after="0"/>
        <w:rPr>
          <w:color w:val="auto"/>
          <w:szCs w:val="22"/>
          <w:lang w:val="en-US" w:eastAsia="en-US"/>
        </w:rPr>
      </w:pPr>
      <w:r>
        <w:rPr>
          <w:color w:val="auto"/>
          <w:szCs w:val="22"/>
          <w:lang w:val="en-US" w:eastAsia="en-US"/>
        </w:rPr>
        <w:t xml:space="preserve">RTOC met annually over the last two years, and will move to two meetings per year in 2017 and 2018, to prepare the 2018 Assessment report. </w:t>
      </w:r>
      <w:r w:rsidRPr="00E5540A">
        <w:rPr>
          <w:color w:val="auto"/>
          <w:szCs w:val="22"/>
          <w:lang w:val="en-US" w:eastAsia="en-US"/>
        </w:rPr>
        <w:t xml:space="preserve">The RTOC has </w:t>
      </w:r>
      <w:r>
        <w:rPr>
          <w:color w:val="auto"/>
          <w:szCs w:val="22"/>
          <w:lang w:val="en-US" w:eastAsia="en-US"/>
        </w:rPr>
        <w:t xml:space="preserve">38 </w:t>
      </w:r>
      <w:r w:rsidRPr="00E5540A">
        <w:rPr>
          <w:color w:val="auto"/>
          <w:szCs w:val="22"/>
          <w:lang w:val="en-US" w:eastAsia="en-US"/>
        </w:rPr>
        <w:t xml:space="preserve">experts nominated from </w:t>
      </w:r>
      <w:r>
        <w:rPr>
          <w:color w:val="auto"/>
          <w:szCs w:val="22"/>
          <w:lang w:val="en-US" w:eastAsia="en-US"/>
        </w:rPr>
        <w:t>20</w:t>
      </w:r>
      <w:r w:rsidRPr="00E5540A">
        <w:rPr>
          <w:color w:val="auto"/>
          <w:szCs w:val="22"/>
          <w:lang w:val="en-US" w:eastAsia="en-US"/>
        </w:rPr>
        <w:t xml:space="preserve"> </w:t>
      </w:r>
      <w:r>
        <w:rPr>
          <w:color w:val="auto"/>
          <w:szCs w:val="22"/>
          <w:lang w:val="en-US" w:eastAsia="en-US"/>
        </w:rPr>
        <w:t>p</w:t>
      </w:r>
      <w:r w:rsidRPr="00E5540A">
        <w:rPr>
          <w:color w:val="auto"/>
          <w:szCs w:val="22"/>
          <w:lang w:val="en-US" w:eastAsia="en-US"/>
        </w:rPr>
        <w:t>arties</w:t>
      </w:r>
      <w:r>
        <w:rPr>
          <w:color w:val="auto"/>
          <w:szCs w:val="22"/>
          <w:lang w:val="en-US" w:eastAsia="en-US"/>
        </w:rPr>
        <w:t xml:space="preserve"> (14 members from A5 parties, 24 from non-A5 parties). Over the last two years, RTOC appointed 5 new members to meet the evolving need for specific expertise. </w:t>
      </w:r>
      <w:r w:rsidR="0013442A">
        <w:rPr>
          <w:color w:val="auto"/>
          <w:szCs w:val="22"/>
          <w:lang w:val="en-US" w:eastAsia="en-US"/>
        </w:rPr>
        <w:br/>
      </w:r>
    </w:p>
    <w:p w14:paraId="62E5B902" w14:textId="1D22AFC1" w:rsidR="007A2694" w:rsidRPr="00E4327F" w:rsidRDefault="00A64E06" w:rsidP="006A713F">
      <w:pPr>
        <w:rPr>
          <w:color w:val="auto"/>
          <w:szCs w:val="22"/>
          <w:lang w:val="en-US" w:eastAsia="en-US"/>
        </w:rPr>
      </w:pPr>
      <w:r>
        <w:rPr>
          <w:color w:val="auto"/>
          <w:szCs w:val="22"/>
          <w:lang w:val="en-US" w:eastAsia="en-US"/>
        </w:rPr>
        <w:t xml:space="preserve">RTOC has been heavily involved in the Standards Task Force, the Replenishment Task Force, and Energy Efficiency discussions. RTOC has an excellent working atmosphere, and the Co-chairs will continue to monitor </w:t>
      </w:r>
      <w:r w:rsidR="00C948A7">
        <w:rPr>
          <w:color w:val="auto"/>
          <w:szCs w:val="22"/>
          <w:lang w:val="en-US" w:eastAsia="en-US"/>
        </w:rPr>
        <w:t xml:space="preserve">appropriate </w:t>
      </w:r>
      <w:r>
        <w:rPr>
          <w:color w:val="auto"/>
          <w:szCs w:val="22"/>
          <w:lang w:val="en-US" w:eastAsia="en-US"/>
        </w:rPr>
        <w:t>balance and expertise needs, as it responds to the post-Kigali agenda</w:t>
      </w:r>
      <w:r w:rsidR="007A2694">
        <w:rPr>
          <w:color w:val="auto"/>
          <w:szCs w:val="22"/>
          <w:lang w:val="en-US" w:eastAsia="en-US"/>
        </w:rPr>
        <w:t>.</w:t>
      </w:r>
    </w:p>
    <w:p w14:paraId="232FE9E3" w14:textId="4C9D890A" w:rsidR="00A64E06" w:rsidRDefault="00177452" w:rsidP="00413E4A">
      <w:pPr>
        <w:pStyle w:val="Heading3"/>
      </w:pPr>
      <w:bookmarkStart w:id="276" w:name="_Toc484164405"/>
      <w:r>
        <w:t>8.1.6.</w:t>
      </w:r>
      <w:r>
        <w:tab/>
        <w:t>Senior Experts</w:t>
      </w:r>
      <w:bookmarkEnd w:id="276"/>
    </w:p>
    <w:p w14:paraId="503CEEAF" w14:textId="23FC5260" w:rsidR="00177452" w:rsidRPr="00177452" w:rsidRDefault="00177452" w:rsidP="0015746F">
      <w:pPr>
        <w:widowControl w:val="0"/>
        <w:autoSpaceDE w:val="0"/>
        <w:autoSpaceDN w:val="0"/>
        <w:adjustRightInd w:val="0"/>
        <w:spacing w:after="0"/>
      </w:pPr>
      <w:r w:rsidRPr="00177452">
        <w:rPr>
          <w:color w:val="auto"/>
          <w:szCs w:val="22"/>
          <w:lang w:val="en-US" w:eastAsia="en-US"/>
        </w:rPr>
        <w:t>There are presently 4 Senior Experts</w:t>
      </w:r>
      <w:r w:rsidR="00440F61">
        <w:rPr>
          <w:color w:val="auto"/>
          <w:szCs w:val="22"/>
          <w:lang w:val="en-US" w:eastAsia="en-US"/>
        </w:rPr>
        <w:t>, all</w:t>
      </w:r>
      <w:r w:rsidRPr="00177452">
        <w:rPr>
          <w:color w:val="auto"/>
          <w:szCs w:val="22"/>
          <w:lang w:val="en-US" w:eastAsia="en-US"/>
        </w:rPr>
        <w:t xml:space="preserve"> from Parties operating under A-5, including Rajendra Shende, who joined in 2017. We welcome Mr. Shende to the team. </w:t>
      </w:r>
    </w:p>
    <w:p w14:paraId="1B037C77" w14:textId="59B81233" w:rsidR="00A64E06" w:rsidRDefault="00A64E06" w:rsidP="00413E4A">
      <w:pPr>
        <w:pStyle w:val="Heading2"/>
      </w:pPr>
      <w:bookmarkStart w:id="277" w:name="_Toc484164406"/>
      <w:r>
        <w:t>8.2</w:t>
      </w:r>
      <w:r>
        <w:tab/>
        <w:t>Continuing challenges</w:t>
      </w:r>
      <w:bookmarkEnd w:id="272"/>
      <w:bookmarkEnd w:id="273"/>
      <w:bookmarkEnd w:id="277"/>
    </w:p>
    <w:p w14:paraId="02DCAF5D" w14:textId="33B7A18C" w:rsidR="00177452" w:rsidRPr="00177452" w:rsidRDefault="00440F61" w:rsidP="006A71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Cs w:val="22"/>
        </w:rPr>
      </w:pPr>
      <w:r w:rsidRPr="00177452">
        <w:rPr>
          <w:szCs w:val="22"/>
        </w:rPr>
        <w:t xml:space="preserve">The role of TEAP and its TOCs continues to evolve </w:t>
      </w:r>
      <w:r>
        <w:rPr>
          <w:szCs w:val="22"/>
        </w:rPr>
        <w:t xml:space="preserve">to meet </w:t>
      </w:r>
      <w:r w:rsidRPr="00177452">
        <w:rPr>
          <w:szCs w:val="22"/>
        </w:rPr>
        <w:t>the current</w:t>
      </w:r>
      <w:r>
        <w:rPr>
          <w:szCs w:val="22"/>
        </w:rPr>
        <w:t xml:space="preserve"> and future </w:t>
      </w:r>
      <w:r w:rsidRPr="00177452">
        <w:rPr>
          <w:szCs w:val="22"/>
        </w:rPr>
        <w:t xml:space="preserve">needs of </w:t>
      </w:r>
      <w:r>
        <w:rPr>
          <w:szCs w:val="22"/>
        </w:rPr>
        <w:t>p</w:t>
      </w:r>
      <w:r w:rsidRPr="00177452">
        <w:rPr>
          <w:szCs w:val="22"/>
        </w:rPr>
        <w:t xml:space="preserve">arties. </w:t>
      </w:r>
      <w:r>
        <w:rPr>
          <w:szCs w:val="22"/>
        </w:rPr>
        <w:t>T</w:t>
      </w:r>
      <w:r w:rsidRPr="00177452">
        <w:rPr>
          <w:szCs w:val="22"/>
        </w:rPr>
        <w:t xml:space="preserve">he TEAP, its TOCs and other Temporary Subsidiary Bodies, </w:t>
      </w:r>
      <w:r>
        <w:rPr>
          <w:szCs w:val="22"/>
        </w:rPr>
        <w:t xml:space="preserve">has had to change its focus, as the </w:t>
      </w:r>
      <w:r w:rsidRPr="00177452">
        <w:rPr>
          <w:szCs w:val="22"/>
        </w:rPr>
        <w:t xml:space="preserve">Montreal Protocol has </w:t>
      </w:r>
      <w:r>
        <w:rPr>
          <w:szCs w:val="22"/>
        </w:rPr>
        <w:t xml:space="preserve">moved </w:t>
      </w:r>
      <w:r w:rsidRPr="00177452">
        <w:rPr>
          <w:szCs w:val="22"/>
        </w:rPr>
        <w:t>from introducing and strengthening control schedules (based upon assessment reports)</w:t>
      </w:r>
      <w:r w:rsidR="00A20F61">
        <w:rPr>
          <w:szCs w:val="22"/>
        </w:rPr>
        <w:t>,</w:t>
      </w:r>
      <w:r w:rsidRPr="00177452">
        <w:rPr>
          <w:szCs w:val="22"/>
        </w:rPr>
        <w:t xml:space="preserve"> to managing the use of controlled chemicals and to compliance with the Protocol. Th</w:t>
      </w:r>
      <w:r>
        <w:rPr>
          <w:szCs w:val="22"/>
        </w:rPr>
        <w:t xml:space="preserve">e TEAP </w:t>
      </w:r>
      <w:r w:rsidRPr="00177452">
        <w:rPr>
          <w:szCs w:val="22"/>
        </w:rPr>
        <w:t>role will again evolve with the adoption of Kigali Amendment and the phasedown of HFCs. TEAP continues to work so that its TOCs are structured in size and expertise to support future efforts of the Parties, but takes the opportunity in this report to address ongoing challenges and bring them to the attention of the Parties</w:t>
      </w:r>
      <w:r w:rsidR="00177452" w:rsidRPr="00177452">
        <w:rPr>
          <w:szCs w:val="22"/>
        </w:rPr>
        <w:t xml:space="preserve">. </w:t>
      </w:r>
    </w:p>
    <w:p w14:paraId="22A2BA38" w14:textId="26BD34B4" w:rsidR="00177452" w:rsidRPr="00440F61" w:rsidRDefault="00177452" w:rsidP="006A71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sidRPr="00232963">
        <w:t>The challen</w:t>
      </w:r>
      <w:r w:rsidR="00E4327F" w:rsidRPr="00232963">
        <w:t xml:space="preserve">ge to TEAP and TOC leadership </w:t>
      </w:r>
      <w:r w:rsidRPr="00232963">
        <w:t>remains to identify candidates with adequate history and experience as well as technical expertise</w:t>
      </w:r>
      <w:r w:rsidR="00440F61">
        <w:t xml:space="preserve"> and time,</w:t>
      </w:r>
      <w:r w:rsidRPr="00232963">
        <w:t xml:space="preserve"> in order for TEAP to continue to meet the significant demands of delivering outputs to support the deliberations of Parties, without loss of continuity.</w:t>
      </w:r>
    </w:p>
    <w:p w14:paraId="5234EA3B" w14:textId="0F8C3313" w:rsidR="00C948A7" w:rsidRDefault="00440F61" w:rsidP="006A71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sidRPr="00232963">
        <w:t xml:space="preserve">TOCs have been challenged with attrition through retirement of members and loss of expertise. The absence of funding for non-Article 5 members makes participation </w:t>
      </w:r>
      <w:r>
        <w:t xml:space="preserve">particularly </w:t>
      </w:r>
      <w:r w:rsidRPr="00232963">
        <w:t xml:space="preserve">difficult. This is of growing concern to the consensus process of the committees where a </w:t>
      </w:r>
      <w:r w:rsidRPr="00232963">
        <w:lastRenderedPageBreak/>
        <w:t xml:space="preserve">range of independent expert opinions is necessary. </w:t>
      </w:r>
      <w:r>
        <w:t>A</w:t>
      </w:r>
      <w:r w:rsidRPr="00232963">
        <w:t xml:space="preserve">bsence of funding </w:t>
      </w:r>
      <w:r>
        <w:t>is also an issue for</w:t>
      </w:r>
      <w:r w:rsidRPr="00232963">
        <w:t xml:space="preserve"> TOC co-chairs</w:t>
      </w:r>
      <w:r>
        <w:t>,</w:t>
      </w:r>
      <w:r w:rsidRPr="00232963">
        <w:t xml:space="preserve"> </w:t>
      </w:r>
      <w:r>
        <w:t xml:space="preserve">so that </w:t>
      </w:r>
      <w:proofErr w:type="gramStart"/>
      <w:r>
        <w:t xml:space="preserve">essential co-chair activities such as travel to </w:t>
      </w:r>
      <w:r w:rsidRPr="00232963">
        <w:t>meetings and participation in other activities</w:t>
      </w:r>
      <w:r>
        <w:t xml:space="preserve"> is</w:t>
      </w:r>
      <w:proofErr w:type="gramEnd"/>
      <w:r>
        <w:t xml:space="preserve"> becoming increasingly uncertain</w:t>
      </w:r>
      <w:r w:rsidR="00177452" w:rsidRPr="00232963">
        <w:t>.</w:t>
      </w:r>
    </w:p>
    <w:p w14:paraId="3F7511F3" w14:textId="7359AEFC" w:rsidR="00177452" w:rsidRPr="00177452" w:rsidRDefault="00232963" w:rsidP="006A71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br/>
      </w:r>
      <w:r w:rsidR="00A20F61">
        <w:t>The</w:t>
      </w:r>
      <w:r w:rsidR="00177452" w:rsidRPr="00177452">
        <w:t xml:space="preserve"> workload related to the </w:t>
      </w:r>
      <w:r w:rsidR="00A20F61">
        <w:t>tasks assigned to</w:t>
      </w:r>
      <w:r w:rsidR="00177452" w:rsidRPr="00177452">
        <w:t xml:space="preserve"> TEAP and its TOCs has grown</w:t>
      </w:r>
      <w:r w:rsidR="00440F61">
        <w:t xml:space="preserve"> substantially</w:t>
      </w:r>
      <w:r w:rsidR="00177452" w:rsidRPr="00177452">
        <w:t xml:space="preserve"> in recent years with the responses to various requests of the Parties; if unaddressed </w:t>
      </w:r>
      <w:r w:rsidR="00A20F61" w:rsidRPr="00177452">
        <w:t xml:space="preserve">this situation </w:t>
      </w:r>
      <w:r w:rsidR="00177452" w:rsidRPr="00177452">
        <w:t>will increasingly affect the delivery and timeline of TEAP’s outputs. Members of TEAP and TOC</w:t>
      </w:r>
      <w:r w:rsidR="00A140B1">
        <w:t>s</w:t>
      </w:r>
      <w:r w:rsidR="00177452" w:rsidRPr="00177452">
        <w:t xml:space="preserve"> often concurrently serve on TEAP Task Forces adding to the workload and making it difficult to meet deadlines.</w:t>
      </w:r>
    </w:p>
    <w:p w14:paraId="50B2FED1" w14:textId="685C6439" w:rsidR="00177452" w:rsidRPr="00232963" w:rsidRDefault="00177452" w:rsidP="006A71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sidRPr="00232963">
        <w:t>The members of TEAP and its TOCs provide their expertise and work on a voluntary basis and many are finding the increasing time commitment difficult/impossible to m</w:t>
      </w:r>
      <w:r w:rsidR="00A140B1">
        <w:t>anage in the context of a full-</w:t>
      </w:r>
      <w:r w:rsidRPr="00232963">
        <w:t>time occupation.</w:t>
      </w:r>
    </w:p>
    <w:p w14:paraId="2895AF3C" w14:textId="21F0FABA" w:rsidR="00807C7E" w:rsidRDefault="00A140B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sidRPr="00232963">
        <w:t xml:space="preserve">TEAP is determined to re-invigorate its membership and leadership, but at the same time maintain involvement of TOC and senior expert members with substantial experience to ensure the continuity of its work for Parties. In view of the Kigali Amendment, </w:t>
      </w:r>
      <w:r>
        <w:t>TEAP</w:t>
      </w:r>
      <w:r w:rsidRPr="00232963">
        <w:t xml:space="preserve"> i</w:t>
      </w:r>
      <w:r w:rsidR="00A20F61">
        <w:t xml:space="preserve">s also considering </w:t>
      </w:r>
      <w:r>
        <w:t xml:space="preserve">recruiting </w:t>
      </w:r>
      <w:r w:rsidRPr="00232963">
        <w:t xml:space="preserve">contributing members with </w:t>
      </w:r>
      <w:r w:rsidR="00A20F61">
        <w:t xml:space="preserve">the </w:t>
      </w:r>
      <w:r w:rsidRPr="00232963">
        <w:t>expertise needed to address any knowledge gap</w:t>
      </w:r>
      <w:r w:rsidR="00A20F61">
        <w:t>s</w:t>
      </w:r>
      <w:r w:rsidRPr="00232963">
        <w:t xml:space="preserve"> at least for a period of time.</w:t>
      </w:r>
      <w:r>
        <w:t xml:space="preserve"> TEAP points out that </w:t>
      </w:r>
      <w:r w:rsidR="00420C18">
        <w:t xml:space="preserve">10 </w:t>
      </w:r>
      <w:r>
        <w:t>of 22 members will reach the end of current appointments in 2017 or 2018. This provides risk of loss of expertise and continuity, but is also an opportunity for re-invigorating and refocussing TEAP.</w:t>
      </w:r>
    </w:p>
    <w:p w14:paraId="6D075851" w14:textId="37C86EFB" w:rsidR="00177452" w:rsidRPr="00232963" w:rsidRDefault="00177452" w:rsidP="006A71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sidRPr="00232963">
        <w:t xml:space="preserve">To ensure </w:t>
      </w:r>
      <w:r w:rsidR="00A20F61">
        <w:t xml:space="preserve">that </w:t>
      </w:r>
      <w:r w:rsidRPr="00232963">
        <w:t xml:space="preserve">the functioning of the TEAP and its TOCs to continue to provide timely assessments to support the discussions of </w:t>
      </w:r>
      <w:r w:rsidR="00A140B1">
        <w:t>p</w:t>
      </w:r>
      <w:r w:rsidRPr="00232963">
        <w:t xml:space="preserve">arties, </w:t>
      </w:r>
      <w:r w:rsidR="00A140B1">
        <w:t xml:space="preserve">both </w:t>
      </w:r>
      <w:r w:rsidRPr="00232963">
        <w:t xml:space="preserve">TEAP and </w:t>
      </w:r>
      <w:r w:rsidR="00A140B1">
        <w:t>the p</w:t>
      </w:r>
      <w:r w:rsidRPr="00232963">
        <w:t xml:space="preserve">arties may need to consider the overall annual workload and support for TEAP at the time of </w:t>
      </w:r>
      <w:r w:rsidR="00A140B1">
        <w:t>making</w:t>
      </w:r>
      <w:r w:rsidRPr="00232963">
        <w:t xml:space="preserve"> decisions requesting this work. </w:t>
      </w:r>
    </w:p>
    <w:p w14:paraId="5CB926B8" w14:textId="77777777" w:rsidR="00177452" w:rsidRPr="00177452" w:rsidRDefault="00177452" w:rsidP="006A71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color w:val="auto"/>
          <w:szCs w:val="22"/>
        </w:rPr>
      </w:pPr>
      <w:r w:rsidRPr="00177452">
        <w:rPr>
          <w:szCs w:val="22"/>
        </w:rPr>
        <w:t>TEAP welcomes the opportunity to further engage with Parties to address these challenges to the functioning of the TEAP and its TOCs going forward, and remains committed to providing Parties with the best possible, independent, technical consensus reports to support their work.</w:t>
      </w:r>
      <w:r w:rsidRPr="00177452">
        <w:rPr>
          <w:color w:val="auto"/>
          <w:szCs w:val="22"/>
        </w:rPr>
        <w:t xml:space="preserve"> </w:t>
      </w:r>
    </w:p>
    <w:p w14:paraId="70A88448" w14:textId="460F51FC" w:rsidR="00177452" w:rsidRDefault="00177452" w:rsidP="006A713F">
      <w:pPr>
        <w:spacing w:after="0"/>
      </w:pPr>
      <w:r>
        <w:br w:type="page"/>
      </w:r>
    </w:p>
    <w:p w14:paraId="1D51C1CB" w14:textId="178EBF0E" w:rsidR="00AD4B2A" w:rsidRPr="0015746F" w:rsidRDefault="00591AA8" w:rsidP="00413E4A">
      <w:pPr>
        <w:pStyle w:val="Heading2"/>
      </w:pPr>
      <w:bookmarkStart w:id="278" w:name="_Toc484164407"/>
      <w:r w:rsidRPr="0015746F">
        <w:lastRenderedPageBreak/>
        <w:t>A</w:t>
      </w:r>
      <w:r w:rsidR="007C3101">
        <w:t>nnex</w:t>
      </w:r>
      <w:r w:rsidR="00725450" w:rsidRPr="0015746F">
        <w:t xml:space="preserve"> </w:t>
      </w:r>
      <w:r w:rsidR="0062091A" w:rsidRPr="0015746F">
        <w:t>3</w:t>
      </w:r>
      <w:r w:rsidR="00AA1A8F" w:rsidRPr="0015746F">
        <w:t>:</w:t>
      </w:r>
      <w:r w:rsidR="005B3245" w:rsidRPr="0015746F">
        <w:tab/>
      </w:r>
      <w:r w:rsidRPr="0015746F">
        <w:t xml:space="preserve"> TEAP and TOC membership </w:t>
      </w:r>
      <w:r w:rsidR="00DF70DE" w:rsidRPr="0015746F">
        <w:t>and administration</w:t>
      </w:r>
      <w:bookmarkEnd w:id="278"/>
      <w:r w:rsidRPr="0015746F">
        <w:t xml:space="preserve"> </w:t>
      </w:r>
      <w:bookmarkEnd w:id="243"/>
      <w:bookmarkEnd w:id="244"/>
      <w:bookmarkEnd w:id="245"/>
    </w:p>
    <w:p w14:paraId="64844151" w14:textId="77777777" w:rsidR="00B77294" w:rsidRPr="00FD4EE9" w:rsidRDefault="00591AA8" w:rsidP="006A713F">
      <w:pPr>
        <w:spacing w:after="0"/>
        <w:rPr>
          <w:szCs w:val="22"/>
        </w:rPr>
      </w:pPr>
      <w:r w:rsidRPr="00FD4EE9">
        <w:rPr>
          <w:szCs w:val="22"/>
        </w:rPr>
        <w:t xml:space="preserve">The disclosure of interest (DOI) of each member can be found on the Ozone Secretariat website at: </w:t>
      </w:r>
      <w:hyperlink r:id="rId87" w:history="1">
        <w:r w:rsidR="00382983" w:rsidRPr="0033280F">
          <w:rPr>
            <w:rStyle w:val="Hyperlink"/>
            <w:szCs w:val="22"/>
          </w:rPr>
          <w:t>http://ozone.unep.org/en/assessment-panels/technology-and-economic-assessment-panel</w:t>
        </w:r>
      </w:hyperlink>
      <w:r w:rsidR="00D44C95" w:rsidRPr="00FD4EE9">
        <w:rPr>
          <w:szCs w:val="22"/>
        </w:rPr>
        <w:t xml:space="preserve">. </w:t>
      </w:r>
      <w:r w:rsidRPr="00FD4EE9">
        <w:rPr>
          <w:szCs w:val="22"/>
        </w:rPr>
        <w:t xml:space="preserve">The disclosures are normally updated at the time of the publication of the progress report. </w:t>
      </w:r>
      <w:r w:rsidR="00BB5801" w:rsidRPr="00FD4EE9">
        <w:rPr>
          <w:szCs w:val="22"/>
        </w:rPr>
        <w:t>TEAP’s Terms of Reference (TOR) (2.3) as approved by the Parties in Decision XXIV/8 specif</w:t>
      </w:r>
      <w:r w:rsidR="007E51F4" w:rsidRPr="00FD4EE9">
        <w:rPr>
          <w:szCs w:val="22"/>
        </w:rPr>
        <w:t>y</w:t>
      </w:r>
      <w:r w:rsidR="00BB5801" w:rsidRPr="00FD4EE9">
        <w:rPr>
          <w:szCs w:val="22"/>
        </w:rPr>
        <w:t xml:space="preserve"> that </w:t>
      </w:r>
    </w:p>
    <w:p w14:paraId="40CA9F96" w14:textId="426A6E62" w:rsidR="00BB5801" w:rsidRPr="00FD4EE9" w:rsidRDefault="00BB5801" w:rsidP="006A713F">
      <w:pPr>
        <w:spacing w:after="0"/>
        <w:rPr>
          <w:szCs w:val="22"/>
        </w:rPr>
      </w:pPr>
      <w:r w:rsidRPr="00FD4EE9">
        <w:rPr>
          <w:i/>
          <w:szCs w:val="22"/>
        </w:rPr>
        <w:t>“</w:t>
      </w:r>
      <w:r w:rsidR="00B77294" w:rsidRPr="00FD4EE9">
        <w:rPr>
          <w:i/>
          <w:szCs w:val="22"/>
        </w:rPr>
        <w:t xml:space="preserve">… </w:t>
      </w:r>
      <w:proofErr w:type="gramStart"/>
      <w:r w:rsidRPr="00FD4EE9">
        <w:rPr>
          <w:i/>
          <w:szCs w:val="22"/>
        </w:rPr>
        <w:t>the</w:t>
      </w:r>
      <w:proofErr w:type="gramEnd"/>
      <w:r w:rsidRPr="00FD4EE9">
        <w:rPr>
          <w:i/>
          <w:szCs w:val="22"/>
        </w:rPr>
        <w:t xml:space="preserve"> Meeting of the Parties shall appoint the members of TEAP for a period of no more than four years…and may re-appoint Members of the Panel upon nomination by the relevant party for additional periods of up to four years each.”</w:t>
      </w:r>
      <w:r w:rsidR="00D64079" w:rsidRPr="00FD4EE9">
        <w:rPr>
          <w:szCs w:val="22"/>
        </w:rPr>
        <w:t xml:space="preserve">. </w:t>
      </w:r>
      <w:r w:rsidRPr="00FD4EE9">
        <w:rPr>
          <w:szCs w:val="22"/>
        </w:rPr>
        <w:t>TEAP member appointments end as of 31</w:t>
      </w:r>
      <w:r w:rsidR="006A713F">
        <w:rPr>
          <w:szCs w:val="22"/>
          <w:vertAlign w:val="superscript"/>
        </w:rPr>
        <w:t xml:space="preserve"> </w:t>
      </w:r>
      <w:r w:rsidRPr="00FD4EE9">
        <w:rPr>
          <w:szCs w:val="22"/>
        </w:rPr>
        <w:t>December of the final year of appointment, as indicated in the last column</w:t>
      </w:r>
      <w:r w:rsidR="00E82B31" w:rsidRPr="00FD4EE9">
        <w:rPr>
          <w:szCs w:val="22"/>
        </w:rPr>
        <w:t xml:space="preserve"> of the following tables</w:t>
      </w:r>
      <w:r w:rsidRPr="00FD4EE9">
        <w:rPr>
          <w:szCs w:val="22"/>
        </w:rPr>
        <w:t>.</w:t>
      </w:r>
    </w:p>
    <w:p w14:paraId="38590B32" w14:textId="77777777" w:rsidR="00AD4B2A" w:rsidRPr="00FD4EE9" w:rsidRDefault="00AD4B2A" w:rsidP="003954A6">
      <w:pPr>
        <w:tabs>
          <w:tab w:val="left" w:pos="720"/>
          <w:tab w:val="left" w:pos="1080"/>
        </w:tabs>
        <w:spacing w:after="0"/>
        <w:jc w:val="both"/>
        <w:rPr>
          <w:b/>
          <w:sz w:val="12"/>
        </w:rPr>
      </w:pPr>
    </w:p>
    <w:p w14:paraId="4B0F3E80" w14:textId="1B2DB879" w:rsidR="00AD4B2A" w:rsidRPr="00FD4EE9" w:rsidRDefault="00E82B31" w:rsidP="00413E4A">
      <w:pPr>
        <w:pStyle w:val="Heading2"/>
      </w:pPr>
      <w:bookmarkStart w:id="279" w:name="_Toc484164408"/>
      <w:r w:rsidRPr="00FD4EE9">
        <w:t xml:space="preserve">1. </w:t>
      </w:r>
      <w:r w:rsidR="00DF0B15" w:rsidRPr="00FD4EE9">
        <w:tab/>
      </w:r>
      <w:r w:rsidR="00591AA8" w:rsidRPr="00FD4EE9">
        <w:t>Technology and Economic Assessment Panel (TEAP)</w:t>
      </w:r>
      <w:r w:rsidR="00177452">
        <w:t xml:space="preserve"> 2017</w:t>
      </w:r>
      <w:bookmarkEnd w:id="279"/>
    </w:p>
    <w:tbl>
      <w:tblPr>
        <w:tblW w:w="8931" w:type="dxa"/>
        <w:tblInd w:w="-34" w:type="dxa"/>
        <w:tblLayout w:type="fixed"/>
        <w:tblLook w:val="0000" w:firstRow="0" w:lastRow="0" w:firstColumn="0" w:lastColumn="0" w:noHBand="0" w:noVBand="0"/>
      </w:tblPr>
      <w:tblGrid>
        <w:gridCol w:w="2269"/>
        <w:gridCol w:w="3827"/>
        <w:gridCol w:w="1417"/>
        <w:gridCol w:w="1418"/>
      </w:tblGrid>
      <w:tr w:rsidR="00494CC5" w:rsidRPr="00FD4EE9" w14:paraId="0782C687" w14:textId="77777777" w:rsidTr="003954A6">
        <w:tc>
          <w:tcPr>
            <w:tcW w:w="2269" w:type="dxa"/>
            <w:tcBorders>
              <w:top w:val="double" w:sz="4" w:space="0" w:color="auto"/>
              <w:left w:val="single" w:sz="4" w:space="0" w:color="auto"/>
              <w:bottom w:val="double" w:sz="4" w:space="0" w:color="auto"/>
              <w:right w:val="nil"/>
            </w:tcBorders>
          </w:tcPr>
          <w:p w14:paraId="22DD9D54" w14:textId="77777777" w:rsidR="00494CC5" w:rsidRPr="00FD4EE9" w:rsidRDefault="00494CC5"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b/>
                <w:sz w:val="20"/>
              </w:rPr>
            </w:pPr>
            <w:r w:rsidRPr="00FD4EE9">
              <w:rPr>
                <w:b/>
                <w:sz w:val="20"/>
              </w:rPr>
              <w:t>Co-chairs</w:t>
            </w:r>
          </w:p>
        </w:tc>
        <w:tc>
          <w:tcPr>
            <w:tcW w:w="3827" w:type="dxa"/>
            <w:tcBorders>
              <w:top w:val="double" w:sz="4" w:space="0" w:color="auto"/>
              <w:left w:val="nil"/>
              <w:bottom w:val="double" w:sz="4" w:space="0" w:color="auto"/>
              <w:right w:val="nil"/>
            </w:tcBorders>
          </w:tcPr>
          <w:p w14:paraId="2AE9576A" w14:textId="77777777" w:rsidR="00494CC5" w:rsidRPr="00FD4EE9" w:rsidRDefault="00494CC5"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b/>
                <w:sz w:val="20"/>
              </w:rPr>
            </w:pPr>
            <w:r w:rsidRPr="00FD4EE9">
              <w:rPr>
                <w:b/>
                <w:sz w:val="20"/>
              </w:rPr>
              <w:t>Affiliation</w:t>
            </w:r>
          </w:p>
        </w:tc>
        <w:tc>
          <w:tcPr>
            <w:tcW w:w="1417" w:type="dxa"/>
            <w:tcBorders>
              <w:top w:val="double" w:sz="4" w:space="0" w:color="auto"/>
              <w:left w:val="nil"/>
              <w:bottom w:val="double" w:sz="4" w:space="0" w:color="auto"/>
              <w:right w:val="nil"/>
            </w:tcBorders>
          </w:tcPr>
          <w:p w14:paraId="54CB4450" w14:textId="77777777" w:rsidR="00494CC5" w:rsidRPr="00FD4EE9" w:rsidRDefault="00494CC5"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b/>
                <w:sz w:val="20"/>
              </w:rPr>
            </w:pPr>
            <w:r w:rsidRPr="00FD4EE9">
              <w:rPr>
                <w:b/>
                <w:sz w:val="20"/>
              </w:rPr>
              <w:t>Country</w:t>
            </w:r>
          </w:p>
        </w:tc>
        <w:tc>
          <w:tcPr>
            <w:tcW w:w="1418" w:type="dxa"/>
            <w:tcBorders>
              <w:top w:val="double" w:sz="4" w:space="0" w:color="auto"/>
              <w:left w:val="nil"/>
              <w:bottom w:val="double" w:sz="4" w:space="0" w:color="auto"/>
              <w:right w:val="nil"/>
            </w:tcBorders>
          </w:tcPr>
          <w:p w14:paraId="1508A3DB" w14:textId="77777777" w:rsidR="00494CC5" w:rsidRPr="00FD4EE9" w:rsidRDefault="00494CC5"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b/>
                <w:sz w:val="20"/>
              </w:rPr>
            </w:pPr>
            <w:r w:rsidRPr="00FD4EE9">
              <w:rPr>
                <w:b/>
                <w:sz w:val="20"/>
              </w:rPr>
              <w:t>Appointed through</w:t>
            </w:r>
          </w:p>
        </w:tc>
      </w:tr>
      <w:tr w:rsidR="00494CC5" w:rsidRPr="00FD4EE9" w14:paraId="02853C3E" w14:textId="77777777" w:rsidTr="003954A6">
        <w:tc>
          <w:tcPr>
            <w:tcW w:w="2269" w:type="dxa"/>
            <w:tcBorders>
              <w:top w:val="double" w:sz="4" w:space="0" w:color="auto"/>
              <w:left w:val="single" w:sz="4" w:space="0" w:color="auto"/>
              <w:bottom w:val="nil"/>
              <w:right w:val="nil"/>
            </w:tcBorders>
          </w:tcPr>
          <w:p w14:paraId="3F06E4D6" w14:textId="77777777" w:rsidR="00494CC5" w:rsidRPr="00FD4EE9" w:rsidRDefault="00494CC5"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 xml:space="preserve">Bella Maranion </w:t>
            </w:r>
          </w:p>
        </w:tc>
        <w:tc>
          <w:tcPr>
            <w:tcW w:w="3827" w:type="dxa"/>
            <w:tcBorders>
              <w:top w:val="double" w:sz="4" w:space="0" w:color="auto"/>
              <w:left w:val="nil"/>
              <w:bottom w:val="nil"/>
              <w:right w:val="nil"/>
            </w:tcBorders>
          </w:tcPr>
          <w:p w14:paraId="0685BDA3" w14:textId="77777777" w:rsidR="00494CC5" w:rsidRPr="00FD4EE9" w:rsidRDefault="00494CC5"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 xml:space="preserve">U.S. EPA </w:t>
            </w:r>
          </w:p>
        </w:tc>
        <w:tc>
          <w:tcPr>
            <w:tcW w:w="1417" w:type="dxa"/>
            <w:tcBorders>
              <w:top w:val="double" w:sz="4" w:space="0" w:color="auto"/>
              <w:left w:val="nil"/>
              <w:bottom w:val="nil"/>
              <w:right w:val="nil"/>
            </w:tcBorders>
          </w:tcPr>
          <w:p w14:paraId="53C8CC2A" w14:textId="1C843CD7" w:rsidR="00494CC5" w:rsidRPr="00FD4EE9" w:rsidRDefault="0070607D"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Pr>
                <w:sz w:val="20"/>
              </w:rPr>
              <w:t>US</w:t>
            </w:r>
          </w:p>
        </w:tc>
        <w:tc>
          <w:tcPr>
            <w:tcW w:w="1418" w:type="dxa"/>
            <w:tcBorders>
              <w:top w:val="double" w:sz="4" w:space="0" w:color="auto"/>
              <w:left w:val="nil"/>
              <w:bottom w:val="nil"/>
              <w:right w:val="nil"/>
            </w:tcBorders>
          </w:tcPr>
          <w:p w14:paraId="594D38B4" w14:textId="48451908" w:rsidR="00494CC5" w:rsidRPr="00FD4EE9" w:rsidRDefault="00494CC5" w:rsidP="00B508CB">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w:t>
            </w:r>
            <w:r w:rsidR="00B508CB">
              <w:rPr>
                <w:sz w:val="20"/>
              </w:rPr>
              <w:t>20</w:t>
            </w:r>
          </w:p>
        </w:tc>
      </w:tr>
      <w:tr w:rsidR="00494CC5" w:rsidRPr="00FD4EE9" w14:paraId="4C9C9ED2" w14:textId="77777777" w:rsidTr="00494CC5">
        <w:tc>
          <w:tcPr>
            <w:tcW w:w="2269" w:type="dxa"/>
            <w:tcBorders>
              <w:top w:val="nil"/>
              <w:left w:val="single" w:sz="4" w:space="0" w:color="auto"/>
              <w:bottom w:val="nil"/>
              <w:right w:val="nil"/>
            </w:tcBorders>
          </w:tcPr>
          <w:p w14:paraId="4C64CABF" w14:textId="77777777" w:rsidR="00494CC5" w:rsidRPr="00FD4EE9" w:rsidRDefault="00494CC5"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Marta Pizano</w:t>
            </w:r>
          </w:p>
        </w:tc>
        <w:tc>
          <w:tcPr>
            <w:tcW w:w="3827" w:type="dxa"/>
            <w:tcBorders>
              <w:top w:val="nil"/>
              <w:left w:val="nil"/>
              <w:bottom w:val="nil"/>
              <w:right w:val="nil"/>
            </w:tcBorders>
          </w:tcPr>
          <w:p w14:paraId="51C2F261" w14:textId="77777777" w:rsidR="00494CC5" w:rsidRPr="00FD4EE9" w:rsidRDefault="00494CC5"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 xml:space="preserve">Consultant </w:t>
            </w:r>
          </w:p>
        </w:tc>
        <w:tc>
          <w:tcPr>
            <w:tcW w:w="1417" w:type="dxa"/>
            <w:tcBorders>
              <w:top w:val="nil"/>
              <w:left w:val="nil"/>
              <w:bottom w:val="nil"/>
              <w:right w:val="nil"/>
            </w:tcBorders>
          </w:tcPr>
          <w:p w14:paraId="3ED960C9" w14:textId="77777777" w:rsidR="00494CC5" w:rsidRPr="00FD4EE9" w:rsidRDefault="00494CC5"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Colombia</w:t>
            </w:r>
          </w:p>
        </w:tc>
        <w:tc>
          <w:tcPr>
            <w:tcW w:w="1418" w:type="dxa"/>
            <w:tcBorders>
              <w:top w:val="nil"/>
              <w:left w:val="nil"/>
              <w:bottom w:val="nil"/>
              <w:right w:val="nil"/>
            </w:tcBorders>
          </w:tcPr>
          <w:p w14:paraId="3462C7ED" w14:textId="77777777" w:rsidR="00494CC5" w:rsidRPr="00FD4EE9" w:rsidRDefault="00494CC5"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2018</w:t>
            </w:r>
          </w:p>
        </w:tc>
      </w:tr>
      <w:tr w:rsidR="00494CC5" w:rsidRPr="00FD4EE9" w14:paraId="6BA752D2" w14:textId="77777777" w:rsidTr="00494CC5">
        <w:tc>
          <w:tcPr>
            <w:tcW w:w="2269" w:type="dxa"/>
            <w:tcBorders>
              <w:top w:val="nil"/>
              <w:left w:val="single" w:sz="4" w:space="0" w:color="auto"/>
              <w:bottom w:val="nil"/>
              <w:right w:val="nil"/>
            </w:tcBorders>
          </w:tcPr>
          <w:p w14:paraId="2F85C252" w14:textId="77777777" w:rsidR="00494CC5" w:rsidRPr="00FD4EE9" w:rsidRDefault="00494CC5"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Ashley Woodcock</w:t>
            </w:r>
          </w:p>
        </w:tc>
        <w:tc>
          <w:tcPr>
            <w:tcW w:w="3827" w:type="dxa"/>
            <w:tcBorders>
              <w:top w:val="nil"/>
              <w:left w:val="nil"/>
              <w:bottom w:val="nil"/>
              <w:right w:val="nil"/>
            </w:tcBorders>
          </w:tcPr>
          <w:p w14:paraId="397C8A13" w14:textId="77777777" w:rsidR="00494CC5" w:rsidRPr="00FD4EE9" w:rsidRDefault="00494CC5" w:rsidP="00C40A7B">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University of Manchester</w:t>
            </w:r>
          </w:p>
        </w:tc>
        <w:tc>
          <w:tcPr>
            <w:tcW w:w="1417" w:type="dxa"/>
            <w:tcBorders>
              <w:top w:val="nil"/>
              <w:left w:val="nil"/>
              <w:bottom w:val="nil"/>
              <w:right w:val="nil"/>
            </w:tcBorders>
          </w:tcPr>
          <w:p w14:paraId="79C9BCE9" w14:textId="77777777" w:rsidR="00494CC5" w:rsidRPr="00FD4EE9" w:rsidRDefault="00494CC5"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UK</w:t>
            </w:r>
          </w:p>
        </w:tc>
        <w:tc>
          <w:tcPr>
            <w:tcW w:w="1418" w:type="dxa"/>
            <w:tcBorders>
              <w:top w:val="nil"/>
              <w:left w:val="nil"/>
              <w:bottom w:val="nil"/>
              <w:right w:val="nil"/>
            </w:tcBorders>
          </w:tcPr>
          <w:p w14:paraId="4B6137D2" w14:textId="77777777" w:rsidR="00494CC5" w:rsidRPr="00FD4EE9" w:rsidRDefault="00494CC5"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2018</w:t>
            </w:r>
          </w:p>
        </w:tc>
      </w:tr>
      <w:tr w:rsidR="00494CC5" w:rsidRPr="00FD4EE9" w14:paraId="364515DA" w14:textId="77777777" w:rsidTr="00494CC5">
        <w:tc>
          <w:tcPr>
            <w:tcW w:w="2269" w:type="dxa"/>
            <w:tcBorders>
              <w:top w:val="nil"/>
              <w:left w:val="single" w:sz="4" w:space="0" w:color="auto"/>
              <w:bottom w:val="nil"/>
              <w:right w:val="nil"/>
            </w:tcBorders>
          </w:tcPr>
          <w:p w14:paraId="0D2132D6" w14:textId="77777777" w:rsidR="00494CC5" w:rsidRPr="00FD4EE9" w:rsidRDefault="00494CC5"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b/>
                <w:sz w:val="20"/>
              </w:rPr>
            </w:pPr>
            <w:r w:rsidRPr="00FD4EE9">
              <w:rPr>
                <w:b/>
                <w:sz w:val="20"/>
              </w:rPr>
              <w:t>Senior Experts</w:t>
            </w:r>
          </w:p>
        </w:tc>
        <w:tc>
          <w:tcPr>
            <w:tcW w:w="3827" w:type="dxa"/>
            <w:tcBorders>
              <w:top w:val="nil"/>
              <w:left w:val="nil"/>
              <w:bottom w:val="nil"/>
              <w:right w:val="nil"/>
            </w:tcBorders>
          </w:tcPr>
          <w:p w14:paraId="4DA7E8A0" w14:textId="77777777" w:rsidR="00494CC5" w:rsidRPr="00FD4EE9" w:rsidRDefault="00494CC5"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b/>
                <w:sz w:val="20"/>
              </w:rPr>
            </w:pPr>
            <w:r w:rsidRPr="00FD4EE9">
              <w:rPr>
                <w:b/>
                <w:sz w:val="20"/>
              </w:rPr>
              <w:t>Affiliation</w:t>
            </w:r>
          </w:p>
        </w:tc>
        <w:tc>
          <w:tcPr>
            <w:tcW w:w="1417" w:type="dxa"/>
            <w:tcBorders>
              <w:top w:val="nil"/>
              <w:left w:val="nil"/>
              <w:bottom w:val="nil"/>
              <w:right w:val="nil"/>
            </w:tcBorders>
          </w:tcPr>
          <w:p w14:paraId="3D941466" w14:textId="77777777" w:rsidR="00494CC5" w:rsidRPr="00FD4EE9" w:rsidRDefault="00494CC5"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b/>
                <w:sz w:val="20"/>
              </w:rPr>
            </w:pPr>
            <w:r w:rsidRPr="00FD4EE9">
              <w:rPr>
                <w:b/>
                <w:sz w:val="20"/>
              </w:rPr>
              <w:t>Country</w:t>
            </w:r>
          </w:p>
        </w:tc>
        <w:tc>
          <w:tcPr>
            <w:tcW w:w="1418" w:type="dxa"/>
            <w:tcBorders>
              <w:top w:val="nil"/>
              <w:left w:val="nil"/>
              <w:bottom w:val="nil"/>
              <w:right w:val="nil"/>
            </w:tcBorders>
          </w:tcPr>
          <w:p w14:paraId="74DF5176" w14:textId="77777777" w:rsidR="00494CC5" w:rsidRPr="00FD4EE9" w:rsidRDefault="00494CC5"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b/>
                <w:sz w:val="20"/>
              </w:rPr>
            </w:pPr>
            <w:r w:rsidRPr="00FD4EE9">
              <w:rPr>
                <w:b/>
                <w:sz w:val="20"/>
              </w:rPr>
              <w:t>Appointed through</w:t>
            </w:r>
          </w:p>
        </w:tc>
      </w:tr>
      <w:tr w:rsidR="00494CC5" w:rsidRPr="00FD4EE9" w14:paraId="09088F71" w14:textId="77777777" w:rsidTr="00494CC5">
        <w:trPr>
          <w:trHeight w:val="115"/>
        </w:trPr>
        <w:tc>
          <w:tcPr>
            <w:tcW w:w="2269" w:type="dxa"/>
            <w:tcBorders>
              <w:top w:val="nil"/>
              <w:left w:val="single" w:sz="4" w:space="0" w:color="auto"/>
              <w:bottom w:val="nil"/>
              <w:right w:val="nil"/>
            </w:tcBorders>
          </w:tcPr>
          <w:p w14:paraId="13641AF3" w14:textId="77777777" w:rsidR="00494CC5" w:rsidRPr="00FD4EE9" w:rsidRDefault="00494CC5"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 xml:space="preserve">Suely </w:t>
            </w:r>
            <w:r w:rsidR="00E54195" w:rsidRPr="00FD4EE9">
              <w:rPr>
                <w:sz w:val="20"/>
              </w:rPr>
              <w:t xml:space="preserve">Machado </w:t>
            </w:r>
            <w:r w:rsidRPr="00FD4EE9">
              <w:rPr>
                <w:sz w:val="20"/>
              </w:rPr>
              <w:t>Carval</w:t>
            </w:r>
            <w:r w:rsidR="00E54195" w:rsidRPr="00FD4EE9">
              <w:rPr>
                <w:sz w:val="20"/>
              </w:rPr>
              <w:t>h</w:t>
            </w:r>
            <w:r w:rsidRPr="00FD4EE9">
              <w:rPr>
                <w:sz w:val="20"/>
              </w:rPr>
              <w:t>o</w:t>
            </w:r>
          </w:p>
        </w:tc>
        <w:tc>
          <w:tcPr>
            <w:tcW w:w="3827" w:type="dxa"/>
            <w:tcBorders>
              <w:top w:val="nil"/>
              <w:left w:val="nil"/>
              <w:bottom w:val="nil"/>
              <w:right w:val="nil"/>
            </w:tcBorders>
          </w:tcPr>
          <w:p w14:paraId="026A8C16" w14:textId="6C4143BD" w:rsidR="00494CC5" w:rsidRPr="00FD4EE9" w:rsidRDefault="00177452" w:rsidP="00747F3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Pr>
                <w:sz w:val="20"/>
              </w:rPr>
              <w:t>Consultant</w:t>
            </w:r>
          </w:p>
        </w:tc>
        <w:tc>
          <w:tcPr>
            <w:tcW w:w="1417" w:type="dxa"/>
            <w:tcBorders>
              <w:top w:val="nil"/>
              <w:left w:val="nil"/>
              <w:bottom w:val="nil"/>
              <w:right w:val="nil"/>
            </w:tcBorders>
          </w:tcPr>
          <w:p w14:paraId="4C8CD71F" w14:textId="77777777" w:rsidR="00494CC5" w:rsidRPr="00FD4EE9" w:rsidRDefault="00494CC5"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Brazil</w:t>
            </w:r>
          </w:p>
        </w:tc>
        <w:tc>
          <w:tcPr>
            <w:tcW w:w="1418" w:type="dxa"/>
            <w:tcBorders>
              <w:top w:val="nil"/>
              <w:left w:val="nil"/>
              <w:bottom w:val="nil"/>
              <w:right w:val="nil"/>
            </w:tcBorders>
          </w:tcPr>
          <w:p w14:paraId="5225A3C5" w14:textId="77777777" w:rsidR="00494CC5" w:rsidRPr="00FD4EE9" w:rsidRDefault="00494CC5"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2019</w:t>
            </w:r>
          </w:p>
        </w:tc>
      </w:tr>
      <w:tr w:rsidR="00494CC5" w:rsidRPr="00FD4EE9" w14:paraId="5E5024DB" w14:textId="77777777" w:rsidTr="00494CC5">
        <w:tc>
          <w:tcPr>
            <w:tcW w:w="2269" w:type="dxa"/>
            <w:tcBorders>
              <w:top w:val="nil"/>
              <w:left w:val="single" w:sz="4" w:space="0" w:color="auto"/>
              <w:bottom w:val="nil"/>
              <w:right w:val="nil"/>
            </w:tcBorders>
          </w:tcPr>
          <w:p w14:paraId="2873917B" w14:textId="77777777" w:rsidR="00494CC5" w:rsidRPr="00FD4EE9" w:rsidRDefault="00494CC5"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Marco Gonzalez</w:t>
            </w:r>
          </w:p>
        </w:tc>
        <w:tc>
          <w:tcPr>
            <w:tcW w:w="3827" w:type="dxa"/>
            <w:tcBorders>
              <w:top w:val="nil"/>
              <w:left w:val="nil"/>
              <w:bottom w:val="nil"/>
              <w:right w:val="nil"/>
            </w:tcBorders>
          </w:tcPr>
          <w:p w14:paraId="74A0F4B2" w14:textId="77777777" w:rsidR="00494CC5" w:rsidRPr="00FD4EE9" w:rsidRDefault="00494CC5"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Consultant</w:t>
            </w:r>
          </w:p>
        </w:tc>
        <w:tc>
          <w:tcPr>
            <w:tcW w:w="1417" w:type="dxa"/>
            <w:tcBorders>
              <w:top w:val="nil"/>
              <w:left w:val="nil"/>
              <w:bottom w:val="nil"/>
              <w:right w:val="nil"/>
            </w:tcBorders>
          </w:tcPr>
          <w:p w14:paraId="5DD848C6" w14:textId="77777777" w:rsidR="00494CC5" w:rsidRPr="00FD4EE9" w:rsidRDefault="00494CC5"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Costa Rica</w:t>
            </w:r>
          </w:p>
        </w:tc>
        <w:tc>
          <w:tcPr>
            <w:tcW w:w="1418" w:type="dxa"/>
            <w:tcBorders>
              <w:top w:val="nil"/>
              <w:left w:val="nil"/>
              <w:bottom w:val="nil"/>
              <w:right w:val="nil"/>
            </w:tcBorders>
          </w:tcPr>
          <w:p w14:paraId="4D6CB45D" w14:textId="1DDE2B1D" w:rsidR="00494CC5" w:rsidRPr="00FD4EE9" w:rsidRDefault="00494CC5"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2017</w:t>
            </w:r>
            <w:r w:rsidR="00B508CB">
              <w:rPr>
                <w:sz w:val="20"/>
              </w:rPr>
              <w:t>*</w:t>
            </w:r>
          </w:p>
        </w:tc>
      </w:tr>
      <w:tr w:rsidR="00494CC5" w:rsidRPr="00FD4EE9" w14:paraId="1B1B1E14" w14:textId="77777777" w:rsidTr="00494CC5">
        <w:tc>
          <w:tcPr>
            <w:tcW w:w="2269" w:type="dxa"/>
            <w:tcBorders>
              <w:top w:val="nil"/>
              <w:left w:val="single" w:sz="4" w:space="0" w:color="auto"/>
              <w:bottom w:val="nil"/>
              <w:right w:val="nil"/>
            </w:tcBorders>
          </w:tcPr>
          <w:p w14:paraId="43A2D3EE" w14:textId="0909C32D" w:rsidR="00494CC5" w:rsidRPr="00FD4EE9" w:rsidRDefault="00B508CB"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Pr>
                <w:sz w:val="20"/>
              </w:rPr>
              <w:t>Rajendra Shende</w:t>
            </w:r>
          </w:p>
        </w:tc>
        <w:tc>
          <w:tcPr>
            <w:tcW w:w="3827" w:type="dxa"/>
            <w:tcBorders>
              <w:top w:val="nil"/>
              <w:left w:val="nil"/>
              <w:bottom w:val="nil"/>
              <w:right w:val="nil"/>
            </w:tcBorders>
          </w:tcPr>
          <w:p w14:paraId="58A91A4A" w14:textId="1E309D80" w:rsidR="00494CC5" w:rsidRPr="00FD4EE9" w:rsidRDefault="00B508CB"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Pr>
                <w:sz w:val="20"/>
              </w:rPr>
              <w:t>Terre Policy Centre</w:t>
            </w:r>
          </w:p>
        </w:tc>
        <w:tc>
          <w:tcPr>
            <w:tcW w:w="1417" w:type="dxa"/>
            <w:tcBorders>
              <w:top w:val="nil"/>
              <w:left w:val="nil"/>
              <w:bottom w:val="nil"/>
              <w:right w:val="nil"/>
            </w:tcBorders>
          </w:tcPr>
          <w:p w14:paraId="6A627800" w14:textId="6DE4F79C" w:rsidR="00494CC5" w:rsidRPr="00FD4EE9" w:rsidRDefault="00B508CB"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Pr>
                <w:sz w:val="20"/>
              </w:rPr>
              <w:t>India</w:t>
            </w:r>
          </w:p>
        </w:tc>
        <w:tc>
          <w:tcPr>
            <w:tcW w:w="1418" w:type="dxa"/>
            <w:tcBorders>
              <w:top w:val="nil"/>
              <w:left w:val="nil"/>
              <w:bottom w:val="nil"/>
              <w:right w:val="nil"/>
            </w:tcBorders>
          </w:tcPr>
          <w:p w14:paraId="5EA28026" w14:textId="75C6E029" w:rsidR="00494CC5" w:rsidRPr="00FD4EE9" w:rsidRDefault="00B508CB"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Pr>
                <w:sz w:val="20"/>
              </w:rPr>
              <w:t>2020</w:t>
            </w:r>
          </w:p>
        </w:tc>
      </w:tr>
      <w:tr w:rsidR="00494CC5" w:rsidRPr="00FD4EE9" w14:paraId="21A67D95" w14:textId="77777777" w:rsidTr="00494CC5">
        <w:tc>
          <w:tcPr>
            <w:tcW w:w="2269" w:type="dxa"/>
            <w:tcBorders>
              <w:top w:val="nil"/>
              <w:left w:val="single" w:sz="4" w:space="0" w:color="auto"/>
              <w:bottom w:val="nil"/>
              <w:right w:val="nil"/>
            </w:tcBorders>
          </w:tcPr>
          <w:p w14:paraId="7A5DAACC" w14:textId="77777777" w:rsidR="00494CC5" w:rsidRPr="00FD4EE9" w:rsidRDefault="00494CC5"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Shiqiu Zhang</w:t>
            </w:r>
          </w:p>
        </w:tc>
        <w:tc>
          <w:tcPr>
            <w:tcW w:w="3827" w:type="dxa"/>
            <w:tcBorders>
              <w:top w:val="nil"/>
              <w:left w:val="nil"/>
              <w:bottom w:val="nil"/>
              <w:right w:val="nil"/>
            </w:tcBorders>
          </w:tcPr>
          <w:p w14:paraId="766E4386" w14:textId="1D0AA317" w:rsidR="00494CC5" w:rsidRPr="00FD4EE9" w:rsidRDefault="005631AF"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23"/>
              <w:rPr>
                <w:sz w:val="20"/>
              </w:rPr>
            </w:pPr>
            <w:r>
              <w:rPr>
                <w:sz w:val="20"/>
              </w:rPr>
              <w:t>Pek</w:t>
            </w:r>
            <w:r w:rsidR="00177452">
              <w:rPr>
                <w:sz w:val="20"/>
              </w:rPr>
              <w:t>ing</w:t>
            </w:r>
            <w:r w:rsidR="00494CC5" w:rsidRPr="00FD4EE9">
              <w:rPr>
                <w:sz w:val="20"/>
              </w:rPr>
              <w:t xml:space="preserve"> University</w:t>
            </w:r>
          </w:p>
        </w:tc>
        <w:tc>
          <w:tcPr>
            <w:tcW w:w="1417" w:type="dxa"/>
            <w:tcBorders>
              <w:top w:val="nil"/>
              <w:left w:val="nil"/>
              <w:bottom w:val="nil"/>
              <w:right w:val="nil"/>
            </w:tcBorders>
          </w:tcPr>
          <w:p w14:paraId="7F216FC6" w14:textId="77777777" w:rsidR="00494CC5" w:rsidRPr="00FD4EE9" w:rsidRDefault="00494CC5"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China</w:t>
            </w:r>
          </w:p>
        </w:tc>
        <w:tc>
          <w:tcPr>
            <w:tcW w:w="1418" w:type="dxa"/>
            <w:tcBorders>
              <w:top w:val="nil"/>
              <w:left w:val="nil"/>
              <w:bottom w:val="nil"/>
              <w:right w:val="nil"/>
            </w:tcBorders>
          </w:tcPr>
          <w:p w14:paraId="40CA0820" w14:textId="69926E8B" w:rsidR="00494CC5" w:rsidRPr="00FD4EE9" w:rsidRDefault="00494CC5"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2017</w:t>
            </w:r>
            <w:r w:rsidR="00B508CB">
              <w:rPr>
                <w:sz w:val="20"/>
              </w:rPr>
              <w:t>*</w:t>
            </w:r>
          </w:p>
        </w:tc>
      </w:tr>
      <w:tr w:rsidR="00494CC5" w:rsidRPr="00FD4EE9" w14:paraId="3DA2E802" w14:textId="77777777" w:rsidTr="00494CC5">
        <w:tc>
          <w:tcPr>
            <w:tcW w:w="2269" w:type="dxa"/>
            <w:tcBorders>
              <w:top w:val="nil"/>
              <w:left w:val="single" w:sz="4" w:space="0" w:color="auto"/>
              <w:bottom w:val="nil"/>
              <w:right w:val="nil"/>
            </w:tcBorders>
          </w:tcPr>
          <w:p w14:paraId="0B2C7B53" w14:textId="77777777" w:rsidR="00494CC5" w:rsidRPr="00FD4EE9" w:rsidRDefault="00494CC5"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b/>
                <w:sz w:val="20"/>
              </w:rPr>
              <w:t>TOC Chairs</w:t>
            </w:r>
          </w:p>
        </w:tc>
        <w:tc>
          <w:tcPr>
            <w:tcW w:w="3827" w:type="dxa"/>
            <w:tcBorders>
              <w:top w:val="nil"/>
              <w:left w:val="nil"/>
              <w:bottom w:val="nil"/>
              <w:right w:val="nil"/>
            </w:tcBorders>
          </w:tcPr>
          <w:p w14:paraId="4483C97D" w14:textId="77777777" w:rsidR="00494CC5" w:rsidRPr="00FD4EE9" w:rsidRDefault="00494CC5"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23"/>
              <w:rPr>
                <w:sz w:val="20"/>
              </w:rPr>
            </w:pPr>
            <w:r w:rsidRPr="00FD4EE9">
              <w:rPr>
                <w:b/>
                <w:sz w:val="20"/>
              </w:rPr>
              <w:t>Affiliation</w:t>
            </w:r>
          </w:p>
        </w:tc>
        <w:tc>
          <w:tcPr>
            <w:tcW w:w="1417" w:type="dxa"/>
            <w:tcBorders>
              <w:top w:val="nil"/>
              <w:left w:val="nil"/>
              <w:bottom w:val="nil"/>
              <w:right w:val="nil"/>
            </w:tcBorders>
          </w:tcPr>
          <w:p w14:paraId="0ED58BF1" w14:textId="77777777" w:rsidR="00494CC5" w:rsidRPr="00FD4EE9" w:rsidRDefault="00494CC5"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b/>
                <w:sz w:val="20"/>
              </w:rPr>
              <w:t>Country</w:t>
            </w:r>
          </w:p>
        </w:tc>
        <w:tc>
          <w:tcPr>
            <w:tcW w:w="1418" w:type="dxa"/>
            <w:tcBorders>
              <w:top w:val="nil"/>
              <w:left w:val="nil"/>
              <w:bottom w:val="nil"/>
              <w:right w:val="nil"/>
            </w:tcBorders>
          </w:tcPr>
          <w:p w14:paraId="316653A0" w14:textId="77777777" w:rsidR="00494CC5" w:rsidRPr="00FD4EE9" w:rsidRDefault="00494CC5"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b/>
                <w:sz w:val="20"/>
              </w:rPr>
              <w:t>Appointed through</w:t>
            </w:r>
          </w:p>
        </w:tc>
      </w:tr>
      <w:tr w:rsidR="00B508CB" w:rsidRPr="00FD4EE9" w14:paraId="2859D8F4" w14:textId="77777777" w:rsidTr="00494CC5">
        <w:tc>
          <w:tcPr>
            <w:tcW w:w="2269" w:type="dxa"/>
            <w:tcBorders>
              <w:top w:val="nil"/>
              <w:left w:val="single" w:sz="4" w:space="0" w:color="auto"/>
              <w:bottom w:val="nil"/>
              <w:right w:val="nil"/>
            </w:tcBorders>
          </w:tcPr>
          <w:p w14:paraId="155C5AF4" w14:textId="79929FBA" w:rsidR="00B508CB" w:rsidRPr="00FD4EE9" w:rsidRDefault="00B508CB"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Pr>
                <w:sz w:val="20"/>
              </w:rPr>
              <w:t>Paulo Altoé</w:t>
            </w:r>
          </w:p>
        </w:tc>
        <w:tc>
          <w:tcPr>
            <w:tcW w:w="3827" w:type="dxa"/>
            <w:tcBorders>
              <w:top w:val="nil"/>
              <w:left w:val="nil"/>
              <w:bottom w:val="nil"/>
              <w:right w:val="nil"/>
            </w:tcBorders>
          </w:tcPr>
          <w:p w14:paraId="1319EFC0" w14:textId="77777777" w:rsidR="00B508CB" w:rsidRPr="00FD4EE9" w:rsidRDefault="00B508CB"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23"/>
              <w:rPr>
                <w:sz w:val="20"/>
              </w:rPr>
            </w:pPr>
          </w:p>
        </w:tc>
        <w:tc>
          <w:tcPr>
            <w:tcW w:w="1417" w:type="dxa"/>
            <w:tcBorders>
              <w:top w:val="nil"/>
              <w:left w:val="nil"/>
              <w:bottom w:val="nil"/>
              <w:right w:val="nil"/>
            </w:tcBorders>
          </w:tcPr>
          <w:p w14:paraId="650F5990" w14:textId="1F42040F" w:rsidR="00B508CB" w:rsidRPr="00FD4EE9" w:rsidRDefault="00B508CB"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Pr>
                <w:sz w:val="20"/>
              </w:rPr>
              <w:t>Bra</w:t>
            </w:r>
            <w:r w:rsidR="0000233D">
              <w:rPr>
                <w:sz w:val="20"/>
              </w:rPr>
              <w:t>z</w:t>
            </w:r>
            <w:r>
              <w:rPr>
                <w:sz w:val="20"/>
              </w:rPr>
              <w:t>il</w:t>
            </w:r>
          </w:p>
        </w:tc>
        <w:tc>
          <w:tcPr>
            <w:tcW w:w="1418" w:type="dxa"/>
            <w:tcBorders>
              <w:top w:val="nil"/>
              <w:left w:val="nil"/>
              <w:bottom w:val="nil"/>
              <w:right w:val="nil"/>
            </w:tcBorders>
          </w:tcPr>
          <w:p w14:paraId="18EBC7BA" w14:textId="5ED03567" w:rsidR="00B508CB" w:rsidRPr="00FD4EE9" w:rsidRDefault="00B508CB"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Pr>
                <w:sz w:val="20"/>
              </w:rPr>
              <w:t>2020</w:t>
            </w:r>
          </w:p>
        </w:tc>
      </w:tr>
      <w:tr w:rsidR="00494CC5" w:rsidRPr="00FD4EE9" w14:paraId="5B5D9057" w14:textId="77777777" w:rsidTr="00494CC5">
        <w:tc>
          <w:tcPr>
            <w:tcW w:w="2269" w:type="dxa"/>
            <w:tcBorders>
              <w:top w:val="nil"/>
              <w:left w:val="single" w:sz="4" w:space="0" w:color="auto"/>
              <w:bottom w:val="nil"/>
              <w:right w:val="nil"/>
            </w:tcBorders>
          </w:tcPr>
          <w:p w14:paraId="2DAB6820" w14:textId="77777777" w:rsidR="00494CC5" w:rsidRPr="00FD4EE9" w:rsidRDefault="00494CC5"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Mohamed Besri</w:t>
            </w:r>
          </w:p>
        </w:tc>
        <w:tc>
          <w:tcPr>
            <w:tcW w:w="3827" w:type="dxa"/>
            <w:tcBorders>
              <w:top w:val="nil"/>
              <w:left w:val="nil"/>
              <w:bottom w:val="nil"/>
              <w:right w:val="nil"/>
            </w:tcBorders>
          </w:tcPr>
          <w:p w14:paraId="23C64D79" w14:textId="77777777" w:rsidR="00494CC5" w:rsidRPr="00FD4EE9" w:rsidRDefault="00494CC5"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23"/>
              <w:rPr>
                <w:sz w:val="20"/>
              </w:rPr>
            </w:pPr>
            <w:r w:rsidRPr="00FD4EE9">
              <w:rPr>
                <w:sz w:val="20"/>
              </w:rPr>
              <w:t>Inst. Agronomique et Vétérinaire Hassan II</w:t>
            </w:r>
          </w:p>
        </w:tc>
        <w:tc>
          <w:tcPr>
            <w:tcW w:w="1417" w:type="dxa"/>
            <w:tcBorders>
              <w:top w:val="nil"/>
              <w:left w:val="nil"/>
              <w:bottom w:val="nil"/>
              <w:right w:val="nil"/>
            </w:tcBorders>
          </w:tcPr>
          <w:p w14:paraId="0996D721" w14:textId="77777777" w:rsidR="00494CC5" w:rsidRPr="00FD4EE9" w:rsidRDefault="00494CC5"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Morocco</w:t>
            </w:r>
          </w:p>
        </w:tc>
        <w:tc>
          <w:tcPr>
            <w:tcW w:w="1418" w:type="dxa"/>
            <w:tcBorders>
              <w:top w:val="nil"/>
              <w:left w:val="nil"/>
              <w:bottom w:val="nil"/>
              <w:right w:val="nil"/>
            </w:tcBorders>
          </w:tcPr>
          <w:p w14:paraId="7AC7BAFE" w14:textId="31A7A8D5" w:rsidR="00494CC5" w:rsidRPr="00FD4EE9" w:rsidRDefault="00494CC5"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2017</w:t>
            </w:r>
            <w:r w:rsidR="00B508CB">
              <w:rPr>
                <w:sz w:val="20"/>
              </w:rPr>
              <w:t>*</w:t>
            </w:r>
          </w:p>
        </w:tc>
      </w:tr>
      <w:tr w:rsidR="00494CC5" w:rsidRPr="00FD4EE9" w14:paraId="353E8FF6" w14:textId="77777777" w:rsidTr="00494CC5">
        <w:tc>
          <w:tcPr>
            <w:tcW w:w="2269" w:type="dxa"/>
            <w:tcBorders>
              <w:top w:val="nil"/>
              <w:left w:val="single" w:sz="4" w:space="0" w:color="auto"/>
              <w:bottom w:val="nil"/>
              <w:right w:val="nil"/>
            </w:tcBorders>
          </w:tcPr>
          <w:p w14:paraId="2F77535E" w14:textId="3972E3D6" w:rsidR="00494CC5" w:rsidRPr="00FD4EE9" w:rsidRDefault="00B508CB"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Pr>
                <w:sz w:val="20"/>
              </w:rPr>
              <w:t>Adam Chattaway</w:t>
            </w:r>
          </w:p>
        </w:tc>
        <w:tc>
          <w:tcPr>
            <w:tcW w:w="3827" w:type="dxa"/>
            <w:tcBorders>
              <w:top w:val="nil"/>
              <w:left w:val="nil"/>
              <w:bottom w:val="nil"/>
              <w:right w:val="nil"/>
            </w:tcBorders>
          </w:tcPr>
          <w:p w14:paraId="0FC5F6FF" w14:textId="1F565858" w:rsidR="00494CC5" w:rsidRPr="00FD4EE9" w:rsidRDefault="00A20F61"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23"/>
              <w:rPr>
                <w:sz w:val="20"/>
              </w:rPr>
            </w:pPr>
            <w:r>
              <w:rPr>
                <w:sz w:val="20"/>
              </w:rPr>
              <w:t>UTC Aerospace Systems</w:t>
            </w:r>
          </w:p>
        </w:tc>
        <w:tc>
          <w:tcPr>
            <w:tcW w:w="1417" w:type="dxa"/>
            <w:tcBorders>
              <w:top w:val="nil"/>
              <w:left w:val="nil"/>
              <w:bottom w:val="nil"/>
              <w:right w:val="nil"/>
            </w:tcBorders>
          </w:tcPr>
          <w:p w14:paraId="38A150CE" w14:textId="77777777" w:rsidR="00494CC5" w:rsidRPr="00FD4EE9" w:rsidRDefault="00494CC5"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UK</w:t>
            </w:r>
          </w:p>
        </w:tc>
        <w:tc>
          <w:tcPr>
            <w:tcW w:w="1418" w:type="dxa"/>
            <w:tcBorders>
              <w:top w:val="nil"/>
              <w:left w:val="nil"/>
              <w:bottom w:val="nil"/>
              <w:right w:val="nil"/>
            </w:tcBorders>
          </w:tcPr>
          <w:p w14:paraId="1FA5C335" w14:textId="72A9EF01" w:rsidR="00494CC5" w:rsidRPr="00FD4EE9" w:rsidRDefault="00494CC5" w:rsidP="00B508CB">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w:t>
            </w:r>
            <w:r w:rsidR="00B508CB">
              <w:rPr>
                <w:sz w:val="20"/>
              </w:rPr>
              <w:t>20</w:t>
            </w:r>
          </w:p>
        </w:tc>
      </w:tr>
      <w:tr w:rsidR="00494CC5" w:rsidRPr="00FD4EE9" w14:paraId="7B0665DD" w14:textId="77777777" w:rsidTr="00494CC5">
        <w:tc>
          <w:tcPr>
            <w:tcW w:w="2269" w:type="dxa"/>
            <w:tcBorders>
              <w:top w:val="nil"/>
              <w:left w:val="single" w:sz="4" w:space="0" w:color="auto"/>
              <w:bottom w:val="nil"/>
              <w:right w:val="nil"/>
            </w:tcBorders>
          </w:tcPr>
          <w:p w14:paraId="3C25A3B0" w14:textId="77777777" w:rsidR="00494CC5" w:rsidRPr="00FD4EE9" w:rsidRDefault="00494CC5"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Sergey Kopylov</w:t>
            </w:r>
          </w:p>
        </w:tc>
        <w:tc>
          <w:tcPr>
            <w:tcW w:w="3827" w:type="dxa"/>
            <w:tcBorders>
              <w:top w:val="nil"/>
              <w:left w:val="nil"/>
              <w:bottom w:val="nil"/>
              <w:right w:val="nil"/>
            </w:tcBorders>
          </w:tcPr>
          <w:p w14:paraId="0B05702E" w14:textId="77777777" w:rsidR="00494CC5" w:rsidRPr="00FD4EE9" w:rsidRDefault="00494CC5"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23"/>
              <w:rPr>
                <w:sz w:val="20"/>
              </w:rPr>
            </w:pPr>
            <w:r w:rsidRPr="00FD4EE9">
              <w:rPr>
                <w:sz w:val="20"/>
              </w:rPr>
              <w:t>Russian Res. Institute for Fire Protection</w:t>
            </w:r>
          </w:p>
        </w:tc>
        <w:tc>
          <w:tcPr>
            <w:tcW w:w="1417" w:type="dxa"/>
            <w:tcBorders>
              <w:top w:val="nil"/>
              <w:left w:val="nil"/>
              <w:bottom w:val="nil"/>
              <w:right w:val="nil"/>
            </w:tcBorders>
          </w:tcPr>
          <w:p w14:paraId="6AAD54FF" w14:textId="77777777" w:rsidR="00494CC5" w:rsidRPr="00FD4EE9" w:rsidRDefault="00494CC5"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Russian Fed.</w:t>
            </w:r>
          </w:p>
        </w:tc>
        <w:tc>
          <w:tcPr>
            <w:tcW w:w="1418" w:type="dxa"/>
            <w:tcBorders>
              <w:top w:val="nil"/>
              <w:left w:val="nil"/>
              <w:bottom w:val="nil"/>
              <w:right w:val="nil"/>
            </w:tcBorders>
          </w:tcPr>
          <w:p w14:paraId="16A2B4FF" w14:textId="7C42FE0F" w:rsidR="00494CC5" w:rsidRPr="00FD4EE9" w:rsidRDefault="00494CC5"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2017</w:t>
            </w:r>
            <w:r w:rsidR="00B508CB">
              <w:rPr>
                <w:sz w:val="20"/>
              </w:rPr>
              <w:t>*</w:t>
            </w:r>
          </w:p>
        </w:tc>
      </w:tr>
      <w:tr w:rsidR="00494CC5" w:rsidRPr="00FD4EE9" w14:paraId="02387B38" w14:textId="77777777" w:rsidTr="00494CC5">
        <w:tc>
          <w:tcPr>
            <w:tcW w:w="2269" w:type="dxa"/>
            <w:tcBorders>
              <w:top w:val="nil"/>
              <w:left w:val="single" w:sz="4" w:space="0" w:color="auto"/>
              <w:bottom w:val="nil"/>
              <w:right w:val="nil"/>
            </w:tcBorders>
          </w:tcPr>
          <w:p w14:paraId="3F7EB736" w14:textId="77777777" w:rsidR="00494CC5" w:rsidRPr="00FD4EE9" w:rsidRDefault="00494CC5"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Kei-ichi Ohnishi</w:t>
            </w:r>
          </w:p>
        </w:tc>
        <w:tc>
          <w:tcPr>
            <w:tcW w:w="3827" w:type="dxa"/>
            <w:tcBorders>
              <w:top w:val="nil"/>
              <w:left w:val="nil"/>
              <w:bottom w:val="nil"/>
              <w:right w:val="nil"/>
            </w:tcBorders>
          </w:tcPr>
          <w:p w14:paraId="7B476A0E" w14:textId="77777777" w:rsidR="00494CC5" w:rsidRPr="00FD4EE9" w:rsidRDefault="00494CC5"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Asahi Glass</w:t>
            </w:r>
          </w:p>
        </w:tc>
        <w:tc>
          <w:tcPr>
            <w:tcW w:w="1417" w:type="dxa"/>
            <w:tcBorders>
              <w:top w:val="nil"/>
              <w:left w:val="nil"/>
              <w:bottom w:val="nil"/>
              <w:right w:val="nil"/>
            </w:tcBorders>
          </w:tcPr>
          <w:p w14:paraId="7DBC9A50" w14:textId="77777777" w:rsidR="00494CC5" w:rsidRPr="00FD4EE9" w:rsidRDefault="00494CC5"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Japan</w:t>
            </w:r>
          </w:p>
        </w:tc>
        <w:tc>
          <w:tcPr>
            <w:tcW w:w="1418" w:type="dxa"/>
            <w:tcBorders>
              <w:top w:val="nil"/>
              <w:left w:val="nil"/>
              <w:bottom w:val="nil"/>
              <w:right w:val="nil"/>
            </w:tcBorders>
          </w:tcPr>
          <w:p w14:paraId="4778D963" w14:textId="77777777" w:rsidR="00494CC5" w:rsidRPr="00FD4EE9" w:rsidRDefault="00494CC5"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2019</w:t>
            </w:r>
          </w:p>
        </w:tc>
      </w:tr>
      <w:tr w:rsidR="00494CC5" w:rsidRPr="00FD4EE9" w14:paraId="0A89B821" w14:textId="77777777" w:rsidTr="00494CC5">
        <w:tc>
          <w:tcPr>
            <w:tcW w:w="2269" w:type="dxa"/>
            <w:tcBorders>
              <w:top w:val="nil"/>
              <w:left w:val="single" w:sz="4" w:space="0" w:color="auto"/>
              <w:bottom w:val="nil"/>
              <w:right w:val="nil"/>
            </w:tcBorders>
          </w:tcPr>
          <w:p w14:paraId="4BDBB510" w14:textId="77777777" w:rsidR="00494CC5" w:rsidRPr="00FD4EE9" w:rsidRDefault="00494CC5"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Roberto. Peixoto</w:t>
            </w:r>
          </w:p>
        </w:tc>
        <w:tc>
          <w:tcPr>
            <w:tcW w:w="3827" w:type="dxa"/>
            <w:tcBorders>
              <w:top w:val="nil"/>
              <w:left w:val="nil"/>
              <w:bottom w:val="nil"/>
              <w:right w:val="nil"/>
            </w:tcBorders>
          </w:tcPr>
          <w:p w14:paraId="46BDF69D" w14:textId="77777777" w:rsidR="00494CC5" w:rsidRPr="00FD4EE9" w:rsidRDefault="00494CC5"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 xml:space="preserve">Maua Institute (IMT), Sao Paulo </w:t>
            </w:r>
          </w:p>
        </w:tc>
        <w:tc>
          <w:tcPr>
            <w:tcW w:w="1417" w:type="dxa"/>
            <w:tcBorders>
              <w:top w:val="nil"/>
              <w:left w:val="nil"/>
              <w:bottom w:val="nil"/>
              <w:right w:val="nil"/>
            </w:tcBorders>
          </w:tcPr>
          <w:p w14:paraId="00AAC0AD" w14:textId="77777777" w:rsidR="00494CC5" w:rsidRPr="00FD4EE9" w:rsidRDefault="00494CC5"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Brazil</w:t>
            </w:r>
          </w:p>
        </w:tc>
        <w:tc>
          <w:tcPr>
            <w:tcW w:w="1418" w:type="dxa"/>
            <w:tcBorders>
              <w:top w:val="nil"/>
              <w:left w:val="nil"/>
              <w:bottom w:val="nil"/>
              <w:right w:val="nil"/>
            </w:tcBorders>
          </w:tcPr>
          <w:p w14:paraId="31AE65F2" w14:textId="311979AA" w:rsidR="00494CC5" w:rsidRPr="00FD4EE9" w:rsidRDefault="00494CC5"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2017</w:t>
            </w:r>
            <w:r w:rsidR="00B508CB">
              <w:rPr>
                <w:sz w:val="20"/>
              </w:rPr>
              <w:t>*</w:t>
            </w:r>
          </w:p>
        </w:tc>
      </w:tr>
      <w:tr w:rsidR="00494CC5" w:rsidRPr="00FD4EE9" w14:paraId="22E58406" w14:textId="77777777" w:rsidTr="00494CC5">
        <w:tc>
          <w:tcPr>
            <w:tcW w:w="2269" w:type="dxa"/>
            <w:tcBorders>
              <w:top w:val="nil"/>
              <w:left w:val="single" w:sz="4" w:space="0" w:color="auto"/>
              <w:bottom w:val="nil"/>
              <w:right w:val="nil"/>
            </w:tcBorders>
          </w:tcPr>
          <w:p w14:paraId="60698657" w14:textId="77777777" w:rsidR="00494CC5" w:rsidRPr="00FD4EE9" w:rsidRDefault="00494CC5"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Fabio Polonara</w:t>
            </w:r>
          </w:p>
        </w:tc>
        <w:tc>
          <w:tcPr>
            <w:tcW w:w="3827" w:type="dxa"/>
            <w:tcBorders>
              <w:top w:val="nil"/>
              <w:left w:val="nil"/>
              <w:bottom w:val="nil"/>
              <w:right w:val="nil"/>
            </w:tcBorders>
          </w:tcPr>
          <w:p w14:paraId="4B53B094" w14:textId="77777777" w:rsidR="00494CC5" w:rsidRPr="00FD4EE9" w:rsidRDefault="00494CC5"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Universitá Politecnica delle Marche</w:t>
            </w:r>
          </w:p>
        </w:tc>
        <w:tc>
          <w:tcPr>
            <w:tcW w:w="1417" w:type="dxa"/>
            <w:tcBorders>
              <w:top w:val="nil"/>
              <w:left w:val="nil"/>
              <w:bottom w:val="nil"/>
              <w:right w:val="nil"/>
            </w:tcBorders>
          </w:tcPr>
          <w:p w14:paraId="64A9EE63" w14:textId="77777777" w:rsidR="00494CC5" w:rsidRPr="00FD4EE9" w:rsidRDefault="00494CC5"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Italy</w:t>
            </w:r>
          </w:p>
        </w:tc>
        <w:tc>
          <w:tcPr>
            <w:tcW w:w="1418" w:type="dxa"/>
            <w:tcBorders>
              <w:top w:val="nil"/>
              <w:left w:val="nil"/>
              <w:bottom w:val="nil"/>
              <w:right w:val="nil"/>
            </w:tcBorders>
          </w:tcPr>
          <w:p w14:paraId="662B36E3" w14:textId="77777777" w:rsidR="00494CC5" w:rsidRPr="00FD4EE9" w:rsidRDefault="00494CC5"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2018</w:t>
            </w:r>
          </w:p>
        </w:tc>
      </w:tr>
      <w:tr w:rsidR="00494CC5" w:rsidRPr="00FD4EE9" w14:paraId="1F423C95" w14:textId="77777777" w:rsidTr="00494CC5">
        <w:tc>
          <w:tcPr>
            <w:tcW w:w="2269" w:type="dxa"/>
            <w:tcBorders>
              <w:top w:val="nil"/>
              <w:left w:val="single" w:sz="4" w:space="0" w:color="auto"/>
              <w:bottom w:val="nil"/>
              <w:right w:val="nil"/>
            </w:tcBorders>
          </w:tcPr>
          <w:p w14:paraId="5A06A0B0" w14:textId="77777777" w:rsidR="00494CC5" w:rsidRPr="00FD4EE9" w:rsidRDefault="00494CC5"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Ian Porter</w:t>
            </w:r>
          </w:p>
        </w:tc>
        <w:tc>
          <w:tcPr>
            <w:tcW w:w="3827" w:type="dxa"/>
            <w:tcBorders>
              <w:top w:val="nil"/>
              <w:left w:val="nil"/>
              <w:bottom w:val="nil"/>
              <w:right w:val="nil"/>
            </w:tcBorders>
          </w:tcPr>
          <w:p w14:paraId="4B4F56DB" w14:textId="77777777" w:rsidR="00494CC5" w:rsidRPr="00FD4EE9" w:rsidRDefault="00494CC5"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La Trobe University</w:t>
            </w:r>
          </w:p>
        </w:tc>
        <w:tc>
          <w:tcPr>
            <w:tcW w:w="1417" w:type="dxa"/>
            <w:tcBorders>
              <w:top w:val="nil"/>
              <w:left w:val="nil"/>
              <w:bottom w:val="nil"/>
              <w:right w:val="nil"/>
            </w:tcBorders>
          </w:tcPr>
          <w:p w14:paraId="3DC3DE02" w14:textId="77777777" w:rsidR="00494CC5" w:rsidRPr="00FD4EE9" w:rsidRDefault="00494CC5"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Australia</w:t>
            </w:r>
          </w:p>
        </w:tc>
        <w:tc>
          <w:tcPr>
            <w:tcW w:w="1418" w:type="dxa"/>
            <w:tcBorders>
              <w:top w:val="nil"/>
              <w:left w:val="nil"/>
              <w:bottom w:val="nil"/>
              <w:right w:val="nil"/>
            </w:tcBorders>
          </w:tcPr>
          <w:p w14:paraId="1E28D363" w14:textId="749D9079" w:rsidR="00494CC5" w:rsidRPr="00FD4EE9" w:rsidRDefault="00494CC5"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2017</w:t>
            </w:r>
            <w:r w:rsidR="00B508CB">
              <w:rPr>
                <w:sz w:val="20"/>
              </w:rPr>
              <w:t>*</w:t>
            </w:r>
          </w:p>
        </w:tc>
      </w:tr>
      <w:tr w:rsidR="00494CC5" w:rsidRPr="00FD4EE9" w14:paraId="57BA2089" w14:textId="77777777" w:rsidTr="00494CC5">
        <w:tc>
          <w:tcPr>
            <w:tcW w:w="2269" w:type="dxa"/>
            <w:tcBorders>
              <w:top w:val="nil"/>
              <w:left w:val="single" w:sz="4" w:space="0" w:color="auto"/>
              <w:bottom w:val="nil"/>
              <w:right w:val="nil"/>
            </w:tcBorders>
          </w:tcPr>
          <w:p w14:paraId="4B1ADBC5" w14:textId="77777777" w:rsidR="00494CC5" w:rsidRPr="00FD4EE9" w:rsidRDefault="00494CC5"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Helen Tope</w:t>
            </w:r>
          </w:p>
        </w:tc>
        <w:tc>
          <w:tcPr>
            <w:tcW w:w="3827" w:type="dxa"/>
            <w:tcBorders>
              <w:top w:val="nil"/>
              <w:left w:val="nil"/>
              <w:bottom w:val="nil"/>
              <w:right w:val="nil"/>
            </w:tcBorders>
          </w:tcPr>
          <w:p w14:paraId="606E04E2" w14:textId="77777777" w:rsidR="00494CC5" w:rsidRPr="00FD4EE9" w:rsidRDefault="00494CC5"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Energy International Australia</w:t>
            </w:r>
          </w:p>
        </w:tc>
        <w:tc>
          <w:tcPr>
            <w:tcW w:w="1417" w:type="dxa"/>
            <w:tcBorders>
              <w:top w:val="nil"/>
              <w:left w:val="nil"/>
              <w:bottom w:val="nil"/>
              <w:right w:val="nil"/>
            </w:tcBorders>
          </w:tcPr>
          <w:p w14:paraId="77BE36A7" w14:textId="77777777" w:rsidR="00494CC5" w:rsidRPr="00FD4EE9" w:rsidRDefault="00494CC5"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Australia</w:t>
            </w:r>
          </w:p>
        </w:tc>
        <w:tc>
          <w:tcPr>
            <w:tcW w:w="1418" w:type="dxa"/>
            <w:tcBorders>
              <w:top w:val="nil"/>
              <w:left w:val="nil"/>
              <w:bottom w:val="nil"/>
              <w:right w:val="nil"/>
            </w:tcBorders>
          </w:tcPr>
          <w:p w14:paraId="57439BBA" w14:textId="4F6B5F97" w:rsidR="00494CC5" w:rsidRPr="00FD4EE9" w:rsidRDefault="00494CC5"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2017</w:t>
            </w:r>
            <w:r w:rsidR="00B508CB">
              <w:rPr>
                <w:sz w:val="20"/>
              </w:rPr>
              <w:t>*</w:t>
            </w:r>
          </w:p>
        </w:tc>
      </w:tr>
      <w:tr w:rsidR="00494CC5" w:rsidRPr="00FD4EE9" w14:paraId="23C10216" w14:textId="77777777" w:rsidTr="00494CC5">
        <w:tc>
          <w:tcPr>
            <w:tcW w:w="2269" w:type="dxa"/>
            <w:tcBorders>
              <w:top w:val="nil"/>
              <w:left w:val="single" w:sz="4" w:space="0" w:color="auto"/>
              <w:bottom w:val="nil"/>
              <w:right w:val="nil"/>
            </w:tcBorders>
          </w:tcPr>
          <w:p w14:paraId="1A7F0C2D" w14:textId="77777777" w:rsidR="00494CC5" w:rsidRPr="00FD4EE9" w:rsidRDefault="00494CC5"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Daniel P. Verdonik</w:t>
            </w:r>
          </w:p>
        </w:tc>
        <w:tc>
          <w:tcPr>
            <w:tcW w:w="3827" w:type="dxa"/>
            <w:tcBorders>
              <w:top w:val="nil"/>
              <w:left w:val="nil"/>
              <w:bottom w:val="nil"/>
              <w:right w:val="nil"/>
            </w:tcBorders>
          </w:tcPr>
          <w:p w14:paraId="1702DD1D" w14:textId="0A1888C2" w:rsidR="00494CC5" w:rsidRPr="00FD4EE9" w:rsidRDefault="00DD7190" w:rsidP="00A20F61">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J</w:t>
            </w:r>
            <w:r w:rsidR="00A20F61">
              <w:rPr>
                <w:sz w:val="20"/>
              </w:rPr>
              <w:t>ensen</w:t>
            </w:r>
            <w:r w:rsidRPr="00FD4EE9">
              <w:rPr>
                <w:sz w:val="20"/>
              </w:rPr>
              <w:t xml:space="preserve"> H</w:t>
            </w:r>
            <w:r w:rsidR="00A20F61">
              <w:rPr>
                <w:sz w:val="20"/>
              </w:rPr>
              <w:t>ughes</w:t>
            </w:r>
          </w:p>
        </w:tc>
        <w:tc>
          <w:tcPr>
            <w:tcW w:w="1417" w:type="dxa"/>
            <w:tcBorders>
              <w:top w:val="nil"/>
              <w:left w:val="nil"/>
              <w:bottom w:val="nil"/>
              <w:right w:val="nil"/>
            </w:tcBorders>
          </w:tcPr>
          <w:p w14:paraId="63E94EF1" w14:textId="6D25246B" w:rsidR="00494CC5" w:rsidRPr="00FD4EE9" w:rsidRDefault="0070607D"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Pr>
                <w:sz w:val="20"/>
              </w:rPr>
              <w:t>US</w:t>
            </w:r>
          </w:p>
        </w:tc>
        <w:tc>
          <w:tcPr>
            <w:tcW w:w="1418" w:type="dxa"/>
            <w:tcBorders>
              <w:top w:val="nil"/>
              <w:left w:val="nil"/>
              <w:bottom w:val="nil"/>
              <w:right w:val="nil"/>
            </w:tcBorders>
          </w:tcPr>
          <w:p w14:paraId="0886503E" w14:textId="66AB29B1" w:rsidR="00494CC5" w:rsidRPr="00FD4EE9" w:rsidRDefault="00494CC5" w:rsidP="00B508CB">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w:t>
            </w:r>
            <w:r w:rsidR="00B508CB">
              <w:rPr>
                <w:sz w:val="20"/>
              </w:rPr>
              <w:t>20</w:t>
            </w:r>
          </w:p>
        </w:tc>
      </w:tr>
      <w:tr w:rsidR="00494CC5" w:rsidRPr="00FD4EE9" w14:paraId="49DA5CE1" w14:textId="77777777" w:rsidTr="00494CC5">
        <w:tc>
          <w:tcPr>
            <w:tcW w:w="2269" w:type="dxa"/>
            <w:tcBorders>
              <w:top w:val="nil"/>
              <w:left w:val="single" w:sz="4" w:space="0" w:color="auto"/>
              <w:bottom w:val="nil"/>
              <w:right w:val="nil"/>
            </w:tcBorders>
          </w:tcPr>
          <w:p w14:paraId="3E79DC3C" w14:textId="77777777" w:rsidR="00494CC5" w:rsidRPr="00FD4EE9" w:rsidRDefault="00494CC5"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Jianjun Zhang</w:t>
            </w:r>
          </w:p>
        </w:tc>
        <w:tc>
          <w:tcPr>
            <w:tcW w:w="3827" w:type="dxa"/>
            <w:tcBorders>
              <w:top w:val="nil"/>
              <w:left w:val="nil"/>
              <w:bottom w:val="nil"/>
              <w:right w:val="nil"/>
            </w:tcBorders>
          </w:tcPr>
          <w:p w14:paraId="6402C642" w14:textId="77777777" w:rsidR="00494CC5" w:rsidRPr="00FD4EE9" w:rsidRDefault="00494CC5"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Sen Yat Sen University</w:t>
            </w:r>
          </w:p>
        </w:tc>
        <w:tc>
          <w:tcPr>
            <w:tcW w:w="1417" w:type="dxa"/>
            <w:tcBorders>
              <w:top w:val="nil"/>
              <w:left w:val="nil"/>
              <w:bottom w:val="nil"/>
              <w:right w:val="nil"/>
            </w:tcBorders>
          </w:tcPr>
          <w:p w14:paraId="597CB15C" w14:textId="77777777" w:rsidR="00494CC5" w:rsidRPr="00FD4EE9" w:rsidRDefault="00494CC5"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PRC</w:t>
            </w:r>
          </w:p>
        </w:tc>
        <w:tc>
          <w:tcPr>
            <w:tcW w:w="1418" w:type="dxa"/>
            <w:tcBorders>
              <w:top w:val="nil"/>
              <w:left w:val="nil"/>
              <w:bottom w:val="nil"/>
              <w:right w:val="nil"/>
            </w:tcBorders>
          </w:tcPr>
          <w:p w14:paraId="1FACF908" w14:textId="7A7B67EB" w:rsidR="00494CC5" w:rsidRPr="00FD4EE9" w:rsidRDefault="00494CC5" w:rsidP="00177452">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w:t>
            </w:r>
            <w:r w:rsidR="00177452">
              <w:rPr>
                <w:sz w:val="20"/>
              </w:rPr>
              <w:t>9</w:t>
            </w:r>
          </w:p>
        </w:tc>
      </w:tr>
    </w:tbl>
    <w:p w14:paraId="592A0DB0" w14:textId="77777777" w:rsidR="00494CC5" w:rsidRPr="00807C7E" w:rsidRDefault="004D1972">
      <w:pPr>
        <w:tabs>
          <w:tab w:val="left" w:pos="720"/>
          <w:tab w:val="left" w:pos="1080"/>
        </w:tabs>
        <w:spacing w:after="0"/>
        <w:rPr>
          <w:i/>
          <w:sz w:val="20"/>
        </w:rPr>
      </w:pPr>
      <w:r w:rsidRPr="00807C7E">
        <w:rPr>
          <w:sz w:val="20"/>
        </w:rPr>
        <w:t xml:space="preserve">* </w:t>
      </w:r>
      <w:r w:rsidRPr="00807C7E">
        <w:rPr>
          <w:i/>
          <w:sz w:val="20"/>
        </w:rPr>
        <w:t>Indicates members whose terms expire at the end of the current year</w:t>
      </w:r>
    </w:p>
    <w:p w14:paraId="3D5BECA2" w14:textId="77777777" w:rsidR="004D1972" w:rsidRPr="00FD4EE9" w:rsidRDefault="004D1972">
      <w:pPr>
        <w:tabs>
          <w:tab w:val="left" w:pos="720"/>
          <w:tab w:val="left" w:pos="1080"/>
        </w:tabs>
        <w:spacing w:after="0"/>
        <w:rPr>
          <w:i/>
        </w:rPr>
      </w:pPr>
    </w:p>
    <w:p w14:paraId="0A91D893" w14:textId="77777777" w:rsidR="00D64079" w:rsidRPr="00FD4EE9" w:rsidRDefault="00BB5801" w:rsidP="006A713F">
      <w:pPr>
        <w:tabs>
          <w:tab w:val="left" w:pos="720"/>
          <w:tab w:val="left" w:pos="1080"/>
        </w:tabs>
        <w:spacing w:after="0"/>
        <w:rPr>
          <w:lang w:val="en-US"/>
        </w:rPr>
      </w:pPr>
      <w:r w:rsidRPr="00FD4EE9">
        <w:rPr>
          <w:lang w:val="en-US"/>
        </w:rPr>
        <w:t>TEAP’s TOR (</w:t>
      </w:r>
      <w:r w:rsidR="008A683D" w:rsidRPr="00FD4EE9">
        <w:rPr>
          <w:lang w:val="en-US"/>
        </w:rPr>
        <w:t>2.5)</w:t>
      </w:r>
      <w:r w:rsidRPr="00FD4EE9">
        <w:rPr>
          <w:lang w:val="en-US"/>
        </w:rPr>
        <w:t xml:space="preserve"> specifies that </w:t>
      </w:r>
      <w:r w:rsidRPr="00FD4EE9">
        <w:rPr>
          <w:i/>
          <w:lang w:val="en-US"/>
        </w:rPr>
        <w:t>“TOC members are appointed by the TOC co-chairs, in consultation with TEAP, for a period of no more than four years…[and] may be re-appointed following the procedure for nominations for additional periods of up to four years each.</w:t>
      </w:r>
      <w:r w:rsidRPr="00FD4EE9">
        <w:rPr>
          <w:lang w:val="en-US"/>
        </w:rPr>
        <w:t xml:space="preserve">” New appointments </w:t>
      </w:r>
      <w:r w:rsidR="008A683D" w:rsidRPr="00FD4EE9">
        <w:rPr>
          <w:lang w:val="en-US"/>
        </w:rPr>
        <w:t xml:space="preserve">to a TOC </w:t>
      </w:r>
      <w:r w:rsidRPr="00FD4EE9">
        <w:rPr>
          <w:lang w:val="en-US"/>
        </w:rPr>
        <w:t xml:space="preserve">start from the date of appointment </w:t>
      </w:r>
      <w:r w:rsidR="008A683D" w:rsidRPr="00FD4EE9">
        <w:rPr>
          <w:lang w:val="en-US"/>
        </w:rPr>
        <w:t>by TOC co</w:t>
      </w:r>
      <w:r w:rsidRPr="00FD4EE9">
        <w:rPr>
          <w:lang w:val="en-US"/>
        </w:rPr>
        <w:t>-chairs and end as of 31</w:t>
      </w:r>
      <w:r w:rsidRPr="00FD4EE9">
        <w:rPr>
          <w:vertAlign w:val="superscript"/>
          <w:lang w:val="en-US"/>
        </w:rPr>
        <w:t>st</w:t>
      </w:r>
      <w:r w:rsidRPr="00FD4EE9">
        <w:rPr>
          <w:lang w:val="en-US"/>
        </w:rPr>
        <w:t xml:space="preserve"> December of the final year of appointment</w:t>
      </w:r>
      <w:r w:rsidR="008A683D" w:rsidRPr="00FD4EE9">
        <w:rPr>
          <w:lang w:val="en-US"/>
        </w:rPr>
        <w:t>, up to four years</w:t>
      </w:r>
      <w:r w:rsidRPr="00FD4EE9">
        <w:rPr>
          <w:lang w:val="en-US"/>
        </w:rPr>
        <w:t>.</w:t>
      </w:r>
      <w:r w:rsidR="00D64079" w:rsidRPr="00FD4EE9">
        <w:rPr>
          <w:lang w:val="en-US"/>
        </w:rPr>
        <w:t xml:space="preserve"> </w:t>
      </w:r>
      <w:r w:rsidR="00D64079" w:rsidRPr="00FD4EE9">
        <w:rPr>
          <w:lang w:val="en-US"/>
        </w:rPr>
        <w:br w:type="page"/>
      </w:r>
    </w:p>
    <w:p w14:paraId="3E37C0DC" w14:textId="77777777" w:rsidR="00AD4B2A" w:rsidRPr="00FD4EE9" w:rsidRDefault="004D1972" w:rsidP="00413E4A">
      <w:pPr>
        <w:pStyle w:val="Heading2"/>
      </w:pPr>
      <w:bookmarkStart w:id="280" w:name="_Toc484164409"/>
      <w:r w:rsidRPr="00FD4EE9">
        <w:lastRenderedPageBreak/>
        <w:t>2.</w:t>
      </w:r>
      <w:r w:rsidR="005B3245" w:rsidRPr="00FD4EE9">
        <w:tab/>
      </w:r>
      <w:r w:rsidR="00591AA8" w:rsidRPr="00FD4EE9">
        <w:t>TEAP Flexible and Rigid Foams Technical Options Committee (FTOC)</w:t>
      </w:r>
      <w:bookmarkEnd w:id="280"/>
    </w:p>
    <w:tbl>
      <w:tblPr>
        <w:tblW w:w="8931" w:type="dxa"/>
        <w:tblInd w:w="-34" w:type="dxa"/>
        <w:tblLayout w:type="fixed"/>
        <w:tblLook w:val="0000" w:firstRow="0" w:lastRow="0" w:firstColumn="0" w:lastColumn="0" w:noHBand="0" w:noVBand="0"/>
      </w:tblPr>
      <w:tblGrid>
        <w:gridCol w:w="2269"/>
        <w:gridCol w:w="3827"/>
        <w:gridCol w:w="1417"/>
        <w:gridCol w:w="1418"/>
      </w:tblGrid>
      <w:tr w:rsidR="00787F71" w:rsidRPr="00FD4EE9" w14:paraId="128F88F0" w14:textId="77777777" w:rsidTr="00132C6A">
        <w:tc>
          <w:tcPr>
            <w:tcW w:w="2269" w:type="dxa"/>
            <w:tcBorders>
              <w:top w:val="double" w:sz="4" w:space="0" w:color="auto"/>
              <w:left w:val="single" w:sz="4" w:space="0" w:color="auto"/>
              <w:bottom w:val="double" w:sz="4" w:space="0" w:color="auto"/>
              <w:right w:val="nil"/>
            </w:tcBorders>
          </w:tcPr>
          <w:p w14:paraId="0B466CE9" w14:textId="77777777" w:rsidR="00787F71" w:rsidRPr="00FD4EE9" w:rsidRDefault="00787F71" w:rsidP="00494CC5">
            <w:pPr>
              <w:pBdr>
                <w:top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b/>
                <w:sz w:val="20"/>
              </w:rPr>
            </w:pPr>
            <w:r w:rsidRPr="00FD4EE9">
              <w:rPr>
                <w:b/>
                <w:sz w:val="20"/>
              </w:rPr>
              <w:t xml:space="preserve"> Co-chair</w:t>
            </w:r>
          </w:p>
        </w:tc>
        <w:tc>
          <w:tcPr>
            <w:tcW w:w="3827" w:type="dxa"/>
            <w:tcBorders>
              <w:top w:val="double" w:sz="4" w:space="0" w:color="auto"/>
              <w:left w:val="nil"/>
              <w:bottom w:val="double" w:sz="4" w:space="0" w:color="auto"/>
              <w:right w:val="nil"/>
            </w:tcBorders>
          </w:tcPr>
          <w:p w14:paraId="27CCE104" w14:textId="77777777" w:rsidR="00787F71" w:rsidRPr="00FD4EE9" w:rsidRDefault="00787F71" w:rsidP="00787F71">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b/>
                <w:sz w:val="20"/>
              </w:rPr>
            </w:pPr>
            <w:r w:rsidRPr="00FD4EE9">
              <w:rPr>
                <w:b/>
                <w:sz w:val="20"/>
              </w:rPr>
              <w:t>Affiliation</w:t>
            </w:r>
          </w:p>
        </w:tc>
        <w:tc>
          <w:tcPr>
            <w:tcW w:w="1417" w:type="dxa"/>
            <w:tcBorders>
              <w:top w:val="double" w:sz="4" w:space="0" w:color="auto"/>
              <w:left w:val="nil"/>
              <w:bottom w:val="double" w:sz="4" w:space="0" w:color="auto"/>
              <w:right w:val="nil"/>
            </w:tcBorders>
          </w:tcPr>
          <w:p w14:paraId="79E11D08" w14:textId="77777777" w:rsidR="00787F71" w:rsidRPr="00FD4EE9" w:rsidRDefault="00787F71" w:rsidP="00787F71">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b/>
                <w:sz w:val="20"/>
              </w:rPr>
            </w:pPr>
            <w:r w:rsidRPr="00FD4EE9">
              <w:rPr>
                <w:b/>
                <w:sz w:val="20"/>
              </w:rPr>
              <w:t>Country</w:t>
            </w:r>
          </w:p>
        </w:tc>
        <w:tc>
          <w:tcPr>
            <w:tcW w:w="1418" w:type="dxa"/>
            <w:tcBorders>
              <w:top w:val="double" w:sz="4" w:space="0" w:color="auto"/>
              <w:left w:val="nil"/>
              <w:bottom w:val="double" w:sz="4" w:space="0" w:color="auto"/>
              <w:right w:val="nil"/>
            </w:tcBorders>
          </w:tcPr>
          <w:p w14:paraId="4C23C027" w14:textId="77777777" w:rsidR="00787F71" w:rsidRPr="00FD4EE9" w:rsidRDefault="00787F71" w:rsidP="00787F71">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b/>
                <w:sz w:val="20"/>
              </w:rPr>
            </w:pPr>
            <w:r w:rsidRPr="00FD4EE9">
              <w:rPr>
                <w:b/>
                <w:sz w:val="20"/>
              </w:rPr>
              <w:t>Appointed through</w:t>
            </w:r>
          </w:p>
        </w:tc>
      </w:tr>
      <w:tr w:rsidR="00787F71" w:rsidRPr="00FD4EE9" w14:paraId="6D79F23A" w14:textId="77777777" w:rsidTr="003954A6">
        <w:tc>
          <w:tcPr>
            <w:tcW w:w="2269" w:type="dxa"/>
            <w:tcBorders>
              <w:top w:val="double" w:sz="4" w:space="0" w:color="auto"/>
              <w:left w:val="single" w:sz="4" w:space="0" w:color="auto"/>
              <w:bottom w:val="nil"/>
              <w:right w:val="nil"/>
            </w:tcBorders>
          </w:tcPr>
          <w:p w14:paraId="278520D4" w14:textId="77777777" w:rsidR="00787F71" w:rsidRPr="00FD4EE9" w:rsidRDefault="00787F71" w:rsidP="00787F71">
            <w:pPr>
              <w:pBdr>
                <w:top w:val="single" w:sz="4" w:space="1" w:color="auto"/>
                <w:left w:val="doub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 xml:space="preserve"> Ashley Woodcock </w:t>
            </w:r>
          </w:p>
        </w:tc>
        <w:tc>
          <w:tcPr>
            <w:tcW w:w="3827" w:type="dxa"/>
            <w:tcBorders>
              <w:top w:val="double" w:sz="4" w:space="0" w:color="auto"/>
              <w:left w:val="nil"/>
              <w:bottom w:val="nil"/>
              <w:right w:val="nil"/>
            </w:tcBorders>
          </w:tcPr>
          <w:p w14:paraId="39491CFD" w14:textId="77777777" w:rsidR="00787F71" w:rsidRPr="00FD4EE9" w:rsidRDefault="00787F71" w:rsidP="00787F71">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University of Manchester</w:t>
            </w:r>
          </w:p>
        </w:tc>
        <w:tc>
          <w:tcPr>
            <w:tcW w:w="1417" w:type="dxa"/>
            <w:tcBorders>
              <w:top w:val="double" w:sz="4" w:space="0" w:color="auto"/>
              <w:left w:val="nil"/>
              <w:bottom w:val="nil"/>
              <w:right w:val="nil"/>
            </w:tcBorders>
          </w:tcPr>
          <w:p w14:paraId="44E9E3B0" w14:textId="77777777" w:rsidR="00787F71" w:rsidRPr="00FD4EE9" w:rsidRDefault="00787F71" w:rsidP="00787F71">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UK</w:t>
            </w:r>
          </w:p>
        </w:tc>
        <w:tc>
          <w:tcPr>
            <w:tcW w:w="1418" w:type="dxa"/>
            <w:tcBorders>
              <w:top w:val="double" w:sz="4" w:space="0" w:color="auto"/>
              <w:left w:val="nil"/>
              <w:bottom w:val="nil"/>
              <w:right w:val="nil"/>
            </w:tcBorders>
          </w:tcPr>
          <w:p w14:paraId="5BD09F3E" w14:textId="77777777" w:rsidR="00787F71" w:rsidRPr="00FD4EE9" w:rsidRDefault="00787F71" w:rsidP="00787F71">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Interim</w:t>
            </w:r>
          </w:p>
        </w:tc>
      </w:tr>
      <w:tr w:rsidR="00787F71" w:rsidRPr="00FD4EE9" w14:paraId="0ED411A2" w14:textId="77777777" w:rsidTr="00787F71">
        <w:tc>
          <w:tcPr>
            <w:tcW w:w="2269" w:type="dxa"/>
            <w:tcBorders>
              <w:top w:val="nil"/>
              <w:left w:val="single" w:sz="4" w:space="0" w:color="auto"/>
              <w:bottom w:val="nil"/>
              <w:right w:val="nil"/>
            </w:tcBorders>
          </w:tcPr>
          <w:p w14:paraId="7A4E79B4" w14:textId="2F60B4D8" w:rsidR="00787F71" w:rsidRPr="006B52E0" w:rsidRDefault="006B52E0" w:rsidP="00787F71">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Pr>
                <w:sz w:val="20"/>
              </w:rPr>
              <w:t xml:space="preserve"> </w:t>
            </w:r>
            <w:r w:rsidRPr="006B52E0">
              <w:rPr>
                <w:sz w:val="20"/>
              </w:rPr>
              <w:t>Paulo Altoé</w:t>
            </w:r>
          </w:p>
        </w:tc>
        <w:tc>
          <w:tcPr>
            <w:tcW w:w="3827" w:type="dxa"/>
            <w:tcBorders>
              <w:top w:val="nil"/>
              <w:left w:val="nil"/>
              <w:bottom w:val="nil"/>
              <w:right w:val="nil"/>
            </w:tcBorders>
          </w:tcPr>
          <w:p w14:paraId="2F9FD81E" w14:textId="2C069830" w:rsidR="00787F71" w:rsidRPr="006B52E0" w:rsidRDefault="006B52E0" w:rsidP="00787F71">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6B52E0">
              <w:rPr>
                <w:sz w:val="20"/>
              </w:rPr>
              <w:t>Dow</w:t>
            </w:r>
          </w:p>
        </w:tc>
        <w:tc>
          <w:tcPr>
            <w:tcW w:w="1417" w:type="dxa"/>
            <w:tcBorders>
              <w:top w:val="nil"/>
              <w:left w:val="nil"/>
              <w:bottom w:val="nil"/>
              <w:right w:val="nil"/>
            </w:tcBorders>
          </w:tcPr>
          <w:p w14:paraId="2232B5C4" w14:textId="14093B7D" w:rsidR="00787F71" w:rsidRPr="006B52E0" w:rsidRDefault="006B52E0" w:rsidP="00787F71">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6B52E0">
              <w:rPr>
                <w:sz w:val="20"/>
              </w:rPr>
              <w:t>Brazil</w:t>
            </w:r>
          </w:p>
        </w:tc>
        <w:tc>
          <w:tcPr>
            <w:tcW w:w="1418" w:type="dxa"/>
            <w:tcBorders>
              <w:top w:val="nil"/>
              <w:left w:val="nil"/>
              <w:bottom w:val="nil"/>
              <w:right w:val="nil"/>
            </w:tcBorders>
          </w:tcPr>
          <w:p w14:paraId="0E73E2E5" w14:textId="413BD9EA" w:rsidR="00787F71" w:rsidRPr="006B52E0" w:rsidRDefault="006B52E0" w:rsidP="001F572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6B52E0">
              <w:rPr>
                <w:sz w:val="20"/>
              </w:rPr>
              <w:t>2020</w:t>
            </w:r>
          </w:p>
        </w:tc>
      </w:tr>
      <w:tr w:rsidR="00787F71" w:rsidRPr="00FD4EE9" w14:paraId="5A40DD7B" w14:textId="77777777" w:rsidTr="00787F71">
        <w:tc>
          <w:tcPr>
            <w:tcW w:w="2269" w:type="dxa"/>
            <w:tcBorders>
              <w:top w:val="nil"/>
              <w:left w:val="single" w:sz="4" w:space="0" w:color="auto"/>
              <w:bottom w:val="nil"/>
              <w:right w:val="nil"/>
            </w:tcBorders>
          </w:tcPr>
          <w:p w14:paraId="78B52E4B" w14:textId="77777777" w:rsidR="00787F71" w:rsidRPr="00FD4EE9" w:rsidRDefault="00787F71" w:rsidP="00787F71">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b/>
                <w:sz w:val="20"/>
              </w:rPr>
            </w:pPr>
            <w:r w:rsidRPr="00FD4EE9">
              <w:rPr>
                <w:b/>
                <w:sz w:val="20"/>
              </w:rPr>
              <w:t xml:space="preserve"> Members</w:t>
            </w:r>
          </w:p>
        </w:tc>
        <w:tc>
          <w:tcPr>
            <w:tcW w:w="3827" w:type="dxa"/>
            <w:tcBorders>
              <w:top w:val="nil"/>
              <w:left w:val="nil"/>
              <w:bottom w:val="nil"/>
              <w:right w:val="nil"/>
            </w:tcBorders>
          </w:tcPr>
          <w:p w14:paraId="59BDE729" w14:textId="77777777" w:rsidR="00787F71" w:rsidRPr="00FD4EE9" w:rsidRDefault="00787F71" w:rsidP="00787F71">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b/>
                <w:sz w:val="20"/>
              </w:rPr>
            </w:pPr>
            <w:r w:rsidRPr="00FD4EE9">
              <w:rPr>
                <w:b/>
                <w:sz w:val="20"/>
              </w:rPr>
              <w:t>Affiliation</w:t>
            </w:r>
          </w:p>
        </w:tc>
        <w:tc>
          <w:tcPr>
            <w:tcW w:w="1417" w:type="dxa"/>
            <w:tcBorders>
              <w:top w:val="nil"/>
              <w:left w:val="nil"/>
              <w:bottom w:val="nil"/>
              <w:right w:val="nil"/>
            </w:tcBorders>
          </w:tcPr>
          <w:p w14:paraId="6559E9BB" w14:textId="77777777" w:rsidR="00787F71" w:rsidRPr="00FD4EE9" w:rsidRDefault="00787F71" w:rsidP="00787F71">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b/>
                <w:sz w:val="20"/>
              </w:rPr>
            </w:pPr>
            <w:r w:rsidRPr="00FD4EE9">
              <w:rPr>
                <w:b/>
                <w:sz w:val="20"/>
              </w:rPr>
              <w:t>Country</w:t>
            </w:r>
          </w:p>
        </w:tc>
        <w:tc>
          <w:tcPr>
            <w:tcW w:w="1418" w:type="dxa"/>
            <w:tcBorders>
              <w:top w:val="nil"/>
              <w:left w:val="nil"/>
              <w:bottom w:val="nil"/>
              <w:right w:val="nil"/>
            </w:tcBorders>
          </w:tcPr>
          <w:p w14:paraId="4568A2F8" w14:textId="77777777" w:rsidR="00787F71" w:rsidRPr="00FD4EE9" w:rsidRDefault="00787F71" w:rsidP="00787F71">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b/>
                <w:sz w:val="20"/>
              </w:rPr>
            </w:pPr>
            <w:r w:rsidRPr="00FD4EE9">
              <w:rPr>
                <w:b/>
                <w:sz w:val="20"/>
              </w:rPr>
              <w:t>Appointed through</w:t>
            </w:r>
          </w:p>
        </w:tc>
      </w:tr>
      <w:tr w:rsidR="00787F71" w:rsidRPr="00FD4EE9" w14:paraId="63715DD3" w14:textId="77777777" w:rsidTr="00787F71">
        <w:trPr>
          <w:trHeight w:val="115"/>
        </w:trPr>
        <w:tc>
          <w:tcPr>
            <w:tcW w:w="2269" w:type="dxa"/>
            <w:tcBorders>
              <w:top w:val="nil"/>
              <w:left w:val="single" w:sz="4" w:space="0" w:color="auto"/>
              <w:bottom w:val="nil"/>
              <w:right w:val="nil"/>
            </w:tcBorders>
          </w:tcPr>
          <w:p w14:paraId="057DAC47" w14:textId="77777777" w:rsidR="00787F71" w:rsidRPr="00FD4EE9" w:rsidRDefault="00787F71" w:rsidP="00787F71">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Samir Arora</w:t>
            </w:r>
          </w:p>
        </w:tc>
        <w:tc>
          <w:tcPr>
            <w:tcW w:w="3827" w:type="dxa"/>
            <w:tcBorders>
              <w:top w:val="nil"/>
              <w:left w:val="nil"/>
              <w:bottom w:val="nil"/>
              <w:right w:val="nil"/>
            </w:tcBorders>
          </w:tcPr>
          <w:p w14:paraId="4146C52F" w14:textId="77777777" w:rsidR="00787F71" w:rsidRPr="00FD4EE9" w:rsidRDefault="00787F71" w:rsidP="00787F71">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Industrial Foams</w:t>
            </w:r>
          </w:p>
        </w:tc>
        <w:tc>
          <w:tcPr>
            <w:tcW w:w="1417" w:type="dxa"/>
            <w:tcBorders>
              <w:top w:val="nil"/>
              <w:left w:val="nil"/>
              <w:bottom w:val="nil"/>
              <w:right w:val="nil"/>
            </w:tcBorders>
          </w:tcPr>
          <w:p w14:paraId="5307680D" w14:textId="77777777" w:rsidR="00787F71" w:rsidRPr="00FD4EE9" w:rsidRDefault="00787F71" w:rsidP="00787F71">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India</w:t>
            </w:r>
          </w:p>
        </w:tc>
        <w:tc>
          <w:tcPr>
            <w:tcW w:w="1418" w:type="dxa"/>
            <w:tcBorders>
              <w:top w:val="nil"/>
              <w:left w:val="nil"/>
              <w:bottom w:val="nil"/>
              <w:right w:val="nil"/>
            </w:tcBorders>
          </w:tcPr>
          <w:p w14:paraId="5E2F9B9A" w14:textId="676F6EE6" w:rsidR="00787F71" w:rsidRPr="00FD4EE9" w:rsidRDefault="00787F71" w:rsidP="006B52E0">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w:t>
            </w:r>
            <w:r w:rsidR="006B52E0">
              <w:rPr>
                <w:sz w:val="20"/>
              </w:rPr>
              <w:t>20</w:t>
            </w:r>
          </w:p>
        </w:tc>
      </w:tr>
      <w:tr w:rsidR="00787F71" w:rsidRPr="00FD4EE9" w14:paraId="5530D7FC" w14:textId="77777777" w:rsidTr="00787F71">
        <w:tc>
          <w:tcPr>
            <w:tcW w:w="2269" w:type="dxa"/>
            <w:tcBorders>
              <w:top w:val="nil"/>
              <w:left w:val="single" w:sz="4" w:space="0" w:color="auto"/>
              <w:bottom w:val="nil"/>
              <w:right w:val="nil"/>
            </w:tcBorders>
          </w:tcPr>
          <w:p w14:paraId="06032C31" w14:textId="77777777" w:rsidR="00787F71" w:rsidRPr="00FD4EE9" w:rsidRDefault="00787F71" w:rsidP="00787F71">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Paul Ashford</w:t>
            </w:r>
          </w:p>
        </w:tc>
        <w:tc>
          <w:tcPr>
            <w:tcW w:w="3827" w:type="dxa"/>
            <w:tcBorders>
              <w:top w:val="nil"/>
              <w:left w:val="nil"/>
              <w:bottom w:val="nil"/>
              <w:right w:val="nil"/>
            </w:tcBorders>
          </w:tcPr>
          <w:p w14:paraId="42C30747" w14:textId="77777777" w:rsidR="00787F71" w:rsidRPr="00FD4EE9" w:rsidRDefault="00787F71" w:rsidP="00787F71">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23"/>
              <w:rPr>
                <w:sz w:val="20"/>
              </w:rPr>
            </w:pPr>
            <w:r w:rsidRPr="00FD4EE9">
              <w:rPr>
                <w:sz w:val="20"/>
              </w:rPr>
              <w:t>Anthesis</w:t>
            </w:r>
          </w:p>
        </w:tc>
        <w:tc>
          <w:tcPr>
            <w:tcW w:w="1417" w:type="dxa"/>
            <w:tcBorders>
              <w:top w:val="nil"/>
              <w:left w:val="nil"/>
              <w:bottom w:val="nil"/>
              <w:right w:val="nil"/>
            </w:tcBorders>
          </w:tcPr>
          <w:p w14:paraId="4EFB0077" w14:textId="77777777" w:rsidR="00787F71" w:rsidRPr="00FD4EE9" w:rsidRDefault="00787F71" w:rsidP="00787F71">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UK</w:t>
            </w:r>
          </w:p>
        </w:tc>
        <w:tc>
          <w:tcPr>
            <w:tcW w:w="1418" w:type="dxa"/>
            <w:tcBorders>
              <w:top w:val="nil"/>
              <w:left w:val="nil"/>
              <w:bottom w:val="nil"/>
              <w:right w:val="nil"/>
            </w:tcBorders>
          </w:tcPr>
          <w:p w14:paraId="0E4DAEA0" w14:textId="77777777" w:rsidR="00787F71" w:rsidRPr="00FD4EE9" w:rsidRDefault="00787F71" w:rsidP="00787F71">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2019</w:t>
            </w:r>
          </w:p>
        </w:tc>
      </w:tr>
      <w:tr w:rsidR="00787F71" w:rsidRPr="00FD4EE9" w14:paraId="19854015" w14:textId="77777777" w:rsidTr="00787F71">
        <w:tc>
          <w:tcPr>
            <w:tcW w:w="2269" w:type="dxa"/>
            <w:tcBorders>
              <w:top w:val="nil"/>
              <w:left w:val="single" w:sz="4" w:space="0" w:color="auto"/>
              <w:bottom w:val="nil"/>
              <w:right w:val="nil"/>
            </w:tcBorders>
          </w:tcPr>
          <w:p w14:paraId="4DDAD0AA" w14:textId="77777777" w:rsidR="00787F71" w:rsidRPr="00FD4EE9" w:rsidRDefault="00787F71" w:rsidP="00787F71">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Angela Austin</w:t>
            </w:r>
          </w:p>
        </w:tc>
        <w:tc>
          <w:tcPr>
            <w:tcW w:w="3827" w:type="dxa"/>
            <w:tcBorders>
              <w:top w:val="nil"/>
              <w:left w:val="nil"/>
              <w:bottom w:val="nil"/>
              <w:right w:val="nil"/>
            </w:tcBorders>
          </w:tcPr>
          <w:p w14:paraId="5E83D5BC" w14:textId="77777777" w:rsidR="00787F71" w:rsidRPr="00FD4EE9" w:rsidRDefault="00787F71" w:rsidP="00787F71">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23"/>
              <w:rPr>
                <w:sz w:val="20"/>
              </w:rPr>
            </w:pPr>
            <w:r w:rsidRPr="00FD4EE9">
              <w:rPr>
                <w:sz w:val="20"/>
              </w:rPr>
              <w:t>Consultant</w:t>
            </w:r>
          </w:p>
        </w:tc>
        <w:tc>
          <w:tcPr>
            <w:tcW w:w="1417" w:type="dxa"/>
            <w:tcBorders>
              <w:top w:val="nil"/>
              <w:left w:val="nil"/>
              <w:bottom w:val="nil"/>
              <w:right w:val="nil"/>
            </w:tcBorders>
          </w:tcPr>
          <w:p w14:paraId="02AB6E2F" w14:textId="77777777" w:rsidR="00787F71" w:rsidRPr="00FD4EE9" w:rsidRDefault="00787F71" w:rsidP="00787F71">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UK</w:t>
            </w:r>
          </w:p>
        </w:tc>
        <w:tc>
          <w:tcPr>
            <w:tcW w:w="1418" w:type="dxa"/>
            <w:tcBorders>
              <w:top w:val="nil"/>
              <w:left w:val="nil"/>
              <w:bottom w:val="nil"/>
              <w:right w:val="nil"/>
            </w:tcBorders>
          </w:tcPr>
          <w:p w14:paraId="05AEAF3C" w14:textId="77777777" w:rsidR="00787F71" w:rsidRPr="00FD4EE9" w:rsidRDefault="00787F71" w:rsidP="00787F71">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2019</w:t>
            </w:r>
          </w:p>
        </w:tc>
      </w:tr>
      <w:tr w:rsidR="00787F71" w:rsidRPr="00FD4EE9" w14:paraId="158E1473" w14:textId="77777777" w:rsidTr="00787F71">
        <w:tc>
          <w:tcPr>
            <w:tcW w:w="2269" w:type="dxa"/>
            <w:tcBorders>
              <w:top w:val="nil"/>
              <w:left w:val="single" w:sz="4" w:space="0" w:color="auto"/>
              <w:bottom w:val="nil"/>
              <w:right w:val="nil"/>
            </w:tcBorders>
          </w:tcPr>
          <w:p w14:paraId="27F82157" w14:textId="77777777" w:rsidR="00787F71" w:rsidRPr="00FD4EE9" w:rsidRDefault="00787F71" w:rsidP="00787F71">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Kultida Charoensawad</w:t>
            </w:r>
          </w:p>
        </w:tc>
        <w:tc>
          <w:tcPr>
            <w:tcW w:w="3827" w:type="dxa"/>
            <w:tcBorders>
              <w:top w:val="nil"/>
              <w:left w:val="nil"/>
              <w:bottom w:val="nil"/>
              <w:right w:val="nil"/>
            </w:tcBorders>
          </w:tcPr>
          <w:p w14:paraId="7523C847" w14:textId="77777777" w:rsidR="00787F71" w:rsidRPr="00FD4EE9" w:rsidRDefault="00787F71" w:rsidP="00787F71">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23"/>
              <w:rPr>
                <w:sz w:val="20"/>
              </w:rPr>
            </w:pPr>
            <w:r w:rsidRPr="00FD4EE9">
              <w:rPr>
                <w:sz w:val="20"/>
              </w:rPr>
              <w:t>Covestro</w:t>
            </w:r>
          </w:p>
        </w:tc>
        <w:tc>
          <w:tcPr>
            <w:tcW w:w="1417" w:type="dxa"/>
            <w:tcBorders>
              <w:top w:val="nil"/>
              <w:left w:val="nil"/>
              <w:bottom w:val="nil"/>
              <w:right w:val="nil"/>
            </w:tcBorders>
          </w:tcPr>
          <w:p w14:paraId="78C740CA" w14:textId="77777777" w:rsidR="00787F71" w:rsidRPr="00FD4EE9" w:rsidRDefault="00787F71" w:rsidP="00787F71">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Thailand</w:t>
            </w:r>
          </w:p>
        </w:tc>
        <w:tc>
          <w:tcPr>
            <w:tcW w:w="1418" w:type="dxa"/>
            <w:tcBorders>
              <w:top w:val="nil"/>
              <w:left w:val="nil"/>
              <w:bottom w:val="nil"/>
              <w:right w:val="nil"/>
            </w:tcBorders>
          </w:tcPr>
          <w:p w14:paraId="0F0D8AAF" w14:textId="77777777" w:rsidR="00787F71" w:rsidRPr="00FD4EE9" w:rsidRDefault="00787F71" w:rsidP="00787F71">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2019</w:t>
            </w:r>
          </w:p>
        </w:tc>
      </w:tr>
      <w:tr w:rsidR="00787F71" w:rsidRPr="00FD4EE9" w14:paraId="0986414F" w14:textId="77777777" w:rsidTr="00787F71">
        <w:tc>
          <w:tcPr>
            <w:tcW w:w="2269" w:type="dxa"/>
            <w:tcBorders>
              <w:top w:val="nil"/>
              <w:left w:val="single" w:sz="4" w:space="0" w:color="auto"/>
              <w:bottom w:val="nil"/>
              <w:right w:val="nil"/>
            </w:tcBorders>
          </w:tcPr>
          <w:p w14:paraId="06B32E16" w14:textId="77777777" w:rsidR="00787F71" w:rsidRPr="00FD4EE9" w:rsidRDefault="00787F71" w:rsidP="00787F71">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Roy Chowdhury</w:t>
            </w:r>
          </w:p>
        </w:tc>
        <w:tc>
          <w:tcPr>
            <w:tcW w:w="3827" w:type="dxa"/>
            <w:tcBorders>
              <w:top w:val="nil"/>
              <w:left w:val="nil"/>
              <w:bottom w:val="nil"/>
              <w:right w:val="nil"/>
            </w:tcBorders>
          </w:tcPr>
          <w:p w14:paraId="22FBBF36" w14:textId="77777777" w:rsidR="00787F71" w:rsidRPr="00FD4EE9" w:rsidRDefault="00787F71" w:rsidP="00787F71">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23"/>
              <w:rPr>
                <w:sz w:val="20"/>
              </w:rPr>
            </w:pPr>
            <w:r w:rsidRPr="00FD4EE9">
              <w:rPr>
                <w:sz w:val="20"/>
              </w:rPr>
              <w:t>Foam Supplies</w:t>
            </w:r>
          </w:p>
        </w:tc>
        <w:tc>
          <w:tcPr>
            <w:tcW w:w="1417" w:type="dxa"/>
            <w:tcBorders>
              <w:top w:val="nil"/>
              <w:left w:val="nil"/>
              <w:bottom w:val="nil"/>
              <w:right w:val="nil"/>
            </w:tcBorders>
          </w:tcPr>
          <w:p w14:paraId="2EE33D74" w14:textId="77777777" w:rsidR="00787F71" w:rsidRPr="00FD4EE9" w:rsidRDefault="00787F71" w:rsidP="00787F71">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Australia</w:t>
            </w:r>
          </w:p>
        </w:tc>
        <w:tc>
          <w:tcPr>
            <w:tcW w:w="1418" w:type="dxa"/>
            <w:tcBorders>
              <w:top w:val="nil"/>
              <w:left w:val="nil"/>
              <w:bottom w:val="nil"/>
              <w:right w:val="nil"/>
            </w:tcBorders>
          </w:tcPr>
          <w:p w14:paraId="5EB965E1" w14:textId="77777777" w:rsidR="00787F71" w:rsidRPr="00FD4EE9" w:rsidRDefault="00787F71" w:rsidP="00787F71">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2018</w:t>
            </w:r>
          </w:p>
        </w:tc>
      </w:tr>
      <w:tr w:rsidR="006B52E0" w:rsidRPr="00FD4EE9" w14:paraId="7D3F4C1F" w14:textId="77777777" w:rsidTr="00787F71">
        <w:tc>
          <w:tcPr>
            <w:tcW w:w="2269" w:type="dxa"/>
            <w:tcBorders>
              <w:top w:val="nil"/>
              <w:left w:val="single" w:sz="4" w:space="0" w:color="auto"/>
              <w:bottom w:val="nil"/>
              <w:right w:val="nil"/>
            </w:tcBorders>
          </w:tcPr>
          <w:p w14:paraId="6F93A11A" w14:textId="00584524" w:rsidR="006B52E0" w:rsidRPr="00FD4EE9" w:rsidRDefault="006B52E0" w:rsidP="00787F71">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Pr>
                <w:sz w:val="20"/>
              </w:rPr>
              <w:t>Joseph Costa</w:t>
            </w:r>
          </w:p>
        </w:tc>
        <w:tc>
          <w:tcPr>
            <w:tcW w:w="3827" w:type="dxa"/>
            <w:tcBorders>
              <w:top w:val="nil"/>
              <w:left w:val="nil"/>
              <w:bottom w:val="nil"/>
              <w:right w:val="nil"/>
            </w:tcBorders>
          </w:tcPr>
          <w:p w14:paraId="0D9844E8" w14:textId="55611D90" w:rsidR="006B52E0" w:rsidRPr="00FD4EE9" w:rsidRDefault="006B52E0" w:rsidP="00787F71">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23"/>
              <w:rPr>
                <w:sz w:val="20"/>
              </w:rPr>
            </w:pPr>
            <w:r>
              <w:rPr>
                <w:sz w:val="20"/>
              </w:rPr>
              <w:t>Arkema</w:t>
            </w:r>
          </w:p>
        </w:tc>
        <w:tc>
          <w:tcPr>
            <w:tcW w:w="1417" w:type="dxa"/>
            <w:tcBorders>
              <w:top w:val="nil"/>
              <w:left w:val="nil"/>
              <w:bottom w:val="nil"/>
              <w:right w:val="nil"/>
            </w:tcBorders>
          </w:tcPr>
          <w:p w14:paraId="25981F78" w14:textId="3DA973E9" w:rsidR="006B52E0" w:rsidRPr="00FD4EE9" w:rsidRDefault="0070607D" w:rsidP="00787F71">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Pr>
                <w:sz w:val="20"/>
              </w:rPr>
              <w:t>US</w:t>
            </w:r>
          </w:p>
        </w:tc>
        <w:tc>
          <w:tcPr>
            <w:tcW w:w="1418" w:type="dxa"/>
            <w:tcBorders>
              <w:top w:val="nil"/>
              <w:left w:val="nil"/>
              <w:bottom w:val="nil"/>
              <w:right w:val="nil"/>
            </w:tcBorders>
          </w:tcPr>
          <w:p w14:paraId="57FC185B" w14:textId="75BBE33E" w:rsidR="006B52E0" w:rsidRPr="00FD4EE9" w:rsidRDefault="006B52E0" w:rsidP="00787F71">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Pr>
                <w:sz w:val="20"/>
              </w:rPr>
              <w:t>2020</w:t>
            </w:r>
          </w:p>
        </w:tc>
      </w:tr>
      <w:tr w:rsidR="00787F71" w:rsidRPr="00FD4EE9" w14:paraId="4D59D69D" w14:textId="77777777" w:rsidTr="00787F71">
        <w:tc>
          <w:tcPr>
            <w:tcW w:w="2269" w:type="dxa"/>
            <w:tcBorders>
              <w:top w:val="nil"/>
              <w:left w:val="single" w:sz="4" w:space="0" w:color="auto"/>
              <w:bottom w:val="nil"/>
              <w:right w:val="nil"/>
            </w:tcBorders>
          </w:tcPr>
          <w:p w14:paraId="7E841BA2" w14:textId="77777777" w:rsidR="00787F71" w:rsidRPr="00FD4EE9" w:rsidRDefault="00787F71" w:rsidP="00787F71">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Rick Duncan</w:t>
            </w:r>
          </w:p>
        </w:tc>
        <w:tc>
          <w:tcPr>
            <w:tcW w:w="3827" w:type="dxa"/>
            <w:tcBorders>
              <w:top w:val="nil"/>
              <w:left w:val="nil"/>
              <w:bottom w:val="nil"/>
              <w:right w:val="nil"/>
            </w:tcBorders>
          </w:tcPr>
          <w:p w14:paraId="2D250EF0" w14:textId="77777777" w:rsidR="00787F71" w:rsidRPr="00FD4EE9" w:rsidRDefault="00787F71" w:rsidP="00787F71">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23"/>
              <w:rPr>
                <w:sz w:val="20"/>
              </w:rPr>
            </w:pPr>
            <w:r w:rsidRPr="00FD4EE9">
              <w:rPr>
                <w:sz w:val="20"/>
              </w:rPr>
              <w:t>Spray Polyurethane Association</w:t>
            </w:r>
          </w:p>
        </w:tc>
        <w:tc>
          <w:tcPr>
            <w:tcW w:w="1417" w:type="dxa"/>
            <w:tcBorders>
              <w:top w:val="nil"/>
              <w:left w:val="nil"/>
              <w:bottom w:val="nil"/>
              <w:right w:val="nil"/>
            </w:tcBorders>
          </w:tcPr>
          <w:p w14:paraId="01BAD50C" w14:textId="5FFA6E74" w:rsidR="00787F71" w:rsidRPr="00FD4EE9" w:rsidRDefault="0070607D" w:rsidP="00787F71">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Pr>
                <w:sz w:val="20"/>
              </w:rPr>
              <w:t>US</w:t>
            </w:r>
          </w:p>
        </w:tc>
        <w:tc>
          <w:tcPr>
            <w:tcW w:w="1418" w:type="dxa"/>
            <w:tcBorders>
              <w:top w:val="nil"/>
              <w:left w:val="nil"/>
              <w:bottom w:val="nil"/>
              <w:right w:val="nil"/>
            </w:tcBorders>
          </w:tcPr>
          <w:p w14:paraId="778BE840" w14:textId="77777777" w:rsidR="00787F71" w:rsidRPr="00FD4EE9" w:rsidRDefault="00787F71" w:rsidP="00787F71">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2018</w:t>
            </w:r>
          </w:p>
        </w:tc>
      </w:tr>
      <w:tr w:rsidR="00787F71" w:rsidRPr="00FD4EE9" w14:paraId="624072B7" w14:textId="77777777" w:rsidTr="00787F71">
        <w:tc>
          <w:tcPr>
            <w:tcW w:w="2269" w:type="dxa"/>
            <w:tcBorders>
              <w:top w:val="nil"/>
              <w:left w:val="single" w:sz="4" w:space="0" w:color="auto"/>
              <w:bottom w:val="nil"/>
              <w:right w:val="nil"/>
            </w:tcBorders>
          </w:tcPr>
          <w:p w14:paraId="0A8B1D14" w14:textId="77777777" w:rsidR="00787F71" w:rsidRPr="00FD4EE9" w:rsidRDefault="00787F71" w:rsidP="00787F71">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Koichi Wada</w:t>
            </w:r>
          </w:p>
        </w:tc>
        <w:tc>
          <w:tcPr>
            <w:tcW w:w="3827" w:type="dxa"/>
            <w:tcBorders>
              <w:top w:val="nil"/>
              <w:left w:val="nil"/>
              <w:bottom w:val="nil"/>
              <w:right w:val="nil"/>
            </w:tcBorders>
          </w:tcPr>
          <w:p w14:paraId="15E74C27" w14:textId="77777777" w:rsidR="00787F71" w:rsidRPr="00FD4EE9" w:rsidRDefault="00787F71" w:rsidP="00787F71">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Bayer Material Science/JUFA</w:t>
            </w:r>
          </w:p>
        </w:tc>
        <w:tc>
          <w:tcPr>
            <w:tcW w:w="1417" w:type="dxa"/>
            <w:tcBorders>
              <w:top w:val="nil"/>
              <w:left w:val="nil"/>
              <w:bottom w:val="nil"/>
              <w:right w:val="nil"/>
            </w:tcBorders>
          </w:tcPr>
          <w:p w14:paraId="65613D5F" w14:textId="77777777" w:rsidR="00787F71" w:rsidRPr="00FD4EE9" w:rsidRDefault="00787F71" w:rsidP="00787F71">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Japan</w:t>
            </w:r>
          </w:p>
        </w:tc>
        <w:tc>
          <w:tcPr>
            <w:tcW w:w="1418" w:type="dxa"/>
            <w:tcBorders>
              <w:top w:val="nil"/>
              <w:left w:val="nil"/>
              <w:bottom w:val="nil"/>
              <w:right w:val="nil"/>
            </w:tcBorders>
          </w:tcPr>
          <w:p w14:paraId="5E7C511B" w14:textId="77777777" w:rsidR="00787F71" w:rsidRPr="00FD4EE9" w:rsidRDefault="00787F71" w:rsidP="00787F71">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2018</w:t>
            </w:r>
          </w:p>
        </w:tc>
      </w:tr>
      <w:tr w:rsidR="00787F71" w:rsidRPr="00FD4EE9" w14:paraId="6D663CB7" w14:textId="77777777" w:rsidTr="00787F71">
        <w:tc>
          <w:tcPr>
            <w:tcW w:w="2269" w:type="dxa"/>
            <w:tcBorders>
              <w:top w:val="nil"/>
              <w:left w:val="single" w:sz="4" w:space="0" w:color="auto"/>
              <w:bottom w:val="nil"/>
              <w:right w:val="nil"/>
            </w:tcBorders>
          </w:tcPr>
          <w:p w14:paraId="5D7DC4A0" w14:textId="77777777" w:rsidR="00787F71" w:rsidRPr="00FD4EE9" w:rsidRDefault="00787F71" w:rsidP="00787F71">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Rajaran Joshi</w:t>
            </w:r>
          </w:p>
        </w:tc>
        <w:tc>
          <w:tcPr>
            <w:tcW w:w="3827" w:type="dxa"/>
            <w:tcBorders>
              <w:top w:val="nil"/>
              <w:left w:val="nil"/>
              <w:bottom w:val="nil"/>
              <w:right w:val="nil"/>
            </w:tcBorders>
          </w:tcPr>
          <w:p w14:paraId="3CED086A" w14:textId="77777777" w:rsidR="00787F71" w:rsidRPr="00FD4EE9" w:rsidRDefault="00787F71" w:rsidP="00787F71">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Owens Corning</w:t>
            </w:r>
          </w:p>
        </w:tc>
        <w:tc>
          <w:tcPr>
            <w:tcW w:w="1417" w:type="dxa"/>
            <w:tcBorders>
              <w:top w:val="nil"/>
              <w:left w:val="nil"/>
              <w:bottom w:val="nil"/>
              <w:right w:val="nil"/>
            </w:tcBorders>
          </w:tcPr>
          <w:p w14:paraId="6C689FA0" w14:textId="77777777" w:rsidR="00787F71" w:rsidRPr="00FD4EE9" w:rsidRDefault="00787F71" w:rsidP="00787F71">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India</w:t>
            </w:r>
          </w:p>
        </w:tc>
        <w:tc>
          <w:tcPr>
            <w:tcW w:w="1418" w:type="dxa"/>
            <w:tcBorders>
              <w:top w:val="nil"/>
              <w:left w:val="nil"/>
              <w:bottom w:val="nil"/>
              <w:right w:val="nil"/>
            </w:tcBorders>
          </w:tcPr>
          <w:p w14:paraId="04C0A428" w14:textId="77777777" w:rsidR="00787F71" w:rsidRPr="00FD4EE9" w:rsidRDefault="00787F71" w:rsidP="00787F71">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2018</w:t>
            </w:r>
          </w:p>
        </w:tc>
      </w:tr>
      <w:tr w:rsidR="00787F71" w:rsidRPr="00FD4EE9" w14:paraId="4CE074DD" w14:textId="77777777" w:rsidTr="00787F71">
        <w:tc>
          <w:tcPr>
            <w:tcW w:w="2269" w:type="dxa"/>
            <w:tcBorders>
              <w:top w:val="nil"/>
              <w:left w:val="single" w:sz="4" w:space="0" w:color="auto"/>
              <w:bottom w:val="nil"/>
              <w:right w:val="nil"/>
            </w:tcBorders>
          </w:tcPr>
          <w:p w14:paraId="06341C70" w14:textId="77777777" w:rsidR="00787F71" w:rsidRPr="00FD4EE9" w:rsidRDefault="00787F71" w:rsidP="00787F71">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Ilhan Karaağaç</w:t>
            </w:r>
          </w:p>
        </w:tc>
        <w:tc>
          <w:tcPr>
            <w:tcW w:w="3827" w:type="dxa"/>
            <w:tcBorders>
              <w:top w:val="nil"/>
              <w:left w:val="nil"/>
              <w:bottom w:val="nil"/>
              <w:right w:val="nil"/>
            </w:tcBorders>
          </w:tcPr>
          <w:p w14:paraId="1833B428" w14:textId="77777777" w:rsidR="00787F71" w:rsidRPr="00FD4EE9" w:rsidRDefault="00787F71" w:rsidP="00787F71">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Izocam</w:t>
            </w:r>
          </w:p>
        </w:tc>
        <w:tc>
          <w:tcPr>
            <w:tcW w:w="1417" w:type="dxa"/>
            <w:tcBorders>
              <w:top w:val="nil"/>
              <w:left w:val="nil"/>
              <w:bottom w:val="nil"/>
              <w:right w:val="nil"/>
            </w:tcBorders>
          </w:tcPr>
          <w:p w14:paraId="1293103E" w14:textId="77777777" w:rsidR="00787F71" w:rsidRPr="00FD4EE9" w:rsidRDefault="00787F71" w:rsidP="00787F71">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Turkey</w:t>
            </w:r>
          </w:p>
        </w:tc>
        <w:tc>
          <w:tcPr>
            <w:tcW w:w="1418" w:type="dxa"/>
            <w:tcBorders>
              <w:top w:val="nil"/>
              <w:left w:val="nil"/>
              <w:bottom w:val="nil"/>
              <w:right w:val="nil"/>
            </w:tcBorders>
          </w:tcPr>
          <w:p w14:paraId="2EE2C65C" w14:textId="45682D98" w:rsidR="00787F71" w:rsidRPr="00FD4EE9" w:rsidRDefault="00787F71" w:rsidP="006B52E0">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w:t>
            </w:r>
            <w:r w:rsidR="006B52E0">
              <w:rPr>
                <w:sz w:val="20"/>
              </w:rPr>
              <w:t>20</w:t>
            </w:r>
          </w:p>
        </w:tc>
      </w:tr>
      <w:tr w:rsidR="00787F71" w:rsidRPr="00FD4EE9" w14:paraId="0317765E" w14:textId="77777777" w:rsidTr="00787F71">
        <w:tc>
          <w:tcPr>
            <w:tcW w:w="2269" w:type="dxa"/>
            <w:tcBorders>
              <w:top w:val="nil"/>
              <w:left w:val="single" w:sz="4" w:space="0" w:color="auto"/>
              <w:bottom w:val="nil"/>
              <w:right w:val="nil"/>
            </w:tcBorders>
          </w:tcPr>
          <w:p w14:paraId="59F01A06" w14:textId="77777777" w:rsidR="00787F71" w:rsidRPr="00FD4EE9" w:rsidRDefault="00787F71" w:rsidP="00787F71">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Shpresa Kotaji</w:t>
            </w:r>
          </w:p>
        </w:tc>
        <w:tc>
          <w:tcPr>
            <w:tcW w:w="3827" w:type="dxa"/>
            <w:tcBorders>
              <w:top w:val="nil"/>
              <w:left w:val="nil"/>
              <w:bottom w:val="nil"/>
              <w:right w:val="nil"/>
            </w:tcBorders>
          </w:tcPr>
          <w:p w14:paraId="6B234CEA" w14:textId="77777777" w:rsidR="00787F71" w:rsidRPr="00FD4EE9" w:rsidRDefault="00787F71" w:rsidP="00787F71">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Huntsman</w:t>
            </w:r>
          </w:p>
        </w:tc>
        <w:tc>
          <w:tcPr>
            <w:tcW w:w="1417" w:type="dxa"/>
            <w:tcBorders>
              <w:top w:val="nil"/>
              <w:left w:val="nil"/>
              <w:bottom w:val="nil"/>
              <w:right w:val="nil"/>
            </w:tcBorders>
          </w:tcPr>
          <w:p w14:paraId="444AAD0F" w14:textId="77777777" w:rsidR="00787F71" w:rsidRPr="00FD4EE9" w:rsidRDefault="00787F71" w:rsidP="00787F71">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Belgium</w:t>
            </w:r>
          </w:p>
        </w:tc>
        <w:tc>
          <w:tcPr>
            <w:tcW w:w="1418" w:type="dxa"/>
            <w:tcBorders>
              <w:top w:val="nil"/>
              <w:left w:val="nil"/>
              <w:bottom w:val="nil"/>
              <w:right w:val="nil"/>
            </w:tcBorders>
          </w:tcPr>
          <w:p w14:paraId="7FDE029E" w14:textId="77777777" w:rsidR="00787F71" w:rsidRPr="00FD4EE9" w:rsidRDefault="00787F71" w:rsidP="00787F71">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2018</w:t>
            </w:r>
          </w:p>
        </w:tc>
      </w:tr>
      <w:tr w:rsidR="00787F71" w:rsidRPr="00FD4EE9" w14:paraId="63EA6F93" w14:textId="77777777" w:rsidTr="00787F71">
        <w:tc>
          <w:tcPr>
            <w:tcW w:w="2269" w:type="dxa"/>
            <w:tcBorders>
              <w:top w:val="nil"/>
              <w:left w:val="single" w:sz="4" w:space="0" w:color="auto"/>
              <w:bottom w:val="nil"/>
              <w:right w:val="nil"/>
            </w:tcBorders>
          </w:tcPr>
          <w:p w14:paraId="36249724" w14:textId="77777777" w:rsidR="00787F71" w:rsidRPr="00FD4EE9" w:rsidRDefault="00787F71" w:rsidP="00787F71">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Simon Lee</w:t>
            </w:r>
          </w:p>
        </w:tc>
        <w:tc>
          <w:tcPr>
            <w:tcW w:w="3827" w:type="dxa"/>
            <w:tcBorders>
              <w:top w:val="nil"/>
              <w:left w:val="nil"/>
              <w:bottom w:val="nil"/>
              <w:right w:val="nil"/>
            </w:tcBorders>
          </w:tcPr>
          <w:p w14:paraId="34C71340" w14:textId="77777777" w:rsidR="00787F71" w:rsidRPr="00FD4EE9" w:rsidRDefault="00787F71" w:rsidP="00787F71">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Dow</w:t>
            </w:r>
          </w:p>
        </w:tc>
        <w:tc>
          <w:tcPr>
            <w:tcW w:w="1417" w:type="dxa"/>
            <w:tcBorders>
              <w:top w:val="nil"/>
              <w:left w:val="nil"/>
              <w:bottom w:val="nil"/>
              <w:right w:val="nil"/>
            </w:tcBorders>
          </w:tcPr>
          <w:p w14:paraId="543A608E" w14:textId="47862527" w:rsidR="00787F71" w:rsidRPr="00FD4EE9" w:rsidRDefault="0070607D" w:rsidP="00787F71">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Pr>
                <w:sz w:val="20"/>
              </w:rPr>
              <w:t>US</w:t>
            </w:r>
          </w:p>
        </w:tc>
        <w:tc>
          <w:tcPr>
            <w:tcW w:w="1418" w:type="dxa"/>
            <w:tcBorders>
              <w:top w:val="nil"/>
              <w:left w:val="nil"/>
              <w:bottom w:val="nil"/>
              <w:right w:val="nil"/>
            </w:tcBorders>
          </w:tcPr>
          <w:p w14:paraId="5E970D69" w14:textId="77777777" w:rsidR="00787F71" w:rsidRPr="00FD4EE9" w:rsidRDefault="00787F71" w:rsidP="00787F71">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2018</w:t>
            </w:r>
          </w:p>
        </w:tc>
      </w:tr>
      <w:tr w:rsidR="00787F71" w:rsidRPr="00FD4EE9" w14:paraId="2053E012" w14:textId="77777777" w:rsidTr="00787F71">
        <w:tc>
          <w:tcPr>
            <w:tcW w:w="2269" w:type="dxa"/>
            <w:tcBorders>
              <w:top w:val="nil"/>
              <w:left w:val="single" w:sz="4" w:space="0" w:color="auto"/>
              <w:bottom w:val="nil"/>
              <w:right w:val="nil"/>
            </w:tcBorders>
          </w:tcPr>
          <w:p w14:paraId="33C752F7" w14:textId="77777777" w:rsidR="00787F71" w:rsidRPr="00FD4EE9" w:rsidRDefault="00787F71" w:rsidP="00787F71">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Yehia Lotfi</w:t>
            </w:r>
          </w:p>
        </w:tc>
        <w:tc>
          <w:tcPr>
            <w:tcW w:w="3827" w:type="dxa"/>
            <w:tcBorders>
              <w:top w:val="nil"/>
              <w:left w:val="nil"/>
              <w:bottom w:val="nil"/>
              <w:right w:val="nil"/>
            </w:tcBorders>
          </w:tcPr>
          <w:p w14:paraId="00C68B2D" w14:textId="77777777" w:rsidR="00787F71" w:rsidRPr="00FD4EE9" w:rsidRDefault="00787F71" w:rsidP="00787F71">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Technocom</w:t>
            </w:r>
          </w:p>
        </w:tc>
        <w:tc>
          <w:tcPr>
            <w:tcW w:w="1417" w:type="dxa"/>
            <w:tcBorders>
              <w:top w:val="nil"/>
              <w:left w:val="nil"/>
              <w:bottom w:val="nil"/>
              <w:right w:val="nil"/>
            </w:tcBorders>
          </w:tcPr>
          <w:p w14:paraId="5BD5EEB9" w14:textId="77777777" w:rsidR="00787F71" w:rsidRPr="00FD4EE9" w:rsidRDefault="00787F71" w:rsidP="00787F71">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Egypt</w:t>
            </w:r>
          </w:p>
        </w:tc>
        <w:tc>
          <w:tcPr>
            <w:tcW w:w="1418" w:type="dxa"/>
            <w:tcBorders>
              <w:top w:val="nil"/>
              <w:left w:val="nil"/>
              <w:bottom w:val="nil"/>
              <w:right w:val="nil"/>
            </w:tcBorders>
          </w:tcPr>
          <w:p w14:paraId="393423F2" w14:textId="77777777" w:rsidR="00787F71" w:rsidRPr="00FD4EE9" w:rsidRDefault="00787F71" w:rsidP="00787F71">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2018</w:t>
            </w:r>
          </w:p>
        </w:tc>
      </w:tr>
      <w:tr w:rsidR="00787F71" w:rsidRPr="00FD4EE9" w14:paraId="2BB51E8E" w14:textId="77777777" w:rsidTr="00787F71">
        <w:tc>
          <w:tcPr>
            <w:tcW w:w="2269" w:type="dxa"/>
            <w:tcBorders>
              <w:top w:val="nil"/>
              <w:left w:val="single" w:sz="4" w:space="0" w:color="auto"/>
              <w:bottom w:val="nil"/>
              <w:right w:val="nil"/>
            </w:tcBorders>
          </w:tcPr>
          <w:p w14:paraId="4CC7CE42" w14:textId="77777777" w:rsidR="00787F71" w:rsidRPr="00FD4EE9" w:rsidRDefault="00787F71" w:rsidP="00787F71">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Lisa Norton</w:t>
            </w:r>
          </w:p>
        </w:tc>
        <w:tc>
          <w:tcPr>
            <w:tcW w:w="3827" w:type="dxa"/>
            <w:tcBorders>
              <w:top w:val="nil"/>
              <w:left w:val="nil"/>
              <w:bottom w:val="nil"/>
              <w:right w:val="nil"/>
            </w:tcBorders>
          </w:tcPr>
          <w:p w14:paraId="28408AE7" w14:textId="77777777" w:rsidR="00787F71" w:rsidRPr="00FD4EE9" w:rsidRDefault="00787F71" w:rsidP="00787F71">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Solvay</w:t>
            </w:r>
          </w:p>
        </w:tc>
        <w:tc>
          <w:tcPr>
            <w:tcW w:w="1417" w:type="dxa"/>
            <w:tcBorders>
              <w:top w:val="nil"/>
              <w:left w:val="nil"/>
              <w:bottom w:val="nil"/>
              <w:right w:val="nil"/>
            </w:tcBorders>
          </w:tcPr>
          <w:p w14:paraId="4F1D79FD" w14:textId="014FD347" w:rsidR="00787F71" w:rsidRPr="00FD4EE9" w:rsidRDefault="0070607D" w:rsidP="00787F71">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Pr>
                <w:sz w:val="20"/>
              </w:rPr>
              <w:t>US</w:t>
            </w:r>
          </w:p>
        </w:tc>
        <w:tc>
          <w:tcPr>
            <w:tcW w:w="1418" w:type="dxa"/>
            <w:tcBorders>
              <w:top w:val="nil"/>
              <w:left w:val="nil"/>
              <w:bottom w:val="nil"/>
              <w:right w:val="nil"/>
            </w:tcBorders>
          </w:tcPr>
          <w:p w14:paraId="38DDAFFC" w14:textId="77777777" w:rsidR="00787F71" w:rsidRPr="00FD4EE9" w:rsidRDefault="00787F71" w:rsidP="00787F71">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2019</w:t>
            </w:r>
          </w:p>
        </w:tc>
      </w:tr>
      <w:tr w:rsidR="00787F71" w:rsidRPr="00FD4EE9" w14:paraId="1AE000AB" w14:textId="77777777" w:rsidTr="00787F71">
        <w:tc>
          <w:tcPr>
            <w:tcW w:w="2269" w:type="dxa"/>
            <w:tcBorders>
              <w:top w:val="nil"/>
              <w:left w:val="single" w:sz="4" w:space="0" w:color="auto"/>
              <w:bottom w:val="nil"/>
              <w:right w:val="nil"/>
            </w:tcBorders>
          </w:tcPr>
          <w:p w14:paraId="5E61F66A" w14:textId="77777777" w:rsidR="00787F71" w:rsidRPr="00FD4EE9" w:rsidRDefault="00787F71" w:rsidP="00787F71">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Miguel Quintero</w:t>
            </w:r>
          </w:p>
        </w:tc>
        <w:tc>
          <w:tcPr>
            <w:tcW w:w="3827" w:type="dxa"/>
            <w:tcBorders>
              <w:top w:val="nil"/>
              <w:left w:val="nil"/>
              <w:bottom w:val="nil"/>
              <w:right w:val="nil"/>
            </w:tcBorders>
          </w:tcPr>
          <w:p w14:paraId="6F372FA0" w14:textId="77777777" w:rsidR="00787F71" w:rsidRPr="00FD4EE9" w:rsidRDefault="00787F71" w:rsidP="00787F71">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Consultant</w:t>
            </w:r>
          </w:p>
        </w:tc>
        <w:tc>
          <w:tcPr>
            <w:tcW w:w="1417" w:type="dxa"/>
            <w:tcBorders>
              <w:top w:val="nil"/>
              <w:left w:val="nil"/>
              <w:bottom w:val="nil"/>
              <w:right w:val="nil"/>
            </w:tcBorders>
          </w:tcPr>
          <w:p w14:paraId="332AF547" w14:textId="77777777" w:rsidR="00787F71" w:rsidRPr="00FD4EE9" w:rsidRDefault="00CE338D" w:rsidP="00787F71">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Colo</w:t>
            </w:r>
            <w:r w:rsidR="00787F71" w:rsidRPr="00FD4EE9">
              <w:rPr>
                <w:sz w:val="20"/>
              </w:rPr>
              <w:t>mbia</w:t>
            </w:r>
          </w:p>
        </w:tc>
        <w:tc>
          <w:tcPr>
            <w:tcW w:w="1418" w:type="dxa"/>
            <w:tcBorders>
              <w:top w:val="nil"/>
              <w:left w:val="nil"/>
              <w:bottom w:val="nil"/>
              <w:right w:val="nil"/>
            </w:tcBorders>
          </w:tcPr>
          <w:p w14:paraId="12106ADB" w14:textId="77777777" w:rsidR="00787F71" w:rsidRPr="00FD4EE9" w:rsidRDefault="00787F71" w:rsidP="00787F71">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2019</w:t>
            </w:r>
          </w:p>
        </w:tc>
      </w:tr>
      <w:tr w:rsidR="00787F71" w:rsidRPr="00FD4EE9" w14:paraId="4B16DD4B" w14:textId="77777777" w:rsidTr="00787F71">
        <w:tc>
          <w:tcPr>
            <w:tcW w:w="2269" w:type="dxa"/>
            <w:tcBorders>
              <w:top w:val="nil"/>
              <w:left w:val="single" w:sz="4" w:space="0" w:color="auto"/>
              <w:bottom w:val="nil"/>
              <w:right w:val="nil"/>
            </w:tcBorders>
          </w:tcPr>
          <w:p w14:paraId="1E8660F0" w14:textId="77777777" w:rsidR="00787F71" w:rsidRPr="00FD4EE9" w:rsidRDefault="00787F71" w:rsidP="00787F71">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Sascha Rulhoff</w:t>
            </w:r>
          </w:p>
        </w:tc>
        <w:tc>
          <w:tcPr>
            <w:tcW w:w="3827" w:type="dxa"/>
            <w:tcBorders>
              <w:top w:val="nil"/>
              <w:left w:val="nil"/>
              <w:bottom w:val="nil"/>
              <w:right w:val="nil"/>
            </w:tcBorders>
          </w:tcPr>
          <w:p w14:paraId="24418F3C" w14:textId="77777777" w:rsidR="00787F71" w:rsidRPr="00FD4EE9" w:rsidRDefault="00787F71" w:rsidP="00787F71">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Haltermann</w:t>
            </w:r>
          </w:p>
        </w:tc>
        <w:tc>
          <w:tcPr>
            <w:tcW w:w="1417" w:type="dxa"/>
            <w:tcBorders>
              <w:top w:val="nil"/>
              <w:left w:val="nil"/>
              <w:bottom w:val="nil"/>
              <w:right w:val="nil"/>
            </w:tcBorders>
          </w:tcPr>
          <w:p w14:paraId="0220C58B" w14:textId="77777777" w:rsidR="00787F71" w:rsidRPr="00FD4EE9" w:rsidRDefault="00787F71" w:rsidP="00787F71">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Germany</w:t>
            </w:r>
          </w:p>
        </w:tc>
        <w:tc>
          <w:tcPr>
            <w:tcW w:w="1418" w:type="dxa"/>
            <w:tcBorders>
              <w:top w:val="nil"/>
              <w:left w:val="nil"/>
              <w:bottom w:val="nil"/>
              <w:right w:val="nil"/>
            </w:tcBorders>
          </w:tcPr>
          <w:p w14:paraId="3E4729AE" w14:textId="77777777" w:rsidR="00787F71" w:rsidRPr="00FD4EE9" w:rsidRDefault="00787F71" w:rsidP="00787F71">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2018</w:t>
            </w:r>
          </w:p>
        </w:tc>
      </w:tr>
      <w:tr w:rsidR="00787F71" w:rsidRPr="00FD4EE9" w14:paraId="1461714A" w14:textId="77777777" w:rsidTr="00787F71">
        <w:tc>
          <w:tcPr>
            <w:tcW w:w="2269" w:type="dxa"/>
            <w:tcBorders>
              <w:top w:val="nil"/>
              <w:left w:val="single" w:sz="4" w:space="0" w:color="auto"/>
              <w:bottom w:val="nil"/>
              <w:right w:val="nil"/>
            </w:tcBorders>
          </w:tcPr>
          <w:p w14:paraId="47345200" w14:textId="77777777" w:rsidR="00787F71" w:rsidRPr="00FD4EE9" w:rsidRDefault="00787F71" w:rsidP="00787F71">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Enshan Sheng</w:t>
            </w:r>
          </w:p>
        </w:tc>
        <w:tc>
          <w:tcPr>
            <w:tcW w:w="3827" w:type="dxa"/>
            <w:tcBorders>
              <w:top w:val="nil"/>
              <w:left w:val="nil"/>
              <w:bottom w:val="nil"/>
              <w:right w:val="nil"/>
            </w:tcBorders>
          </w:tcPr>
          <w:p w14:paraId="3D3A95FA" w14:textId="77777777" w:rsidR="00787F71" w:rsidRPr="00FD4EE9" w:rsidRDefault="00787F71" w:rsidP="00787F71">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Huntsman</w:t>
            </w:r>
          </w:p>
        </w:tc>
        <w:tc>
          <w:tcPr>
            <w:tcW w:w="1417" w:type="dxa"/>
            <w:tcBorders>
              <w:top w:val="nil"/>
              <w:left w:val="nil"/>
              <w:bottom w:val="nil"/>
              <w:right w:val="nil"/>
            </w:tcBorders>
          </w:tcPr>
          <w:p w14:paraId="0B9878B5" w14:textId="77777777" w:rsidR="00787F71" w:rsidRPr="00FD4EE9" w:rsidRDefault="00787F71" w:rsidP="00787F71">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China</w:t>
            </w:r>
          </w:p>
        </w:tc>
        <w:tc>
          <w:tcPr>
            <w:tcW w:w="1418" w:type="dxa"/>
            <w:tcBorders>
              <w:top w:val="nil"/>
              <w:left w:val="nil"/>
              <w:bottom w:val="nil"/>
              <w:right w:val="nil"/>
            </w:tcBorders>
          </w:tcPr>
          <w:p w14:paraId="735B65E8" w14:textId="77777777" w:rsidR="00787F71" w:rsidRPr="00FD4EE9" w:rsidRDefault="00787F71" w:rsidP="00787F71">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2018</w:t>
            </w:r>
          </w:p>
        </w:tc>
      </w:tr>
      <w:tr w:rsidR="00787F71" w:rsidRPr="00FD4EE9" w14:paraId="30F3D131" w14:textId="77777777" w:rsidTr="00787F71">
        <w:tc>
          <w:tcPr>
            <w:tcW w:w="2269" w:type="dxa"/>
            <w:tcBorders>
              <w:top w:val="nil"/>
              <w:left w:val="single" w:sz="4" w:space="0" w:color="auto"/>
              <w:bottom w:val="nil"/>
              <w:right w:val="nil"/>
            </w:tcBorders>
          </w:tcPr>
          <w:p w14:paraId="7943EF08" w14:textId="77777777" w:rsidR="00787F71" w:rsidRPr="00FD4EE9" w:rsidRDefault="00787F71" w:rsidP="00787F71">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Helen Walter-Terrinoni</w:t>
            </w:r>
          </w:p>
        </w:tc>
        <w:tc>
          <w:tcPr>
            <w:tcW w:w="3827" w:type="dxa"/>
            <w:tcBorders>
              <w:top w:val="nil"/>
              <w:left w:val="nil"/>
              <w:bottom w:val="nil"/>
              <w:right w:val="nil"/>
            </w:tcBorders>
          </w:tcPr>
          <w:p w14:paraId="3E360D3A" w14:textId="77777777" w:rsidR="00787F71" w:rsidRPr="00FD4EE9" w:rsidRDefault="00787F71" w:rsidP="00787F71">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Chemours</w:t>
            </w:r>
          </w:p>
        </w:tc>
        <w:tc>
          <w:tcPr>
            <w:tcW w:w="1417" w:type="dxa"/>
            <w:tcBorders>
              <w:top w:val="nil"/>
              <w:left w:val="nil"/>
              <w:bottom w:val="nil"/>
              <w:right w:val="nil"/>
            </w:tcBorders>
          </w:tcPr>
          <w:p w14:paraId="3AA645B5" w14:textId="4BCD2A2C" w:rsidR="00787F71" w:rsidRPr="00FD4EE9" w:rsidRDefault="0070607D" w:rsidP="00787F71">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Pr>
                <w:sz w:val="20"/>
              </w:rPr>
              <w:t>US</w:t>
            </w:r>
          </w:p>
        </w:tc>
        <w:tc>
          <w:tcPr>
            <w:tcW w:w="1418" w:type="dxa"/>
            <w:tcBorders>
              <w:top w:val="nil"/>
              <w:left w:val="nil"/>
              <w:bottom w:val="nil"/>
              <w:right w:val="nil"/>
            </w:tcBorders>
          </w:tcPr>
          <w:p w14:paraId="17CD1037" w14:textId="77777777" w:rsidR="00787F71" w:rsidRPr="00FD4EE9" w:rsidRDefault="00787F71" w:rsidP="00787F71">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2018</w:t>
            </w:r>
          </w:p>
        </w:tc>
      </w:tr>
      <w:tr w:rsidR="00787F71" w:rsidRPr="00FD4EE9" w14:paraId="4780DCAC" w14:textId="77777777" w:rsidTr="00787F71">
        <w:tc>
          <w:tcPr>
            <w:tcW w:w="2269" w:type="dxa"/>
            <w:tcBorders>
              <w:top w:val="nil"/>
              <w:left w:val="single" w:sz="4" w:space="0" w:color="auto"/>
              <w:bottom w:val="nil"/>
              <w:right w:val="nil"/>
            </w:tcBorders>
          </w:tcPr>
          <w:p w14:paraId="14AD1C05" w14:textId="77777777" w:rsidR="00787F71" w:rsidRPr="00FD4EE9" w:rsidRDefault="00787F71" w:rsidP="00787F71">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Dave Williams</w:t>
            </w:r>
          </w:p>
        </w:tc>
        <w:tc>
          <w:tcPr>
            <w:tcW w:w="3827" w:type="dxa"/>
            <w:tcBorders>
              <w:top w:val="nil"/>
              <w:left w:val="nil"/>
              <w:bottom w:val="nil"/>
              <w:right w:val="nil"/>
            </w:tcBorders>
          </w:tcPr>
          <w:p w14:paraId="5018AFC7" w14:textId="77777777" w:rsidR="00787F71" w:rsidRPr="00FD4EE9" w:rsidRDefault="00787F71" w:rsidP="00787F71">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Honeywell</w:t>
            </w:r>
          </w:p>
        </w:tc>
        <w:tc>
          <w:tcPr>
            <w:tcW w:w="1417" w:type="dxa"/>
            <w:tcBorders>
              <w:top w:val="nil"/>
              <w:left w:val="nil"/>
              <w:bottom w:val="nil"/>
              <w:right w:val="nil"/>
            </w:tcBorders>
          </w:tcPr>
          <w:p w14:paraId="5E1C3577" w14:textId="28819BA6" w:rsidR="00787F71" w:rsidRPr="00FD4EE9" w:rsidRDefault="0070607D" w:rsidP="00787F71">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Pr>
                <w:sz w:val="20"/>
              </w:rPr>
              <w:t>US</w:t>
            </w:r>
          </w:p>
        </w:tc>
        <w:tc>
          <w:tcPr>
            <w:tcW w:w="1418" w:type="dxa"/>
            <w:tcBorders>
              <w:top w:val="nil"/>
              <w:left w:val="nil"/>
              <w:bottom w:val="nil"/>
              <w:right w:val="nil"/>
            </w:tcBorders>
          </w:tcPr>
          <w:p w14:paraId="7B3BFDB4" w14:textId="77777777" w:rsidR="00787F71" w:rsidRPr="00FD4EE9" w:rsidRDefault="00787F71" w:rsidP="00787F71">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2018</w:t>
            </w:r>
          </w:p>
        </w:tc>
      </w:tr>
      <w:tr w:rsidR="006B52E0" w:rsidRPr="00FD4EE9" w14:paraId="4B6A8374" w14:textId="77777777" w:rsidTr="00787F71">
        <w:tc>
          <w:tcPr>
            <w:tcW w:w="2269" w:type="dxa"/>
            <w:tcBorders>
              <w:top w:val="nil"/>
              <w:left w:val="single" w:sz="4" w:space="0" w:color="auto"/>
              <w:bottom w:val="nil"/>
              <w:right w:val="nil"/>
            </w:tcBorders>
          </w:tcPr>
          <w:p w14:paraId="0337D430" w14:textId="5041D454" w:rsidR="006B52E0" w:rsidRPr="00FD4EE9" w:rsidRDefault="006B52E0" w:rsidP="00787F71">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Pr>
                <w:sz w:val="20"/>
              </w:rPr>
              <w:t>Guolian Wu</w:t>
            </w:r>
          </w:p>
        </w:tc>
        <w:tc>
          <w:tcPr>
            <w:tcW w:w="3827" w:type="dxa"/>
            <w:tcBorders>
              <w:top w:val="nil"/>
              <w:left w:val="nil"/>
              <w:bottom w:val="nil"/>
              <w:right w:val="nil"/>
            </w:tcBorders>
          </w:tcPr>
          <w:p w14:paraId="0FD3D848" w14:textId="087B7688" w:rsidR="006B52E0" w:rsidRPr="00FD4EE9" w:rsidRDefault="006B52E0" w:rsidP="00787F71">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Pr>
                <w:sz w:val="20"/>
              </w:rPr>
              <w:t>Samsung</w:t>
            </w:r>
          </w:p>
        </w:tc>
        <w:tc>
          <w:tcPr>
            <w:tcW w:w="1417" w:type="dxa"/>
            <w:tcBorders>
              <w:top w:val="nil"/>
              <w:left w:val="nil"/>
              <w:bottom w:val="nil"/>
              <w:right w:val="nil"/>
            </w:tcBorders>
          </w:tcPr>
          <w:p w14:paraId="4D1D0764" w14:textId="3394A21D" w:rsidR="006B52E0" w:rsidRPr="00FD4EE9" w:rsidRDefault="0070607D" w:rsidP="00787F71">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Pr>
                <w:sz w:val="20"/>
              </w:rPr>
              <w:t>US</w:t>
            </w:r>
          </w:p>
        </w:tc>
        <w:tc>
          <w:tcPr>
            <w:tcW w:w="1418" w:type="dxa"/>
            <w:tcBorders>
              <w:top w:val="nil"/>
              <w:left w:val="nil"/>
              <w:bottom w:val="nil"/>
              <w:right w:val="nil"/>
            </w:tcBorders>
          </w:tcPr>
          <w:p w14:paraId="6DB171E0" w14:textId="38891627" w:rsidR="006B52E0" w:rsidRPr="00FD4EE9" w:rsidRDefault="006B52E0" w:rsidP="00787F71">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Pr>
                <w:sz w:val="20"/>
              </w:rPr>
              <w:t>2020</w:t>
            </w:r>
          </w:p>
        </w:tc>
      </w:tr>
      <w:tr w:rsidR="00787F71" w:rsidRPr="00FD4EE9" w14:paraId="79D6B61D" w14:textId="77777777" w:rsidTr="00787F71">
        <w:tc>
          <w:tcPr>
            <w:tcW w:w="2269" w:type="dxa"/>
            <w:tcBorders>
              <w:top w:val="nil"/>
              <w:left w:val="single" w:sz="4" w:space="0" w:color="auto"/>
              <w:bottom w:val="nil"/>
              <w:right w:val="nil"/>
            </w:tcBorders>
          </w:tcPr>
          <w:p w14:paraId="359E9D1C" w14:textId="77777777" w:rsidR="00787F71" w:rsidRPr="00FD4EE9" w:rsidRDefault="00787F71" w:rsidP="00787F71">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Allen Zhang</w:t>
            </w:r>
          </w:p>
        </w:tc>
        <w:tc>
          <w:tcPr>
            <w:tcW w:w="3827" w:type="dxa"/>
            <w:tcBorders>
              <w:top w:val="nil"/>
              <w:left w:val="nil"/>
              <w:bottom w:val="nil"/>
              <w:right w:val="nil"/>
            </w:tcBorders>
          </w:tcPr>
          <w:p w14:paraId="20FE00DB" w14:textId="77777777" w:rsidR="00787F71" w:rsidRPr="00FD4EE9" w:rsidRDefault="00787F71" w:rsidP="00787F71">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Consultant</w:t>
            </w:r>
          </w:p>
        </w:tc>
        <w:tc>
          <w:tcPr>
            <w:tcW w:w="1417" w:type="dxa"/>
            <w:tcBorders>
              <w:top w:val="nil"/>
              <w:left w:val="nil"/>
              <w:bottom w:val="nil"/>
              <w:right w:val="nil"/>
            </w:tcBorders>
          </w:tcPr>
          <w:p w14:paraId="4B73A88D" w14:textId="77777777" w:rsidR="00787F71" w:rsidRPr="00FD4EE9" w:rsidRDefault="00787F71" w:rsidP="00787F71">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China</w:t>
            </w:r>
          </w:p>
        </w:tc>
        <w:tc>
          <w:tcPr>
            <w:tcW w:w="1418" w:type="dxa"/>
            <w:tcBorders>
              <w:top w:val="nil"/>
              <w:left w:val="nil"/>
              <w:bottom w:val="nil"/>
              <w:right w:val="nil"/>
            </w:tcBorders>
          </w:tcPr>
          <w:p w14:paraId="2F15FEA4" w14:textId="77777777" w:rsidR="00787F71" w:rsidRPr="00FD4EE9" w:rsidRDefault="00787F71" w:rsidP="00787F71">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2018</w:t>
            </w:r>
          </w:p>
        </w:tc>
      </w:tr>
    </w:tbl>
    <w:p w14:paraId="3D155CE3" w14:textId="77777777" w:rsidR="00BE4BB0" w:rsidRPr="00807C7E" w:rsidRDefault="0040537B">
      <w:pPr>
        <w:spacing w:after="0"/>
        <w:rPr>
          <w:rFonts w:eastAsia="MS Mincho"/>
          <w:b/>
          <w:snapToGrid w:val="0"/>
          <w:color w:val="auto"/>
          <w:sz w:val="20"/>
          <w:lang w:val="en-US" w:eastAsia="en-US"/>
        </w:rPr>
      </w:pPr>
      <w:r w:rsidRPr="00807C7E">
        <w:rPr>
          <w:i/>
          <w:sz w:val="20"/>
        </w:rPr>
        <w:t>* Indicates members whose terms expire at the end of the current year</w:t>
      </w:r>
      <w:r w:rsidRPr="00807C7E">
        <w:rPr>
          <w:sz w:val="20"/>
        </w:rPr>
        <w:t xml:space="preserve"> </w:t>
      </w:r>
      <w:r w:rsidR="00BE4BB0" w:rsidRPr="00807C7E">
        <w:rPr>
          <w:sz w:val="20"/>
        </w:rPr>
        <w:br w:type="page"/>
      </w:r>
    </w:p>
    <w:p w14:paraId="77994F19" w14:textId="77777777" w:rsidR="00AF4B87" w:rsidRPr="00FD4EE9" w:rsidRDefault="005B3245" w:rsidP="00413E4A">
      <w:pPr>
        <w:pStyle w:val="Heading2"/>
      </w:pPr>
      <w:bookmarkStart w:id="281" w:name="_Toc484164410"/>
      <w:r w:rsidRPr="00FD4EE9">
        <w:lastRenderedPageBreak/>
        <w:t>3.</w:t>
      </w:r>
      <w:r w:rsidRPr="00FD4EE9">
        <w:tab/>
      </w:r>
      <w:r w:rsidR="00AF4B87" w:rsidRPr="00FD4EE9">
        <w:t>TEAP Halons Technical Options Committee (HTOC)</w:t>
      </w:r>
      <w:bookmarkEnd w:id="281"/>
    </w:p>
    <w:p w14:paraId="4F7C5BBB" w14:textId="17025153" w:rsidR="009159BE" w:rsidRPr="00FD4EE9" w:rsidRDefault="00EC1E56" w:rsidP="006A713F">
      <w:r w:rsidRPr="00FD4EE9">
        <w:t xml:space="preserve">Mr. D.V. Catchpole (UK) </w:t>
      </w:r>
      <w:r>
        <w:t>retired as</w:t>
      </w:r>
      <w:r w:rsidRPr="00FD4EE9">
        <w:t xml:space="preserve"> HTOC co-chair </w:t>
      </w:r>
      <w:r>
        <w:t xml:space="preserve">in 2016 after more than 25 years of service to the HTOC and the Montreal Protocol.  Mr. Adam Chattaway (UK) was appointed as HTOC co-chair by the parties at MOP-28.  Ms. Laura Green was appointed as an HTOC member to provide expertise in fire protection in the oil and gas sector that would otherwise have been lost to the HTOC with the retirement of Mr. D. V. Catchpole. Mr. Robert Wickham has stepped down as a Committee member and is now a Consulting Expert.  Mr. R.P, Singh (India) has been appointed </w:t>
      </w:r>
      <w:r w:rsidRPr="00FD4EE9">
        <w:t xml:space="preserve">as a Committee member </w:t>
      </w:r>
      <w:r>
        <w:t>to replace Mr. H.S. Kaprwan (India) who r</w:t>
      </w:r>
      <w:r w:rsidRPr="00FD4EE9">
        <w:t>etire</w:t>
      </w:r>
      <w:r>
        <w:t>d</w:t>
      </w:r>
      <w:r w:rsidRPr="00FD4EE9">
        <w:t xml:space="preserve"> </w:t>
      </w:r>
      <w:r>
        <w:t>in 2016</w:t>
      </w:r>
      <w:r w:rsidRPr="00FD4EE9">
        <w:t xml:space="preserve">. </w:t>
      </w:r>
      <w:r>
        <w:t>Ms. Elvira Nigido (Australia) has been appointed as a Committee member and Ms. Pat Burns (</w:t>
      </w:r>
      <w:r w:rsidR="0070607D">
        <w:t>US</w:t>
      </w:r>
      <w:r>
        <w:t>) has been added as a Consulting Expert to increase expertise in halon banking, global supplies and availability.</w:t>
      </w:r>
    </w:p>
    <w:tbl>
      <w:tblPr>
        <w:tblW w:w="8931" w:type="dxa"/>
        <w:tblInd w:w="-34" w:type="dxa"/>
        <w:tblLayout w:type="fixed"/>
        <w:tblLook w:val="0000" w:firstRow="0" w:lastRow="0" w:firstColumn="0" w:lastColumn="0" w:noHBand="0" w:noVBand="0"/>
      </w:tblPr>
      <w:tblGrid>
        <w:gridCol w:w="2269"/>
        <w:gridCol w:w="3827"/>
        <w:gridCol w:w="1417"/>
        <w:gridCol w:w="1418"/>
      </w:tblGrid>
      <w:tr w:rsidR="00A42A5D" w:rsidRPr="00FD4EE9" w14:paraId="57AF3644" w14:textId="77777777" w:rsidTr="003954A6">
        <w:tc>
          <w:tcPr>
            <w:tcW w:w="2269" w:type="dxa"/>
            <w:tcBorders>
              <w:top w:val="double" w:sz="4" w:space="0" w:color="auto"/>
              <w:left w:val="single" w:sz="4" w:space="0" w:color="auto"/>
              <w:bottom w:val="double" w:sz="4" w:space="0" w:color="auto"/>
              <w:right w:val="nil"/>
            </w:tcBorders>
          </w:tcPr>
          <w:p w14:paraId="70D7F344" w14:textId="77777777" w:rsidR="00A42A5D" w:rsidRPr="00FD4EE9" w:rsidRDefault="00A42A5D"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b/>
                <w:sz w:val="20"/>
              </w:rPr>
            </w:pPr>
            <w:r w:rsidRPr="00FD4EE9">
              <w:rPr>
                <w:b/>
                <w:sz w:val="20"/>
              </w:rPr>
              <w:t>Co-chair</w:t>
            </w:r>
          </w:p>
        </w:tc>
        <w:tc>
          <w:tcPr>
            <w:tcW w:w="3827" w:type="dxa"/>
            <w:tcBorders>
              <w:top w:val="double" w:sz="4" w:space="0" w:color="auto"/>
              <w:left w:val="nil"/>
              <w:bottom w:val="double" w:sz="4" w:space="0" w:color="auto"/>
              <w:right w:val="nil"/>
            </w:tcBorders>
          </w:tcPr>
          <w:p w14:paraId="279C6BD8" w14:textId="77777777" w:rsidR="00A42A5D" w:rsidRPr="00FD4EE9" w:rsidRDefault="00A42A5D"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b/>
                <w:sz w:val="20"/>
              </w:rPr>
            </w:pPr>
            <w:r w:rsidRPr="00FD4EE9">
              <w:rPr>
                <w:b/>
                <w:sz w:val="20"/>
              </w:rPr>
              <w:t>Affiliation</w:t>
            </w:r>
          </w:p>
        </w:tc>
        <w:tc>
          <w:tcPr>
            <w:tcW w:w="1417" w:type="dxa"/>
            <w:tcBorders>
              <w:top w:val="double" w:sz="4" w:space="0" w:color="auto"/>
              <w:left w:val="nil"/>
              <w:bottom w:val="double" w:sz="4" w:space="0" w:color="auto"/>
              <w:right w:val="nil"/>
            </w:tcBorders>
          </w:tcPr>
          <w:p w14:paraId="36E205ED" w14:textId="77777777" w:rsidR="00A42A5D" w:rsidRPr="00FD4EE9" w:rsidRDefault="00A42A5D"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b/>
                <w:sz w:val="20"/>
              </w:rPr>
            </w:pPr>
            <w:r w:rsidRPr="00FD4EE9">
              <w:rPr>
                <w:b/>
                <w:sz w:val="20"/>
              </w:rPr>
              <w:t>Country</w:t>
            </w:r>
          </w:p>
        </w:tc>
        <w:tc>
          <w:tcPr>
            <w:tcW w:w="1418" w:type="dxa"/>
            <w:tcBorders>
              <w:top w:val="double" w:sz="4" w:space="0" w:color="auto"/>
              <w:left w:val="nil"/>
              <w:bottom w:val="double" w:sz="4" w:space="0" w:color="auto"/>
              <w:right w:val="nil"/>
            </w:tcBorders>
          </w:tcPr>
          <w:p w14:paraId="180A2161" w14:textId="77777777" w:rsidR="00A42A5D" w:rsidRPr="00FD4EE9" w:rsidRDefault="00A42A5D"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b/>
                <w:sz w:val="20"/>
              </w:rPr>
            </w:pPr>
            <w:r w:rsidRPr="00FD4EE9">
              <w:rPr>
                <w:b/>
                <w:sz w:val="20"/>
              </w:rPr>
              <w:t>Appointed through</w:t>
            </w:r>
          </w:p>
        </w:tc>
      </w:tr>
      <w:tr w:rsidR="00A42A5D" w:rsidRPr="00FD4EE9" w14:paraId="563F2BC4" w14:textId="77777777" w:rsidTr="003954A6">
        <w:tc>
          <w:tcPr>
            <w:tcW w:w="2269" w:type="dxa"/>
            <w:tcBorders>
              <w:top w:val="double" w:sz="4" w:space="0" w:color="auto"/>
              <w:left w:val="single" w:sz="4" w:space="0" w:color="auto"/>
              <w:bottom w:val="nil"/>
              <w:right w:val="nil"/>
            </w:tcBorders>
          </w:tcPr>
          <w:p w14:paraId="77C1B919" w14:textId="6D8FEC85" w:rsidR="00A42A5D" w:rsidRPr="00FD4EE9" w:rsidRDefault="002B4DA6"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Pr>
                <w:sz w:val="20"/>
              </w:rPr>
              <w:t>Adam Chattaway</w:t>
            </w:r>
          </w:p>
        </w:tc>
        <w:tc>
          <w:tcPr>
            <w:tcW w:w="3827" w:type="dxa"/>
            <w:tcBorders>
              <w:top w:val="double" w:sz="4" w:space="0" w:color="auto"/>
              <w:left w:val="nil"/>
              <w:bottom w:val="nil"/>
              <w:right w:val="nil"/>
            </w:tcBorders>
          </w:tcPr>
          <w:p w14:paraId="5DE6F196" w14:textId="33DE4B1E" w:rsidR="00A42A5D" w:rsidRPr="00FD4EE9" w:rsidRDefault="002B4DA6"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Pr>
                <w:sz w:val="20"/>
              </w:rPr>
              <w:t>UTC Aerospace Systems</w:t>
            </w:r>
          </w:p>
        </w:tc>
        <w:tc>
          <w:tcPr>
            <w:tcW w:w="1417" w:type="dxa"/>
            <w:tcBorders>
              <w:top w:val="double" w:sz="4" w:space="0" w:color="auto"/>
              <w:left w:val="nil"/>
              <w:bottom w:val="nil"/>
              <w:right w:val="nil"/>
            </w:tcBorders>
          </w:tcPr>
          <w:p w14:paraId="7FCEEAEB" w14:textId="77777777" w:rsidR="00A42A5D" w:rsidRPr="00FD4EE9" w:rsidRDefault="00A42A5D"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UK</w:t>
            </w:r>
          </w:p>
        </w:tc>
        <w:tc>
          <w:tcPr>
            <w:tcW w:w="1418" w:type="dxa"/>
            <w:tcBorders>
              <w:top w:val="double" w:sz="4" w:space="0" w:color="auto"/>
              <w:left w:val="nil"/>
              <w:bottom w:val="nil"/>
              <w:right w:val="nil"/>
            </w:tcBorders>
          </w:tcPr>
          <w:p w14:paraId="40173AFF" w14:textId="4DA4F3E5" w:rsidR="00A42A5D" w:rsidRPr="00FD4EE9" w:rsidRDefault="00A42A5D" w:rsidP="002B4DA6">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w:t>
            </w:r>
            <w:r w:rsidR="002B4DA6">
              <w:rPr>
                <w:sz w:val="20"/>
              </w:rPr>
              <w:t>20</w:t>
            </w:r>
          </w:p>
        </w:tc>
      </w:tr>
      <w:tr w:rsidR="00A42A5D" w:rsidRPr="00FD4EE9" w14:paraId="0D94E05A" w14:textId="77777777" w:rsidTr="009159BE">
        <w:tc>
          <w:tcPr>
            <w:tcW w:w="2269" w:type="dxa"/>
            <w:tcBorders>
              <w:top w:val="nil"/>
              <w:left w:val="single" w:sz="4" w:space="0" w:color="auto"/>
              <w:bottom w:val="nil"/>
              <w:right w:val="nil"/>
            </w:tcBorders>
          </w:tcPr>
          <w:p w14:paraId="507EE3F4" w14:textId="77777777" w:rsidR="00A42A5D" w:rsidRPr="00FD4EE9" w:rsidRDefault="00A42A5D"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Sergey N. Kopylov</w:t>
            </w:r>
          </w:p>
        </w:tc>
        <w:tc>
          <w:tcPr>
            <w:tcW w:w="3827" w:type="dxa"/>
            <w:tcBorders>
              <w:top w:val="nil"/>
              <w:left w:val="nil"/>
              <w:bottom w:val="nil"/>
              <w:right w:val="nil"/>
            </w:tcBorders>
          </w:tcPr>
          <w:p w14:paraId="2EFBFB1B" w14:textId="77777777" w:rsidR="00A42A5D" w:rsidRPr="00FD4EE9" w:rsidRDefault="00A42A5D" w:rsidP="00BE4BB0">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Russian Res</w:t>
            </w:r>
            <w:r w:rsidR="00BE4BB0" w:rsidRPr="00FD4EE9">
              <w:rPr>
                <w:sz w:val="20"/>
              </w:rPr>
              <w:t>.</w:t>
            </w:r>
            <w:r w:rsidRPr="00FD4EE9">
              <w:rPr>
                <w:sz w:val="20"/>
              </w:rPr>
              <w:t xml:space="preserve"> Institute for Fire Protection</w:t>
            </w:r>
          </w:p>
        </w:tc>
        <w:tc>
          <w:tcPr>
            <w:tcW w:w="1417" w:type="dxa"/>
            <w:tcBorders>
              <w:top w:val="nil"/>
              <w:left w:val="nil"/>
              <w:bottom w:val="nil"/>
              <w:right w:val="nil"/>
            </w:tcBorders>
          </w:tcPr>
          <w:p w14:paraId="13DD1121" w14:textId="77777777" w:rsidR="00A42A5D" w:rsidRPr="00FD4EE9" w:rsidRDefault="00A42A5D" w:rsidP="00BE4BB0">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Russian Fed</w:t>
            </w:r>
            <w:r w:rsidR="00BE4BB0" w:rsidRPr="00FD4EE9">
              <w:rPr>
                <w:sz w:val="20"/>
              </w:rPr>
              <w:t>.</w:t>
            </w:r>
          </w:p>
        </w:tc>
        <w:tc>
          <w:tcPr>
            <w:tcW w:w="1418" w:type="dxa"/>
            <w:tcBorders>
              <w:top w:val="nil"/>
              <w:left w:val="nil"/>
              <w:bottom w:val="nil"/>
              <w:right w:val="nil"/>
            </w:tcBorders>
          </w:tcPr>
          <w:p w14:paraId="22E6DC0F" w14:textId="4C2D74BA" w:rsidR="00A42A5D" w:rsidRPr="00FD4EE9" w:rsidRDefault="00A42A5D"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2017</w:t>
            </w:r>
            <w:r w:rsidR="002B4DA6">
              <w:rPr>
                <w:sz w:val="20"/>
              </w:rPr>
              <w:t>*</w:t>
            </w:r>
          </w:p>
        </w:tc>
      </w:tr>
      <w:tr w:rsidR="00A42A5D" w:rsidRPr="00FD4EE9" w14:paraId="559159A3" w14:textId="77777777" w:rsidTr="009159BE">
        <w:tc>
          <w:tcPr>
            <w:tcW w:w="2269" w:type="dxa"/>
            <w:tcBorders>
              <w:top w:val="nil"/>
              <w:left w:val="single" w:sz="4" w:space="0" w:color="auto"/>
              <w:bottom w:val="nil"/>
              <w:right w:val="nil"/>
            </w:tcBorders>
          </w:tcPr>
          <w:p w14:paraId="236F9950" w14:textId="77777777" w:rsidR="00A42A5D" w:rsidRPr="00FD4EE9" w:rsidRDefault="00A42A5D"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Daniel P. Verdonik</w:t>
            </w:r>
          </w:p>
        </w:tc>
        <w:tc>
          <w:tcPr>
            <w:tcW w:w="3827" w:type="dxa"/>
            <w:tcBorders>
              <w:top w:val="nil"/>
              <w:left w:val="nil"/>
              <w:bottom w:val="nil"/>
              <w:right w:val="nil"/>
            </w:tcBorders>
          </w:tcPr>
          <w:p w14:paraId="0B5969E2" w14:textId="6C50A4FF" w:rsidR="00A42A5D" w:rsidRPr="00FD4EE9" w:rsidRDefault="00A42A5D" w:rsidP="00A20F61">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J</w:t>
            </w:r>
            <w:r w:rsidR="00A20F61">
              <w:rPr>
                <w:sz w:val="20"/>
              </w:rPr>
              <w:t>ensen</w:t>
            </w:r>
            <w:r w:rsidRPr="00FD4EE9">
              <w:rPr>
                <w:sz w:val="20"/>
              </w:rPr>
              <w:t xml:space="preserve"> H</w:t>
            </w:r>
            <w:r w:rsidR="00A20F61">
              <w:rPr>
                <w:sz w:val="20"/>
              </w:rPr>
              <w:t>ughes</w:t>
            </w:r>
          </w:p>
        </w:tc>
        <w:tc>
          <w:tcPr>
            <w:tcW w:w="1417" w:type="dxa"/>
            <w:tcBorders>
              <w:top w:val="nil"/>
              <w:left w:val="nil"/>
              <w:bottom w:val="nil"/>
              <w:right w:val="nil"/>
            </w:tcBorders>
          </w:tcPr>
          <w:p w14:paraId="003FB216" w14:textId="67BA9842" w:rsidR="00A42A5D" w:rsidRPr="00FD4EE9" w:rsidRDefault="0070607D"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Pr>
                <w:sz w:val="20"/>
              </w:rPr>
              <w:t>US</w:t>
            </w:r>
          </w:p>
        </w:tc>
        <w:tc>
          <w:tcPr>
            <w:tcW w:w="1418" w:type="dxa"/>
            <w:tcBorders>
              <w:top w:val="nil"/>
              <w:left w:val="nil"/>
              <w:bottom w:val="nil"/>
              <w:right w:val="nil"/>
            </w:tcBorders>
          </w:tcPr>
          <w:p w14:paraId="269FA533" w14:textId="7091E137" w:rsidR="00A42A5D" w:rsidRPr="00FD4EE9" w:rsidRDefault="00A42A5D" w:rsidP="002B4DA6">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w:t>
            </w:r>
            <w:r w:rsidR="002B4DA6">
              <w:rPr>
                <w:sz w:val="20"/>
              </w:rPr>
              <w:t>20</w:t>
            </w:r>
          </w:p>
        </w:tc>
      </w:tr>
      <w:tr w:rsidR="00A42A5D" w:rsidRPr="00FD4EE9" w14:paraId="6776D301" w14:textId="77777777" w:rsidTr="009159BE">
        <w:tc>
          <w:tcPr>
            <w:tcW w:w="2269" w:type="dxa"/>
            <w:tcBorders>
              <w:top w:val="nil"/>
              <w:left w:val="single" w:sz="4" w:space="0" w:color="auto"/>
              <w:bottom w:val="nil"/>
              <w:right w:val="nil"/>
            </w:tcBorders>
          </w:tcPr>
          <w:p w14:paraId="4428AEB6" w14:textId="77777777" w:rsidR="00A42A5D" w:rsidRPr="00FD4EE9" w:rsidRDefault="00A42A5D"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b/>
                <w:sz w:val="20"/>
              </w:rPr>
            </w:pPr>
            <w:r w:rsidRPr="00FD4EE9">
              <w:rPr>
                <w:b/>
                <w:sz w:val="20"/>
              </w:rPr>
              <w:t>Members</w:t>
            </w:r>
          </w:p>
        </w:tc>
        <w:tc>
          <w:tcPr>
            <w:tcW w:w="3827" w:type="dxa"/>
            <w:tcBorders>
              <w:top w:val="nil"/>
              <w:left w:val="nil"/>
              <w:bottom w:val="nil"/>
              <w:right w:val="nil"/>
            </w:tcBorders>
          </w:tcPr>
          <w:p w14:paraId="67C3568E" w14:textId="77777777" w:rsidR="00A42A5D" w:rsidRPr="00FD4EE9" w:rsidRDefault="00A42A5D"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b/>
                <w:sz w:val="20"/>
              </w:rPr>
            </w:pPr>
            <w:r w:rsidRPr="00FD4EE9">
              <w:rPr>
                <w:b/>
                <w:sz w:val="20"/>
              </w:rPr>
              <w:t>Affiliation</w:t>
            </w:r>
          </w:p>
        </w:tc>
        <w:tc>
          <w:tcPr>
            <w:tcW w:w="1417" w:type="dxa"/>
            <w:tcBorders>
              <w:top w:val="nil"/>
              <w:left w:val="nil"/>
              <w:bottom w:val="nil"/>
              <w:right w:val="nil"/>
            </w:tcBorders>
          </w:tcPr>
          <w:p w14:paraId="4BDC68A4" w14:textId="77777777" w:rsidR="00A42A5D" w:rsidRPr="00FD4EE9" w:rsidRDefault="00A42A5D"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b/>
                <w:sz w:val="20"/>
              </w:rPr>
            </w:pPr>
            <w:r w:rsidRPr="00FD4EE9">
              <w:rPr>
                <w:b/>
                <w:sz w:val="20"/>
              </w:rPr>
              <w:t>Country</w:t>
            </w:r>
          </w:p>
        </w:tc>
        <w:tc>
          <w:tcPr>
            <w:tcW w:w="1418" w:type="dxa"/>
            <w:tcBorders>
              <w:top w:val="nil"/>
              <w:left w:val="nil"/>
              <w:bottom w:val="nil"/>
              <w:right w:val="nil"/>
            </w:tcBorders>
          </w:tcPr>
          <w:p w14:paraId="61A73A5C" w14:textId="340C1B62" w:rsidR="00A42A5D" w:rsidRPr="00FD4EE9" w:rsidRDefault="001F5725"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b/>
                <w:sz w:val="20"/>
              </w:rPr>
            </w:pPr>
            <w:r>
              <w:rPr>
                <w:b/>
                <w:sz w:val="20"/>
              </w:rPr>
              <w:t>T</w:t>
            </w:r>
            <w:r w:rsidR="00A42A5D" w:rsidRPr="00FD4EE9">
              <w:rPr>
                <w:b/>
                <w:sz w:val="20"/>
              </w:rPr>
              <w:t>hrough</w:t>
            </w:r>
          </w:p>
        </w:tc>
      </w:tr>
      <w:tr w:rsidR="00A42A5D" w:rsidRPr="00FD4EE9" w14:paraId="49CB43C1" w14:textId="77777777" w:rsidTr="009159BE">
        <w:tc>
          <w:tcPr>
            <w:tcW w:w="2269" w:type="dxa"/>
            <w:tcBorders>
              <w:top w:val="nil"/>
              <w:left w:val="single" w:sz="4" w:space="0" w:color="auto"/>
              <w:bottom w:val="nil"/>
              <w:right w:val="nil"/>
            </w:tcBorders>
          </w:tcPr>
          <w:p w14:paraId="28AE291C" w14:textId="77777777" w:rsidR="00A42A5D" w:rsidRPr="00FD4EE9" w:rsidRDefault="00A42A5D"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Jamal Alfuzaie</w:t>
            </w:r>
          </w:p>
        </w:tc>
        <w:tc>
          <w:tcPr>
            <w:tcW w:w="3827" w:type="dxa"/>
            <w:tcBorders>
              <w:top w:val="nil"/>
              <w:left w:val="nil"/>
              <w:bottom w:val="nil"/>
              <w:right w:val="nil"/>
            </w:tcBorders>
          </w:tcPr>
          <w:p w14:paraId="3C6BE360" w14:textId="77777777" w:rsidR="00A42A5D" w:rsidRPr="00FD4EE9" w:rsidRDefault="00A42A5D"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Consultant - Retired</w:t>
            </w:r>
          </w:p>
        </w:tc>
        <w:tc>
          <w:tcPr>
            <w:tcW w:w="1417" w:type="dxa"/>
            <w:tcBorders>
              <w:top w:val="nil"/>
              <w:left w:val="nil"/>
              <w:bottom w:val="nil"/>
              <w:right w:val="nil"/>
            </w:tcBorders>
          </w:tcPr>
          <w:p w14:paraId="11FEA94D" w14:textId="77777777" w:rsidR="00A42A5D" w:rsidRPr="00FD4EE9" w:rsidRDefault="00A42A5D"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Kuwait</w:t>
            </w:r>
          </w:p>
        </w:tc>
        <w:tc>
          <w:tcPr>
            <w:tcW w:w="1418" w:type="dxa"/>
            <w:tcBorders>
              <w:top w:val="nil"/>
              <w:left w:val="nil"/>
              <w:bottom w:val="nil"/>
              <w:right w:val="nil"/>
            </w:tcBorders>
          </w:tcPr>
          <w:p w14:paraId="71B1B720" w14:textId="77777777" w:rsidR="00A42A5D" w:rsidRPr="00FD4EE9" w:rsidRDefault="00A42A5D"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2018</w:t>
            </w:r>
          </w:p>
        </w:tc>
      </w:tr>
      <w:tr w:rsidR="00A42A5D" w:rsidRPr="00FD4EE9" w14:paraId="63892ED8" w14:textId="77777777" w:rsidTr="009159BE">
        <w:tc>
          <w:tcPr>
            <w:tcW w:w="2269" w:type="dxa"/>
            <w:tcBorders>
              <w:top w:val="nil"/>
              <w:left w:val="single" w:sz="4" w:space="0" w:color="auto"/>
              <w:bottom w:val="nil"/>
              <w:right w:val="nil"/>
            </w:tcBorders>
          </w:tcPr>
          <w:p w14:paraId="15F32A24" w14:textId="77777777" w:rsidR="00A42A5D" w:rsidRPr="00FD4EE9" w:rsidRDefault="00A42A5D"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Johan Åqvist</w:t>
            </w:r>
          </w:p>
        </w:tc>
        <w:tc>
          <w:tcPr>
            <w:tcW w:w="3827" w:type="dxa"/>
            <w:tcBorders>
              <w:top w:val="nil"/>
              <w:left w:val="nil"/>
              <w:bottom w:val="nil"/>
              <w:right w:val="nil"/>
            </w:tcBorders>
          </w:tcPr>
          <w:p w14:paraId="2CA4778D" w14:textId="77777777" w:rsidR="00A42A5D" w:rsidRPr="00FD4EE9" w:rsidRDefault="00A42A5D"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Åqvist Consulting Group</w:t>
            </w:r>
          </w:p>
        </w:tc>
        <w:tc>
          <w:tcPr>
            <w:tcW w:w="1417" w:type="dxa"/>
            <w:tcBorders>
              <w:top w:val="nil"/>
              <w:left w:val="nil"/>
              <w:bottom w:val="nil"/>
              <w:right w:val="nil"/>
            </w:tcBorders>
          </w:tcPr>
          <w:p w14:paraId="3C8B3936" w14:textId="77777777" w:rsidR="00A42A5D" w:rsidRPr="00FD4EE9" w:rsidRDefault="00A42A5D"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Sweden</w:t>
            </w:r>
          </w:p>
        </w:tc>
        <w:tc>
          <w:tcPr>
            <w:tcW w:w="1418" w:type="dxa"/>
            <w:tcBorders>
              <w:top w:val="nil"/>
              <w:left w:val="nil"/>
              <w:bottom w:val="nil"/>
              <w:right w:val="nil"/>
            </w:tcBorders>
          </w:tcPr>
          <w:p w14:paraId="441E900D" w14:textId="77777777" w:rsidR="00A42A5D" w:rsidRPr="00FD4EE9" w:rsidRDefault="00A42A5D"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2019</w:t>
            </w:r>
          </w:p>
        </w:tc>
      </w:tr>
      <w:tr w:rsidR="00A42A5D" w:rsidRPr="00FD4EE9" w14:paraId="2F9CEB7D" w14:textId="77777777" w:rsidTr="009159BE">
        <w:tc>
          <w:tcPr>
            <w:tcW w:w="2269" w:type="dxa"/>
            <w:tcBorders>
              <w:top w:val="nil"/>
              <w:left w:val="single" w:sz="4" w:space="0" w:color="auto"/>
              <w:bottom w:val="nil"/>
              <w:right w:val="nil"/>
            </w:tcBorders>
          </w:tcPr>
          <w:p w14:paraId="20D6F26E" w14:textId="77777777" w:rsidR="00A42A5D" w:rsidRPr="00FD4EE9" w:rsidRDefault="00A42A5D"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Youri Auroque</w:t>
            </w:r>
          </w:p>
        </w:tc>
        <w:tc>
          <w:tcPr>
            <w:tcW w:w="3827" w:type="dxa"/>
            <w:tcBorders>
              <w:top w:val="nil"/>
              <w:left w:val="nil"/>
              <w:bottom w:val="nil"/>
              <w:right w:val="nil"/>
            </w:tcBorders>
          </w:tcPr>
          <w:p w14:paraId="711F3741" w14:textId="77777777" w:rsidR="00A42A5D" w:rsidRPr="00FD4EE9" w:rsidRDefault="00A42A5D"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23"/>
              <w:rPr>
                <w:sz w:val="20"/>
              </w:rPr>
            </w:pPr>
            <w:r w:rsidRPr="00FD4EE9">
              <w:rPr>
                <w:sz w:val="20"/>
              </w:rPr>
              <w:t>European Aviation Safety Agency</w:t>
            </w:r>
          </w:p>
        </w:tc>
        <w:tc>
          <w:tcPr>
            <w:tcW w:w="1417" w:type="dxa"/>
            <w:tcBorders>
              <w:top w:val="nil"/>
              <w:left w:val="nil"/>
              <w:bottom w:val="nil"/>
              <w:right w:val="nil"/>
            </w:tcBorders>
          </w:tcPr>
          <w:p w14:paraId="5597BBE3" w14:textId="77777777" w:rsidR="00A42A5D" w:rsidRPr="00FD4EE9" w:rsidRDefault="00A42A5D"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France</w:t>
            </w:r>
          </w:p>
        </w:tc>
        <w:tc>
          <w:tcPr>
            <w:tcW w:w="1418" w:type="dxa"/>
            <w:tcBorders>
              <w:top w:val="nil"/>
              <w:left w:val="nil"/>
              <w:bottom w:val="nil"/>
              <w:right w:val="nil"/>
            </w:tcBorders>
          </w:tcPr>
          <w:p w14:paraId="390FD64C" w14:textId="77777777" w:rsidR="00A42A5D" w:rsidRPr="00FD4EE9" w:rsidRDefault="00A42A5D"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2019</w:t>
            </w:r>
          </w:p>
        </w:tc>
      </w:tr>
      <w:tr w:rsidR="00A42A5D" w:rsidRPr="00FD4EE9" w14:paraId="186D8766" w14:textId="77777777" w:rsidTr="009159BE">
        <w:tc>
          <w:tcPr>
            <w:tcW w:w="2269" w:type="dxa"/>
            <w:tcBorders>
              <w:top w:val="nil"/>
              <w:left w:val="single" w:sz="4" w:space="0" w:color="auto"/>
              <w:bottom w:val="nil"/>
              <w:right w:val="nil"/>
            </w:tcBorders>
          </w:tcPr>
          <w:p w14:paraId="3202F7FF" w14:textId="77777777" w:rsidR="00A42A5D" w:rsidRPr="00FD4EE9" w:rsidRDefault="00A42A5D"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Seunghwan (Charles) Choi</w:t>
            </w:r>
          </w:p>
        </w:tc>
        <w:tc>
          <w:tcPr>
            <w:tcW w:w="3827" w:type="dxa"/>
            <w:tcBorders>
              <w:top w:val="nil"/>
              <w:left w:val="nil"/>
              <w:bottom w:val="nil"/>
              <w:right w:val="nil"/>
            </w:tcBorders>
          </w:tcPr>
          <w:p w14:paraId="36F0C675" w14:textId="77777777" w:rsidR="00A42A5D" w:rsidRPr="00FD4EE9" w:rsidRDefault="00A42A5D"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23"/>
              <w:rPr>
                <w:sz w:val="20"/>
              </w:rPr>
            </w:pPr>
            <w:r w:rsidRPr="00FD4EE9">
              <w:rPr>
                <w:sz w:val="20"/>
              </w:rPr>
              <w:t>Hanju Chemical Co., Ltd.</w:t>
            </w:r>
          </w:p>
        </w:tc>
        <w:tc>
          <w:tcPr>
            <w:tcW w:w="1417" w:type="dxa"/>
            <w:tcBorders>
              <w:top w:val="nil"/>
              <w:left w:val="nil"/>
              <w:bottom w:val="nil"/>
              <w:right w:val="nil"/>
            </w:tcBorders>
          </w:tcPr>
          <w:p w14:paraId="4DFA41A8" w14:textId="77777777" w:rsidR="00A42A5D" w:rsidRPr="00FD4EE9" w:rsidRDefault="00A42A5D"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South Korea</w:t>
            </w:r>
          </w:p>
        </w:tc>
        <w:tc>
          <w:tcPr>
            <w:tcW w:w="1418" w:type="dxa"/>
            <w:tcBorders>
              <w:top w:val="nil"/>
              <w:left w:val="nil"/>
              <w:bottom w:val="nil"/>
              <w:right w:val="nil"/>
            </w:tcBorders>
          </w:tcPr>
          <w:p w14:paraId="14B5AAFE" w14:textId="77777777" w:rsidR="00A42A5D" w:rsidRPr="00FD4EE9" w:rsidRDefault="00A42A5D"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2018</w:t>
            </w:r>
          </w:p>
        </w:tc>
      </w:tr>
      <w:tr w:rsidR="00A42A5D" w:rsidRPr="00FD4EE9" w14:paraId="5FEE0CB8" w14:textId="77777777" w:rsidTr="009159BE">
        <w:tc>
          <w:tcPr>
            <w:tcW w:w="2269" w:type="dxa"/>
            <w:tcBorders>
              <w:top w:val="nil"/>
              <w:left w:val="single" w:sz="4" w:space="0" w:color="auto"/>
              <w:bottom w:val="nil"/>
              <w:right w:val="nil"/>
            </w:tcBorders>
          </w:tcPr>
          <w:p w14:paraId="1BB99B65" w14:textId="77777777" w:rsidR="00A42A5D" w:rsidRPr="00FD4EE9" w:rsidRDefault="00A42A5D"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Michelle M. Collins</w:t>
            </w:r>
          </w:p>
        </w:tc>
        <w:tc>
          <w:tcPr>
            <w:tcW w:w="3827" w:type="dxa"/>
            <w:tcBorders>
              <w:top w:val="nil"/>
              <w:left w:val="nil"/>
              <w:bottom w:val="nil"/>
              <w:right w:val="nil"/>
            </w:tcBorders>
          </w:tcPr>
          <w:p w14:paraId="3A8B4277" w14:textId="77777777" w:rsidR="00A42A5D" w:rsidRPr="00FD4EE9" w:rsidRDefault="00A42A5D"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23"/>
              <w:rPr>
                <w:sz w:val="20"/>
              </w:rPr>
            </w:pPr>
            <w:r w:rsidRPr="00FD4EE9">
              <w:rPr>
                <w:sz w:val="20"/>
              </w:rPr>
              <w:t>Consultant- EECO International</w:t>
            </w:r>
          </w:p>
        </w:tc>
        <w:tc>
          <w:tcPr>
            <w:tcW w:w="1417" w:type="dxa"/>
            <w:tcBorders>
              <w:top w:val="nil"/>
              <w:left w:val="nil"/>
              <w:bottom w:val="nil"/>
              <w:right w:val="nil"/>
            </w:tcBorders>
          </w:tcPr>
          <w:p w14:paraId="0B81A1BB" w14:textId="6F445870" w:rsidR="00A42A5D" w:rsidRPr="00FD4EE9" w:rsidRDefault="0070607D"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Pr>
                <w:sz w:val="20"/>
              </w:rPr>
              <w:t>US</w:t>
            </w:r>
          </w:p>
        </w:tc>
        <w:tc>
          <w:tcPr>
            <w:tcW w:w="1418" w:type="dxa"/>
            <w:tcBorders>
              <w:top w:val="nil"/>
              <w:left w:val="nil"/>
              <w:bottom w:val="nil"/>
              <w:right w:val="nil"/>
            </w:tcBorders>
          </w:tcPr>
          <w:p w14:paraId="072635E3" w14:textId="77777777" w:rsidR="00A42A5D" w:rsidRPr="00FD4EE9" w:rsidRDefault="00A42A5D"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2018</w:t>
            </w:r>
          </w:p>
        </w:tc>
      </w:tr>
      <w:tr w:rsidR="00A42A5D" w:rsidRPr="00FD4EE9" w14:paraId="7DBF7E69" w14:textId="77777777" w:rsidTr="009159BE">
        <w:tc>
          <w:tcPr>
            <w:tcW w:w="2269" w:type="dxa"/>
            <w:tcBorders>
              <w:top w:val="nil"/>
              <w:left w:val="single" w:sz="4" w:space="0" w:color="auto"/>
              <w:bottom w:val="nil"/>
              <w:right w:val="nil"/>
            </w:tcBorders>
          </w:tcPr>
          <w:p w14:paraId="4A6AE515" w14:textId="77777777" w:rsidR="00A42A5D" w:rsidRPr="00FD4EE9" w:rsidRDefault="00A42A5D"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Carlos Grandi</w:t>
            </w:r>
          </w:p>
        </w:tc>
        <w:tc>
          <w:tcPr>
            <w:tcW w:w="3827" w:type="dxa"/>
            <w:tcBorders>
              <w:top w:val="nil"/>
              <w:left w:val="nil"/>
              <w:bottom w:val="nil"/>
              <w:right w:val="nil"/>
            </w:tcBorders>
          </w:tcPr>
          <w:p w14:paraId="01E3223C" w14:textId="77777777" w:rsidR="00A42A5D" w:rsidRPr="00FD4EE9" w:rsidRDefault="00A42A5D"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23"/>
              <w:rPr>
                <w:sz w:val="20"/>
              </w:rPr>
            </w:pPr>
            <w:r w:rsidRPr="00FD4EE9">
              <w:rPr>
                <w:sz w:val="20"/>
              </w:rPr>
              <w:t>Embraer</w:t>
            </w:r>
          </w:p>
        </w:tc>
        <w:tc>
          <w:tcPr>
            <w:tcW w:w="1417" w:type="dxa"/>
            <w:tcBorders>
              <w:top w:val="nil"/>
              <w:left w:val="nil"/>
              <w:bottom w:val="nil"/>
              <w:right w:val="nil"/>
            </w:tcBorders>
          </w:tcPr>
          <w:p w14:paraId="01A515D7" w14:textId="42A270D1" w:rsidR="00A42A5D" w:rsidRPr="00FD4EE9" w:rsidRDefault="00A42A5D"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Bra</w:t>
            </w:r>
            <w:r w:rsidR="0000233D">
              <w:rPr>
                <w:sz w:val="20"/>
              </w:rPr>
              <w:t>z</w:t>
            </w:r>
            <w:r w:rsidRPr="00FD4EE9">
              <w:rPr>
                <w:sz w:val="20"/>
              </w:rPr>
              <w:t>il</w:t>
            </w:r>
          </w:p>
        </w:tc>
        <w:tc>
          <w:tcPr>
            <w:tcW w:w="1418" w:type="dxa"/>
            <w:tcBorders>
              <w:top w:val="nil"/>
              <w:left w:val="nil"/>
              <w:bottom w:val="nil"/>
              <w:right w:val="nil"/>
            </w:tcBorders>
          </w:tcPr>
          <w:p w14:paraId="35439BDF" w14:textId="2779FD0F" w:rsidR="00A42A5D" w:rsidRPr="00FD4EE9" w:rsidRDefault="00A42A5D"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2017</w:t>
            </w:r>
            <w:r w:rsidR="002B4DA6">
              <w:rPr>
                <w:sz w:val="20"/>
              </w:rPr>
              <w:t>*</w:t>
            </w:r>
          </w:p>
        </w:tc>
      </w:tr>
      <w:tr w:rsidR="00A42A5D" w:rsidRPr="00FD4EE9" w14:paraId="53F5F72F" w14:textId="77777777" w:rsidTr="009159BE">
        <w:tc>
          <w:tcPr>
            <w:tcW w:w="2269" w:type="dxa"/>
            <w:tcBorders>
              <w:top w:val="nil"/>
              <w:left w:val="single" w:sz="4" w:space="0" w:color="auto"/>
              <w:bottom w:val="nil"/>
              <w:right w:val="nil"/>
            </w:tcBorders>
          </w:tcPr>
          <w:p w14:paraId="36618F59" w14:textId="7AFDCF0A" w:rsidR="00A42A5D" w:rsidRPr="00FD4EE9" w:rsidRDefault="002B4DA6"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Pr>
                <w:sz w:val="20"/>
              </w:rPr>
              <w:t>Laura Green</w:t>
            </w:r>
          </w:p>
        </w:tc>
        <w:tc>
          <w:tcPr>
            <w:tcW w:w="3827" w:type="dxa"/>
            <w:tcBorders>
              <w:top w:val="nil"/>
              <w:left w:val="nil"/>
              <w:bottom w:val="nil"/>
              <w:right w:val="nil"/>
            </w:tcBorders>
          </w:tcPr>
          <w:p w14:paraId="57C51BAD" w14:textId="7A0F515E" w:rsidR="00A42A5D" w:rsidRPr="00FD4EE9" w:rsidRDefault="002B4DA6"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Pr>
                <w:sz w:val="20"/>
              </w:rPr>
              <w:t>Hilcorp</w:t>
            </w:r>
          </w:p>
        </w:tc>
        <w:tc>
          <w:tcPr>
            <w:tcW w:w="1417" w:type="dxa"/>
            <w:tcBorders>
              <w:top w:val="nil"/>
              <w:left w:val="nil"/>
              <w:bottom w:val="nil"/>
              <w:right w:val="nil"/>
            </w:tcBorders>
          </w:tcPr>
          <w:p w14:paraId="3FC3AD97" w14:textId="59B0C3D1" w:rsidR="00A42A5D" w:rsidRPr="00FD4EE9" w:rsidRDefault="0070607D"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Pr>
                <w:sz w:val="20"/>
              </w:rPr>
              <w:t>US</w:t>
            </w:r>
          </w:p>
        </w:tc>
        <w:tc>
          <w:tcPr>
            <w:tcW w:w="1418" w:type="dxa"/>
            <w:tcBorders>
              <w:top w:val="nil"/>
              <w:left w:val="nil"/>
              <w:bottom w:val="nil"/>
              <w:right w:val="nil"/>
            </w:tcBorders>
          </w:tcPr>
          <w:p w14:paraId="50E7495B" w14:textId="0B4E6765" w:rsidR="00A42A5D" w:rsidRPr="00FD4EE9" w:rsidRDefault="00A42A5D" w:rsidP="002B4DA6">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w:t>
            </w:r>
            <w:r w:rsidR="002B4DA6">
              <w:rPr>
                <w:sz w:val="20"/>
              </w:rPr>
              <w:t>20</w:t>
            </w:r>
          </w:p>
        </w:tc>
      </w:tr>
      <w:tr w:rsidR="002B4DA6" w:rsidRPr="00FD4EE9" w14:paraId="41BE7090" w14:textId="77777777" w:rsidTr="009159BE">
        <w:tc>
          <w:tcPr>
            <w:tcW w:w="2269" w:type="dxa"/>
            <w:tcBorders>
              <w:top w:val="nil"/>
              <w:left w:val="single" w:sz="4" w:space="0" w:color="auto"/>
              <w:bottom w:val="nil"/>
              <w:right w:val="nil"/>
            </w:tcBorders>
          </w:tcPr>
          <w:p w14:paraId="375DB79F" w14:textId="28AB1AC4" w:rsidR="002B4DA6" w:rsidRPr="00FD4EE9" w:rsidRDefault="002B4DA6"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Pr>
                <w:sz w:val="20"/>
              </w:rPr>
              <w:t>Elvira Nigido</w:t>
            </w:r>
          </w:p>
        </w:tc>
        <w:tc>
          <w:tcPr>
            <w:tcW w:w="3827" w:type="dxa"/>
            <w:tcBorders>
              <w:top w:val="nil"/>
              <w:left w:val="nil"/>
              <w:bottom w:val="nil"/>
              <w:right w:val="nil"/>
            </w:tcBorders>
          </w:tcPr>
          <w:p w14:paraId="215A3232" w14:textId="472E9CF5" w:rsidR="002B4DA6" w:rsidRPr="00FD4EE9" w:rsidRDefault="002B4DA6"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Pr>
                <w:sz w:val="20"/>
              </w:rPr>
              <w:t>A-gas Australia</w:t>
            </w:r>
          </w:p>
        </w:tc>
        <w:tc>
          <w:tcPr>
            <w:tcW w:w="1417" w:type="dxa"/>
            <w:tcBorders>
              <w:top w:val="nil"/>
              <w:left w:val="nil"/>
              <w:bottom w:val="nil"/>
              <w:right w:val="nil"/>
            </w:tcBorders>
          </w:tcPr>
          <w:p w14:paraId="1C445D11" w14:textId="62482EFB" w:rsidR="002B4DA6" w:rsidRPr="008D06EA" w:rsidRDefault="002B4DA6"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bCs/>
                <w:sz w:val="20"/>
              </w:rPr>
            </w:pPr>
            <w:r w:rsidRPr="008D06EA">
              <w:rPr>
                <w:bCs/>
                <w:sz w:val="20"/>
              </w:rPr>
              <w:t>Australia</w:t>
            </w:r>
          </w:p>
        </w:tc>
        <w:tc>
          <w:tcPr>
            <w:tcW w:w="1418" w:type="dxa"/>
            <w:tcBorders>
              <w:top w:val="nil"/>
              <w:left w:val="nil"/>
              <w:bottom w:val="nil"/>
              <w:right w:val="nil"/>
            </w:tcBorders>
          </w:tcPr>
          <w:p w14:paraId="05B311CC" w14:textId="063F3412" w:rsidR="002B4DA6" w:rsidRPr="00FD4EE9" w:rsidRDefault="002B4DA6"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Pr>
                <w:sz w:val="20"/>
              </w:rPr>
              <w:t>2020</w:t>
            </w:r>
          </w:p>
        </w:tc>
      </w:tr>
      <w:tr w:rsidR="00A42A5D" w:rsidRPr="00FD4EE9" w14:paraId="00B53F51" w14:textId="77777777" w:rsidTr="009159BE">
        <w:tc>
          <w:tcPr>
            <w:tcW w:w="2269" w:type="dxa"/>
            <w:tcBorders>
              <w:top w:val="nil"/>
              <w:left w:val="single" w:sz="4" w:space="0" w:color="auto"/>
              <w:bottom w:val="nil"/>
              <w:right w:val="nil"/>
            </w:tcBorders>
          </w:tcPr>
          <w:p w14:paraId="1E1898B9" w14:textId="77777777" w:rsidR="00A42A5D" w:rsidRPr="00FD4EE9" w:rsidRDefault="00A42A5D"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Emma Palumbo</w:t>
            </w:r>
          </w:p>
        </w:tc>
        <w:tc>
          <w:tcPr>
            <w:tcW w:w="3827" w:type="dxa"/>
            <w:tcBorders>
              <w:top w:val="nil"/>
              <w:left w:val="nil"/>
              <w:bottom w:val="nil"/>
              <w:right w:val="nil"/>
            </w:tcBorders>
          </w:tcPr>
          <w:p w14:paraId="30A7B219" w14:textId="77777777" w:rsidR="00A42A5D" w:rsidRPr="00FD4EE9" w:rsidRDefault="00A42A5D"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Safety Hi-tech srl</w:t>
            </w:r>
          </w:p>
        </w:tc>
        <w:tc>
          <w:tcPr>
            <w:tcW w:w="1417" w:type="dxa"/>
            <w:tcBorders>
              <w:top w:val="nil"/>
              <w:left w:val="nil"/>
              <w:bottom w:val="nil"/>
              <w:right w:val="nil"/>
            </w:tcBorders>
          </w:tcPr>
          <w:p w14:paraId="2C682819" w14:textId="77777777" w:rsidR="00A42A5D" w:rsidRPr="00FD4EE9" w:rsidRDefault="00A42A5D"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Italy</w:t>
            </w:r>
          </w:p>
        </w:tc>
        <w:tc>
          <w:tcPr>
            <w:tcW w:w="1418" w:type="dxa"/>
            <w:tcBorders>
              <w:top w:val="nil"/>
              <w:left w:val="nil"/>
              <w:bottom w:val="nil"/>
              <w:right w:val="nil"/>
            </w:tcBorders>
          </w:tcPr>
          <w:p w14:paraId="32D717B5" w14:textId="77777777" w:rsidR="00A42A5D" w:rsidRPr="00FD4EE9" w:rsidRDefault="00A42A5D"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2018</w:t>
            </w:r>
          </w:p>
        </w:tc>
      </w:tr>
      <w:tr w:rsidR="00A42A5D" w:rsidRPr="00FD4EE9" w14:paraId="5D4E0C91" w14:textId="77777777" w:rsidTr="009159BE">
        <w:tc>
          <w:tcPr>
            <w:tcW w:w="2269" w:type="dxa"/>
            <w:tcBorders>
              <w:top w:val="nil"/>
              <w:left w:val="single" w:sz="4" w:space="0" w:color="auto"/>
              <w:bottom w:val="nil"/>
              <w:right w:val="nil"/>
            </w:tcBorders>
          </w:tcPr>
          <w:p w14:paraId="444AC19F" w14:textId="77777777" w:rsidR="00A42A5D" w:rsidRPr="00FD4EE9" w:rsidRDefault="00A42A5D"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Erik Pedersen</w:t>
            </w:r>
          </w:p>
        </w:tc>
        <w:tc>
          <w:tcPr>
            <w:tcW w:w="3827" w:type="dxa"/>
            <w:tcBorders>
              <w:top w:val="nil"/>
              <w:left w:val="nil"/>
              <w:bottom w:val="nil"/>
              <w:right w:val="nil"/>
            </w:tcBorders>
          </w:tcPr>
          <w:p w14:paraId="02F2B746" w14:textId="77777777" w:rsidR="00A42A5D" w:rsidRPr="00FD4EE9" w:rsidRDefault="00A42A5D"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Consultant – World Bank</w:t>
            </w:r>
          </w:p>
        </w:tc>
        <w:tc>
          <w:tcPr>
            <w:tcW w:w="1417" w:type="dxa"/>
            <w:tcBorders>
              <w:top w:val="nil"/>
              <w:left w:val="nil"/>
              <w:bottom w:val="nil"/>
              <w:right w:val="nil"/>
            </w:tcBorders>
          </w:tcPr>
          <w:p w14:paraId="346DB473" w14:textId="77777777" w:rsidR="00A42A5D" w:rsidRPr="00FD4EE9" w:rsidRDefault="00A42A5D"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Denmark</w:t>
            </w:r>
          </w:p>
        </w:tc>
        <w:tc>
          <w:tcPr>
            <w:tcW w:w="1418" w:type="dxa"/>
            <w:tcBorders>
              <w:top w:val="nil"/>
              <w:left w:val="nil"/>
              <w:bottom w:val="nil"/>
              <w:right w:val="nil"/>
            </w:tcBorders>
          </w:tcPr>
          <w:p w14:paraId="6FB06636" w14:textId="1501364F" w:rsidR="00A42A5D" w:rsidRPr="00FD4EE9" w:rsidRDefault="00A42A5D" w:rsidP="002B4DA6">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w:t>
            </w:r>
            <w:r w:rsidR="002B4DA6">
              <w:rPr>
                <w:sz w:val="20"/>
              </w:rPr>
              <w:t>20</w:t>
            </w:r>
          </w:p>
        </w:tc>
      </w:tr>
      <w:tr w:rsidR="002B4DA6" w:rsidRPr="00FD4EE9" w14:paraId="76492343" w14:textId="77777777" w:rsidTr="009159BE">
        <w:tc>
          <w:tcPr>
            <w:tcW w:w="2269" w:type="dxa"/>
            <w:tcBorders>
              <w:top w:val="nil"/>
              <w:left w:val="single" w:sz="4" w:space="0" w:color="auto"/>
              <w:bottom w:val="nil"/>
              <w:right w:val="nil"/>
            </w:tcBorders>
          </w:tcPr>
          <w:p w14:paraId="64C537AB" w14:textId="78CE3996" w:rsidR="002B4DA6" w:rsidRPr="00FD4EE9" w:rsidRDefault="002B4DA6"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Pr>
                <w:sz w:val="20"/>
              </w:rPr>
              <w:t>R.P. Singh</w:t>
            </w:r>
          </w:p>
        </w:tc>
        <w:tc>
          <w:tcPr>
            <w:tcW w:w="3827" w:type="dxa"/>
            <w:tcBorders>
              <w:top w:val="nil"/>
              <w:left w:val="nil"/>
              <w:bottom w:val="nil"/>
              <w:right w:val="nil"/>
            </w:tcBorders>
          </w:tcPr>
          <w:p w14:paraId="7CF58657" w14:textId="77777777" w:rsidR="002B4DA6" w:rsidRPr="00FD4EE9" w:rsidRDefault="002B4DA6"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p>
        </w:tc>
        <w:tc>
          <w:tcPr>
            <w:tcW w:w="1417" w:type="dxa"/>
            <w:tcBorders>
              <w:top w:val="nil"/>
              <w:left w:val="nil"/>
              <w:bottom w:val="nil"/>
              <w:right w:val="nil"/>
            </w:tcBorders>
          </w:tcPr>
          <w:p w14:paraId="722FB508" w14:textId="1A8433D1" w:rsidR="002B4DA6" w:rsidRPr="008D06EA" w:rsidRDefault="002B4DA6"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bCs/>
                <w:sz w:val="20"/>
              </w:rPr>
            </w:pPr>
            <w:r w:rsidRPr="008D06EA">
              <w:rPr>
                <w:bCs/>
                <w:sz w:val="20"/>
              </w:rPr>
              <w:t>India</w:t>
            </w:r>
          </w:p>
        </w:tc>
        <w:tc>
          <w:tcPr>
            <w:tcW w:w="1418" w:type="dxa"/>
            <w:tcBorders>
              <w:top w:val="nil"/>
              <w:left w:val="nil"/>
              <w:bottom w:val="nil"/>
              <w:right w:val="nil"/>
            </w:tcBorders>
          </w:tcPr>
          <w:p w14:paraId="2B40F6CF" w14:textId="5CC4AA5F" w:rsidR="002B4DA6" w:rsidRPr="00FD4EE9" w:rsidRDefault="002B4DA6" w:rsidP="002B4DA6">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Pr>
                <w:sz w:val="20"/>
              </w:rPr>
              <w:t>2020</w:t>
            </w:r>
          </w:p>
        </w:tc>
      </w:tr>
      <w:tr w:rsidR="00A42A5D" w:rsidRPr="00FD4EE9" w14:paraId="67DDAB8E" w14:textId="77777777" w:rsidTr="009159BE">
        <w:tc>
          <w:tcPr>
            <w:tcW w:w="2269" w:type="dxa"/>
            <w:tcBorders>
              <w:top w:val="nil"/>
              <w:left w:val="single" w:sz="4" w:space="0" w:color="auto"/>
              <w:bottom w:val="nil"/>
              <w:right w:val="nil"/>
            </w:tcBorders>
          </w:tcPr>
          <w:p w14:paraId="164506B2" w14:textId="77777777" w:rsidR="00A42A5D" w:rsidRPr="00FD4EE9" w:rsidRDefault="00A42A5D"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Donald Thomson</w:t>
            </w:r>
          </w:p>
        </w:tc>
        <w:tc>
          <w:tcPr>
            <w:tcW w:w="3827" w:type="dxa"/>
            <w:tcBorders>
              <w:top w:val="nil"/>
              <w:left w:val="nil"/>
              <w:bottom w:val="nil"/>
              <w:right w:val="nil"/>
            </w:tcBorders>
          </w:tcPr>
          <w:p w14:paraId="711EA358" w14:textId="77777777" w:rsidR="00A42A5D" w:rsidRPr="00FD4EE9" w:rsidRDefault="00A42A5D"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MOPIA</w:t>
            </w:r>
          </w:p>
        </w:tc>
        <w:tc>
          <w:tcPr>
            <w:tcW w:w="1417" w:type="dxa"/>
            <w:tcBorders>
              <w:top w:val="nil"/>
              <w:left w:val="nil"/>
              <w:bottom w:val="nil"/>
              <w:right w:val="nil"/>
            </w:tcBorders>
          </w:tcPr>
          <w:p w14:paraId="3F6D4827" w14:textId="77777777" w:rsidR="00A42A5D" w:rsidRPr="00FD4EE9" w:rsidRDefault="00A42A5D"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Canada</w:t>
            </w:r>
          </w:p>
        </w:tc>
        <w:tc>
          <w:tcPr>
            <w:tcW w:w="1418" w:type="dxa"/>
            <w:tcBorders>
              <w:top w:val="nil"/>
              <w:left w:val="nil"/>
              <w:bottom w:val="nil"/>
              <w:right w:val="nil"/>
            </w:tcBorders>
          </w:tcPr>
          <w:p w14:paraId="5E75CA45" w14:textId="7FC8E95B" w:rsidR="00A42A5D" w:rsidRPr="00FD4EE9" w:rsidRDefault="00A42A5D"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2017</w:t>
            </w:r>
            <w:r w:rsidR="002B4DA6">
              <w:rPr>
                <w:sz w:val="20"/>
              </w:rPr>
              <w:t>*</w:t>
            </w:r>
          </w:p>
        </w:tc>
      </w:tr>
      <w:tr w:rsidR="00A42A5D" w:rsidRPr="00FD4EE9" w14:paraId="3BB42704" w14:textId="77777777" w:rsidTr="009159BE">
        <w:tc>
          <w:tcPr>
            <w:tcW w:w="2269" w:type="dxa"/>
            <w:tcBorders>
              <w:top w:val="nil"/>
              <w:left w:val="single" w:sz="4" w:space="0" w:color="auto"/>
              <w:bottom w:val="nil"/>
              <w:right w:val="nil"/>
            </w:tcBorders>
          </w:tcPr>
          <w:p w14:paraId="3805D3B8" w14:textId="77777777" w:rsidR="00A42A5D" w:rsidRPr="00FD4EE9" w:rsidRDefault="00A42A5D"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Mitsuru Yagi</w:t>
            </w:r>
          </w:p>
        </w:tc>
        <w:tc>
          <w:tcPr>
            <w:tcW w:w="3827" w:type="dxa"/>
            <w:tcBorders>
              <w:top w:val="nil"/>
              <w:left w:val="nil"/>
              <w:bottom w:val="nil"/>
              <w:right w:val="nil"/>
            </w:tcBorders>
          </w:tcPr>
          <w:p w14:paraId="52980E23" w14:textId="1D032DFD" w:rsidR="00A42A5D" w:rsidRPr="00FD4EE9" w:rsidRDefault="00A42A5D" w:rsidP="001F572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Nohmi Bosai Ltd &amp; Fire and Env</w:t>
            </w:r>
            <w:r w:rsidR="001F5725">
              <w:rPr>
                <w:sz w:val="20"/>
              </w:rPr>
              <w:t>.</w:t>
            </w:r>
            <w:r w:rsidRPr="00FD4EE9">
              <w:rPr>
                <w:sz w:val="20"/>
              </w:rPr>
              <w:t xml:space="preserve"> Prot. Net</w:t>
            </w:r>
            <w:r w:rsidR="001F5725">
              <w:rPr>
                <w:sz w:val="20"/>
              </w:rPr>
              <w:t>.</w:t>
            </w:r>
          </w:p>
        </w:tc>
        <w:tc>
          <w:tcPr>
            <w:tcW w:w="1417" w:type="dxa"/>
            <w:tcBorders>
              <w:top w:val="nil"/>
              <w:left w:val="nil"/>
              <w:bottom w:val="nil"/>
              <w:right w:val="nil"/>
            </w:tcBorders>
          </w:tcPr>
          <w:p w14:paraId="2E633BD1" w14:textId="77777777" w:rsidR="00A42A5D" w:rsidRPr="00FD4EE9" w:rsidRDefault="00A42A5D"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Japan</w:t>
            </w:r>
          </w:p>
        </w:tc>
        <w:tc>
          <w:tcPr>
            <w:tcW w:w="1418" w:type="dxa"/>
            <w:tcBorders>
              <w:top w:val="nil"/>
              <w:left w:val="nil"/>
              <w:bottom w:val="nil"/>
              <w:right w:val="nil"/>
            </w:tcBorders>
          </w:tcPr>
          <w:p w14:paraId="2FFA985E" w14:textId="59AD4902" w:rsidR="00A42A5D" w:rsidRPr="00FD4EE9" w:rsidRDefault="00A42A5D"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2017</w:t>
            </w:r>
            <w:r w:rsidR="002B4DA6">
              <w:rPr>
                <w:sz w:val="20"/>
              </w:rPr>
              <w:t>*</w:t>
            </w:r>
          </w:p>
        </w:tc>
      </w:tr>
      <w:tr w:rsidR="00A42A5D" w:rsidRPr="00FD4EE9" w14:paraId="2E476072" w14:textId="77777777" w:rsidTr="009159BE">
        <w:tc>
          <w:tcPr>
            <w:tcW w:w="2269" w:type="dxa"/>
            <w:tcBorders>
              <w:top w:val="nil"/>
              <w:left w:val="single" w:sz="4" w:space="0" w:color="auto"/>
              <w:bottom w:val="nil"/>
              <w:right w:val="nil"/>
            </w:tcBorders>
          </w:tcPr>
          <w:p w14:paraId="09498844" w14:textId="77777777" w:rsidR="00A42A5D" w:rsidRPr="00FD4EE9" w:rsidRDefault="00A42A5D"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b/>
                <w:sz w:val="20"/>
              </w:rPr>
              <w:t>Consulting Experts</w:t>
            </w:r>
          </w:p>
        </w:tc>
        <w:tc>
          <w:tcPr>
            <w:tcW w:w="3827" w:type="dxa"/>
            <w:tcBorders>
              <w:top w:val="nil"/>
              <w:left w:val="nil"/>
              <w:bottom w:val="nil"/>
              <w:right w:val="nil"/>
            </w:tcBorders>
          </w:tcPr>
          <w:p w14:paraId="64FD5AF0" w14:textId="77777777" w:rsidR="00A42A5D" w:rsidRPr="00FD4EE9" w:rsidRDefault="00A42A5D"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b/>
                <w:sz w:val="20"/>
              </w:rPr>
              <w:t>Affiliation</w:t>
            </w:r>
          </w:p>
        </w:tc>
        <w:tc>
          <w:tcPr>
            <w:tcW w:w="1417" w:type="dxa"/>
            <w:tcBorders>
              <w:top w:val="nil"/>
              <w:left w:val="nil"/>
              <w:bottom w:val="nil"/>
              <w:right w:val="nil"/>
            </w:tcBorders>
          </w:tcPr>
          <w:p w14:paraId="669698E7" w14:textId="77777777" w:rsidR="00A42A5D" w:rsidRPr="00FD4EE9" w:rsidRDefault="00A42A5D"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b/>
                <w:sz w:val="20"/>
              </w:rPr>
              <w:t>Country</w:t>
            </w:r>
          </w:p>
        </w:tc>
        <w:tc>
          <w:tcPr>
            <w:tcW w:w="1418" w:type="dxa"/>
            <w:tcBorders>
              <w:top w:val="nil"/>
              <w:left w:val="nil"/>
              <w:bottom w:val="nil"/>
              <w:right w:val="nil"/>
            </w:tcBorders>
          </w:tcPr>
          <w:p w14:paraId="3A74CF74" w14:textId="261C0EB7" w:rsidR="00A42A5D" w:rsidRPr="00FD4EE9" w:rsidRDefault="001F5725"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Pr>
                <w:b/>
                <w:sz w:val="20"/>
              </w:rPr>
              <w:t>T</w:t>
            </w:r>
            <w:r w:rsidR="00A42A5D" w:rsidRPr="00FD4EE9">
              <w:rPr>
                <w:b/>
                <w:sz w:val="20"/>
              </w:rPr>
              <w:t>hrough</w:t>
            </w:r>
          </w:p>
        </w:tc>
      </w:tr>
      <w:tr w:rsidR="002B4DA6" w:rsidRPr="00FD4EE9" w14:paraId="11B64818" w14:textId="77777777" w:rsidTr="009159BE">
        <w:tc>
          <w:tcPr>
            <w:tcW w:w="2269" w:type="dxa"/>
            <w:tcBorders>
              <w:top w:val="nil"/>
              <w:left w:val="single" w:sz="4" w:space="0" w:color="auto"/>
              <w:bottom w:val="nil"/>
              <w:right w:val="nil"/>
            </w:tcBorders>
          </w:tcPr>
          <w:p w14:paraId="1F028378" w14:textId="15854681" w:rsidR="002B4DA6" w:rsidRPr="00FD4EE9" w:rsidRDefault="002B4DA6"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Pr>
                <w:sz w:val="20"/>
              </w:rPr>
              <w:t>Pat Burns</w:t>
            </w:r>
          </w:p>
        </w:tc>
        <w:tc>
          <w:tcPr>
            <w:tcW w:w="3827" w:type="dxa"/>
            <w:tcBorders>
              <w:top w:val="nil"/>
              <w:left w:val="nil"/>
              <w:bottom w:val="nil"/>
              <w:right w:val="nil"/>
            </w:tcBorders>
          </w:tcPr>
          <w:p w14:paraId="3E7A4B3D" w14:textId="34EE8301" w:rsidR="002B4DA6" w:rsidRPr="00FD4EE9" w:rsidRDefault="002B4DA6"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Pr>
                <w:sz w:val="20"/>
              </w:rPr>
              <w:t>A-Gas Americas</w:t>
            </w:r>
          </w:p>
        </w:tc>
        <w:tc>
          <w:tcPr>
            <w:tcW w:w="1417" w:type="dxa"/>
            <w:tcBorders>
              <w:top w:val="nil"/>
              <w:left w:val="nil"/>
              <w:bottom w:val="nil"/>
              <w:right w:val="nil"/>
            </w:tcBorders>
          </w:tcPr>
          <w:p w14:paraId="74A54949" w14:textId="7268FE96" w:rsidR="002B4DA6" w:rsidRPr="00FD4EE9" w:rsidRDefault="0070607D"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Pr>
                <w:sz w:val="20"/>
              </w:rPr>
              <w:t>US</w:t>
            </w:r>
          </w:p>
        </w:tc>
        <w:tc>
          <w:tcPr>
            <w:tcW w:w="1418" w:type="dxa"/>
            <w:tcBorders>
              <w:top w:val="nil"/>
              <w:left w:val="nil"/>
              <w:bottom w:val="nil"/>
              <w:right w:val="nil"/>
            </w:tcBorders>
          </w:tcPr>
          <w:p w14:paraId="03F96577" w14:textId="6A895208" w:rsidR="002B4DA6" w:rsidRPr="00FD4EE9" w:rsidRDefault="001F5725" w:rsidP="00807C7E">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Pr>
                <w:sz w:val="20"/>
              </w:rPr>
              <w:t>One</w:t>
            </w:r>
            <w:r w:rsidR="002B4DA6" w:rsidRPr="00BC12BF">
              <w:rPr>
                <w:sz w:val="20"/>
              </w:rPr>
              <w:t xml:space="preserve"> yr</w:t>
            </w:r>
            <w:r>
              <w:rPr>
                <w:sz w:val="20"/>
              </w:rPr>
              <w:t>.</w:t>
            </w:r>
            <w:r w:rsidR="002B4DA6" w:rsidRPr="00BC12BF">
              <w:rPr>
                <w:sz w:val="20"/>
              </w:rPr>
              <w:t xml:space="preserve"> </w:t>
            </w:r>
            <w:proofErr w:type="gramStart"/>
            <w:r w:rsidR="002B4DA6" w:rsidRPr="00BC12BF">
              <w:rPr>
                <w:sz w:val="20"/>
              </w:rPr>
              <w:t>renew</w:t>
            </w:r>
            <w:proofErr w:type="gramEnd"/>
            <w:r w:rsidR="00807C7E">
              <w:rPr>
                <w:sz w:val="20"/>
              </w:rPr>
              <w:t>.</w:t>
            </w:r>
            <w:r w:rsidR="002B4DA6" w:rsidRPr="00BC12BF">
              <w:rPr>
                <w:sz w:val="20"/>
              </w:rPr>
              <w:t xml:space="preserve"> terms</w:t>
            </w:r>
          </w:p>
        </w:tc>
      </w:tr>
      <w:tr w:rsidR="00A42A5D" w:rsidRPr="00FD4EE9" w14:paraId="7A8B6FCF" w14:textId="77777777" w:rsidTr="009159BE">
        <w:tc>
          <w:tcPr>
            <w:tcW w:w="2269" w:type="dxa"/>
            <w:tcBorders>
              <w:top w:val="nil"/>
              <w:left w:val="single" w:sz="4" w:space="0" w:color="auto"/>
              <w:bottom w:val="nil"/>
              <w:right w:val="nil"/>
            </w:tcBorders>
          </w:tcPr>
          <w:p w14:paraId="034BBDF3" w14:textId="77777777" w:rsidR="00A42A5D" w:rsidRPr="00FD4EE9" w:rsidRDefault="00A42A5D"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Thomas Cortina</w:t>
            </w:r>
          </w:p>
        </w:tc>
        <w:tc>
          <w:tcPr>
            <w:tcW w:w="3827" w:type="dxa"/>
            <w:tcBorders>
              <w:top w:val="nil"/>
              <w:left w:val="nil"/>
              <w:bottom w:val="nil"/>
              <w:right w:val="nil"/>
            </w:tcBorders>
          </w:tcPr>
          <w:p w14:paraId="0BC2C02A" w14:textId="77777777" w:rsidR="00A42A5D" w:rsidRPr="00FD4EE9" w:rsidRDefault="00A42A5D"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Halon Alternatives Research Corporation</w:t>
            </w:r>
          </w:p>
        </w:tc>
        <w:tc>
          <w:tcPr>
            <w:tcW w:w="1417" w:type="dxa"/>
            <w:tcBorders>
              <w:top w:val="nil"/>
              <w:left w:val="nil"/>
              <w:bottom w:val="nil"/>
              <w:right w:val="nil"/>
            </w:tcBorders>
          </w:tcPr>
          <w:p w14:paraId="4952B72B" w14:textId="13E00CA4" w:rsidR="00A42A5D" w:rsidRPr="00FD4EE9" w:rsidRDefault="0070607D"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Pr>
                <w:sz w:val="20"/>
              </w:rPr>
              <w:t>US</w:t>
            </w:r>
          </w:p>
        </w:tc>
        <w:tc>
          <w:tcPr>
            <w:tcW w:w="1418" w:type="dxa"/>
            <w:tcBorders>
              <w:top w:val="nil"/>
              <w:left w:val="nil"/>
              <w:bottom w:val="nil"/>
              <w:right w:val="nil"/>
            </w:tcBorders>
          </w:tcPr>
          <w:p w14:paraId="0549C807" w14:textId="472E1A16" w:rsidR="00A42A5D" w:rsidRPr="00FD4EE9" w:rsidRDefault="00A42A5D"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p>
        </w:tc>
      </w:tr>
      <w:tr w:rsidR="00A42A5D" w:rsidRPr="00FD4EE9" w14:paraId="195E7C21" w14:textId="77777777" w:rsidTr="009159BE">
        <w:tc>
          <w:tcPr>
            <w:tcW w:w="2269" w:type="dxa"/>
            <w:tcBorders>
              <w:top w:val="nil"/>
              <w:left w:val="single" w:sz="4" w:space="0" w:color="auto"/>
              <w:bottom w:val="nil"/>
              <w:right w:val="nil"/>
            </w:tcBorders>
          </w:tcPr>
          <w:p w14:paraId="524D4C0A" w14:textId="77777777" w:rsidR="00A42A5D" w:rsidRPr="00FD4EE9" w:rsidRDefault="00A42A5D"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Matsuo Ishiyama</w:t>
            </w:r>
          </w:p>
        </w:tc>
        <w:tc>
          <w:tcPr>
            <w:tcW w:w="3827" w:type="dxa"/>
            <w:tcBorders>
              <w:top w:val="nil"/>
              <w:left w:val="nil"/>
              <w:bottom w:val="nil"/>
              <w:right w:val="nil"/>
            </w:tcBorders>
          </w:tcPr>
          <w:p w14:paraId="7A6AEE93" w14:textId="6E580A77" w:rsidR="00A42A5D" w:rsidRPr="00FD4EE9" w:rsidRDefault="00A42A5D" w:rsidP="001F572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Nohmi Bosai Ltd &amp; Fire and Env</w:t>
            </w:r>
            <w:r w:rsidR="001F5725">
              <w:rPr>
                <w:sz w:val="20"/>
              </w:rPr>
              <w:t>.</w:t>
            </w:r>
            <w:r w:rsidRPr="00FD4EE9">
              <w:rPr>
                <w:sz w:val="20"/>
              </w:rPr>
              <w:t xml:space="preserve"> Prot. Net</w:t>
            </w:r>
            <w:r w:rsidR="001F5725">
              <w:rPr>
                <w:sz w:val="20"/>
              </w:rPr>
              <w:t>.</w:t>
            </w:r>
          </w:p>
        </w:tc>
        <w:tc>
          <w:tcPr>
            <w:tcW w:w="1417" w:type="dxa"/>
            <w:tcBorders>
              <w:top w:val="nil"/>
              <w:left w:val="nil"/>
              <w:bottom w:val="nil"/>
              <w:right w:val="nil"/>
            </w:tcBorders>
          </w:tcPr>
          <w:p w14:paraId="734F8086" w14:textId="77777777" w:rsidR="00A42A5D" w:rsidRPr="00FD4EE9" w:rsidRDefault="00A42A5D"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Japan</w:t>
            </w:r>
          </w:p>
        </w:tc>
        <w:tc>
          <w:tcPr>
            <w:tcW w:w="1418" w:type="dxa"/>
            <w:tcBorders>
              <w:top w:val="nil"/>
              <w:left w:val="nil"/>
              <w:bottom w:val="nil"/>
              <w:right w:val="nil"/>
            </w:tcBorders>
          </w:tcPr>
          <w:p w14:paraId="4C029016" w14:textId="77777777" w:rsidR="00A42A5D" w:rsidRPr="00FD4EE9" w:rsidRDefault="00A42A5D"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p>
        </w:tc>
      </w:tr>
      <w:tr w:rsidR="00A42A5D" w:rsidRPr="00FD4EE9" w14:paraId="25AB6B57" w14:textId="77777777" w:rsidTr="009159BE">
        <w:tc>
          <w:tcPr>
            <w:tcW w:w="2269" w:type="dxa"/>
            <w:tcBorders>
              <w:top w:val="nil"/>
              <w:left w:val="single" w:sz="4" w:space="0" w:color="auto"/>
              <w:bottom w:val="nil"/>
              <w:right w:val="nil"/>
            </w:tcBorders>
          </w:tcPr>
          <w:p w14:paraId="58CCB330" w14:textId="77777777" w:rsidR="00A42A5D" w:rsidRPr="00FD4EE9" w:rsidRDefault="00A42A5D"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Nikolai Kopylov</w:t>
            </w:r>
          </w:p>
        </w:tc>
        <w:tc>
          <w:tcPr>
            <w:tcW w:w="3827" w:type="dxa"/>
            <w:tcBorders>
              <w:top w:val="nil"/>
              <w:left w:val="nil"/>
              <w:bottom w:val="nil"/>
              <w:right w:val="nil"/>
            </w:tcBorders>
          </w:tcPr>
          <w:p w14:paraId="400310EE" w14:textId="77777777" w:rsidR="00A42A5D" w:rsidRPr="00FD4EE9" w:rsidRDefault="00A42A5D" w:rsidP="00BE4BB0">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Russian Res</w:t>
            </w:r>
            <w:r w:rsidR="00BE4BB0" w:rsidRPr="00FD4EE9">
              <w:rPr>
                <w:sz w:val="20"/>
              </w:rPr>
              <w:t>.</w:t>
            </w:r>
            <w:r w:rsidRPr="00FD4EE9">
              <w:rPr>
                <w:sz w:val="20"/>
              </w:rPr>
              <w:t xml:space="preserve"> Institute for Fire Protection</w:t>
            </w:r>
          </w:p>
        </w:tc>
        <w:tc>
          <w:tcPr>
            <w:tcW w:w="1417" w:type="dxa"/>
            <w:tcBorders>
              <w:top w:val="nil"/>
              <w:left w:val="nil"/>
              <w:bottom w:val="nil"/>
              <w:right w:val="nil"/>
            </w:tcBorders>
          </w:tcPr>
          <w:p w14:paraId="50AD41CB" w14:textId="77777777" w:rsidR="00A42A5D" w:rsidRPr="00FD4EE9" w:rsidRDefault="00A42A5D" w:rsidP="00BE4BB0">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Russian Fed</w:t>
            </w:r>
            <w:r w:rsidR="00BE4BB0" w:rsidRPr="00FD4EE9">
              <w:rPr>
                <w:sz w:val="20"/>
              </w:rPr>
              <w:t>.</w:t>
            </w:r>
          </w:p>
        </w:tc>
        <w:tc>
          <w:tcPr>
            <w:tcW w:w="1418" w:type="dxa"/>
            <w:tcBorders>
              <w:top w:val="nil"/>
              <w:left w:val="nil"/>
              <w:bottom w:val="nil"/>
              <w:right w:val="nil"/>
            </w:tcBorders>
          </w:tcPr>
          <w:p w14:paraId="21C1DF97" w14:textId="77777777" w:rsidR="00A42A5D" w:rsidRPr="00FD4EE9" w:rsidRDefault="00A42A5D"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p>
        </w:tc>
      </w:tr>
      <w:tr w:rsidR="00A42A5D" w:rsidRPr="00FD4EE9" w14:paraId="73D5A056" w14:textId="77777777" w:rsidTr="009159BE">
        <w:tc>
          <w:tcPr>
            <w:tcW w:w="2269" w:type="dxa"/>
            <w:tcBorders>
              <w:top w:val="nil"/>
              <w:left w:val="single" w:sz="4" w:space="0" w:color="auto"/>
              <w:bottom w:val="nil"/>
              <w:right w:val="nil"/>
            </w:tcBorders>
          </w:tcPr>
          <w:p w14:paraId="0A5108CA" w14:textId="77777777" w:rsidR="00A42A5D" w:rsidRPr="00FD4EE9" w:rsidRDefault="00A42A5D"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Steve McCormick</w:t>
            </w:r>
          </w:p>
        </w:tc>
        <w:tc>
          <w:tcPr>
            <w:tcW w:w="3827" w:type="dxa"/>
            <w:tcBorders>
              <w:top w:val="nil"/>
              <w:left w:val="nil"/>
              <w:bottom w:val="nil"/>
              <w:right w:val="nil"/>
            </w:tcBorders>
          </w:tcPr>
          <w:p w14:paraId="61CAECD8" w14:textId="77777777" w:rsidR="00A42A5D" w:rsidRPr="00FD4EE9" w:rsidRDefault="00A42A5D"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United States Army</w:t>
            </w:r>
          </w:p>
        </w:tc>
        <w:tc>
          <w:tcPr>
            <w:tcW w:w="1417" w:type="dxa"/>
            <w:tcBorders>
              <w:top w:val="nil"/>
              <w:left w:val="nil"/>
              <w:bottom w:val="nil"/>
              <w:right w:val="nil"/>
            </w:tcBorders>
          </w:tcPr>
          <w:p w14:paraId="40ED14E7" w14:textId="77D502A9" w:rsidR="00A42A5D" w:rsidRPr="00FD4EE9" w:rsidRDefault="0070607D"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Pr>
                <w:sz w:val="20"/>
              </w:rPr>
              <w:t>US</w:t>
            </w:r>
          </w:p>
        </w:tc>
        <w:tc>
          <w:tcPr>
            <w:tcW w:w="1418" w:type="dxa"/>
            <w:tcBorders>
              <w:top w:val="nil"/>
              <w:left w:val="nil"/>
              <w:bottom w:val="nil"/>
              <w:right w:val="nil"/>
            </w:tcBorders>
          </w:tcPr>
          <w:p w14:paraId="6247B41D" w14:textId="77777777" w:rsidR="00A42A5D" w:rsidRPr="00FD4EE9" w:rsidRDefault="00A42A5D"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p>
        </w:tc>
      </w:tr>
      <w:tr w:rsidR="00A42A5D" w:rsidRPr="00FD4EE9" w14:paraId="2A33BEA4" w14:textId="77777777" w:rsidTr="009159BE">
        <w:tc>
          <w:tcPr>
            <w:tcW w:w="2269" w:type="dxa"/>
            <w:tcBorders>
              <w:top w:val="nil"/>
              <w:left w:val="single" w:sz="4" w:space="0" w:color="auto"/>
              <w:bottom w:val="nil"/>
              <w:right w:val="nil"/>
            </w:tcBorders>
          </w:tcPr>
          <w:p w14:paraId="65750158" w14:textId="77777777" w:rsidR="00A42A5D" w:rsidRPr="00FD4EE9" w:rsidRDefault="00A42A5D"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John G. Owens</w:t>
            </w:r>
          </w:p>
        </w:tc>
        <w:tc>
          <w:tcPr>
            <w:tcW w:w="3827" w:type="dxa"/>
            <w:tcBorders>
              <w:top w:val="nil"/>
              <w:left w:val="nil"/>
              <w:bottom w:val="nil"/>
              <w:right w:val="nil"/>
            </w:tcBorders>
          </w:tcPr>
          <w:p w14:paraId="54C181C8" w14:textId="77777777" w:rsidR="00A42A5D" w:rsidRPr="00FD4EE9" w:rsidRDefault="00A42A5D"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3M Company</w:t>
            </w:r>
          </w:p>
        </w:tc>
        <w:tc>
          <w:tcPr>
            <w:tcW w:w="1417" w:type="dxa"/>
            <w:tcBorders>
              <w:top w:val="nil"/>
              <w:left w:val="nil"/>
              <w:bottom w:val="nil"/>
              <w:right w:val="nil"/>
            </w:tcBorders>
          </w:tcPr>
          <w:p w14:paraId="1E9CB651" w14:textId="7D9C299A" w:rsidR="00A42A5D" w:rsidRPr="00FD4EE9" w:rsidRDefault="0070607D"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Pr>
                <w:sz w:val="20"/>
              </w:rPr>
              <w:t>US</w:t>
            </w:r>
          </w:p>
        </w:tc>
        <w:tc>
          <w:tcPr>
            <w:tcW w:w="1418" w:type="dxa"/>
            <w:tcBorders>
              <w:top w:val="nil"/>
              <w:left w:val="nil"/>
              <w:bottom w:val="nil"/>
              <w:right w:val="nil"/>
            </w:tcBorders>
          </w:tcPr>
          <w:p w14:paraId="7D0B0109" w14:textId="77777777" w:rsidR="00A42A5D" w:rsidRPr="00FD4EE9" w:rsidRDefault="00A42A5D"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p>
        </w:tc>
      </w:tr>
      <w:tr w:rsidR="00A42A5D" w:rsidRPr="00FD4EE9" w14:paraId="7C053BD3" w14:textId="77777777" w:rsidTr="009159BE">
        <w:tc>
          <w:tcPr>
            <w:tcW w:w="2269" w:type="dxa"/>
            <w:tcBorders>
              <w:top w:val="nil"/>
              <w:left w:val="single" w:sz="4" w:space="0" w:color="auto"/>
              <w:bottom w:val="nil"/>
              <w:right w:val="nil"/>
            </w:tcBorders>
          </w:tcPr>
          <w:p w14:paraId="1E256389" w14:textId="77777777" w:rsidR="00A42A5D" w:rsidRPr="00FD4EE9" w:rsidRDefault="00A42A5D"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John J. O’Sullivan</w:t>
            </w:r>
          </w:p>
        </w:tc>
        <w:tc>
          <w:tcPr>
            <w:tcW w:w="3827" w:type="dxa"/>
            <w:tcBorders>
              <w:top w:val="nil"/>
              <w:left w:val="nil"/>
              <w:bottom w:val="nil"/>
              <w:right w:val="nil"/>
            </w:tcBorders>
          </w:tcPr>
          <w:p w14:paraId="1B683CF6" w14:textId="77777777" w:rsidR="00A42A5D" w:rsidRPr="00FD4EE9" w:rsidRDefault="00A42A5D"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Bureau Veriitas</w:t>
            </w:r>
          </w:p>
        </w:tc>
        <w:tc>
          <w:tcPr>
            <w:tcW w:w="1417" w:type="dxa"/>
            <w:tcBorders>
              <w:top w:val="nil"/>
              <w:left w:val="nil"/>
              <w:bottom w:val="nil"/>
              <w:right w:val="nil"/>
            </w:tcBorders>
          </w:tcPr>
          <w:p w14:paraId="08F77A12" w14:textId="77777777" w:rsidR="00A42A5D" w:rsidRPr="00FD4EE9" w:rsidRDefault="00A42A5D"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UK</w:t>
            </w:r>
          </w:p>
        </w:tc>
        <w:tc>
          <w:tcPr>
            <w:tcW w:w="1418" w:type="dxa"/>
            <w:tcBorders>
              <w:top w:val="nil"/>
              <w:left w:val="nil"/>
              <w:bottom w:val="nil"/>
              <w:right w:val="nil"/>
            </w:tcBorders>
          </w:tcPr>
          <w:p w14:paraId="1912A9B5" w14:textId="77777777" w:rsidR="00A42A5D" w:rsidRPr="00FD4EE9" w:rsidRDefault="00A42A5D"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p>
        </w:tc>
      </w:tr>
      <w:tr w:rsidR="00A42A5D" w:rsidRPr="00FD4EE9" w14:paraId="3EA1ED6E" w14:textId="77777777" w:rsidTr="009159BE">
        <w:tc>
          <w:tcPr>
            <w:tcW w:w="2269" w:type="dxa"/>
            <w:tcBorders>
              <w:top w:val="nil"/>
              <w:left w:val="single" w:sz="4" w:space="0" w:color="auto"/>
              <w:bottom w:val="nil"/>
              <w:right w:val="nil"/>
            </w:tcBorders>
          </w:tcPr>
          <w:p w14:paraId="6FD4FAE5" w14:textId="77777777" w:rsidR="00A42A5D" w:rsidRPr="00FD4EE9" w:rsidRDefault="00A42A5D"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Mark L. Robin</w:t>
            </w:r>
          </w:p>
        </w:tc>
        <w:tc>
          <w:tcPr>
            <w:tcW w:w="3827" w:type="dxa"/>
            <w:tcBorders>
              <w:top w:val="nil"/>
              <w:left w:val="nil"/>
              <w:bottom w:val="nil"/>
              <w:right w:val="nil"/>
            </w:tcBorders>
          </w:tcPr>
          <w:p w14:paraId="58AA1D19" w14:textId="77777777" w:rsidR="00A42A5D" w:rsidRPr="00FD4EE9" w:rsidRDefault="00A42A5D"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DuPont</w:t>
            </w:r>
          </w:p>
        </w:tc>
        <w:tc>
          <w:tcPr>
            <w:tcW w:w="1417" w:type="dxa"/>
            <w:tcBorders>
              <w:top w:val="nil"/>
              <w:left w:val="nil"/>
              <w:bottom w:val="nil"/>
              <w:right w:val="nil"/>
            </w:tcBorders>
          </w:tcPr>
          <w:p w14:paraId="112B364E" w14:textId="50F3308D" w:rsidR="00A42A5D" w:rsidRPr="00FD4EE9" w:rsidRDefault="0070607D"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Pr>
                <w:sz w:val="20"/>
              </w:rPr>
              <w:t>US</w:t>
            </w:r>
          </w:p>
        </w:tc>
        <w:tc>
          <w:tcPr>
            <w:tcW w:w="1418" w:type="dxa"/>
            <w:tcBorders>
              <w:top w:val="nil"/>
              <w:left w:val="nil"/>
              <w:bottom w:val="nil"/>
              <w:right w:val="nil"/>
            </w:tcBorders>
          </w:tcPr>
          <w:p w14:paraId="41CF093B" w14:textId="77777777" w:rsidR="00A42A5D" w:rsidRPr="00FD4EE9" w:rsidRDefault="00A42A5D"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p>
        </w:tc>
      </w:tr>
      <w:tr w:rsidR="00A42A5D" w:rsidRPr="00FD4EE9" w14:paraId="149984DA" w14:textId="77777777" w:rsidTr="009159BE">
        <w:tc>
          <w:tcPr>
            <w:tcW w:w="2269" w:type="dxa"/>
            <w:tcBorders>
              <w:top w:val="nil"/>
              <w:left w:val="single" w:sz="4" w:space="0" w:color="auto"/>
              <w:bottom w:val="nil"/>
              <w:right w:val="nil"/>
            </w:tcBorders>
          </w:tcPr>
          <w:p w14:paraId="651E7C5C" w14:textId="77777777" w:rsidR="00A42A5D" w:rsidRPr="00FD4EE9" w:rsidRDefault="00A42A5D"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Joseph A. Senecal</w:t>
            </w:r>
          </w:p>
        </w:tc>
        <w:tc>
          <w:tcPr>
            <w:tcW w:w="3827" w:type="dxa"/>
            <w:tcBorders>
              <w:top w:val="nil"/>
              <w:left w:val="nil"/>
              <w:bottom w:val="nil"/>
              <w:right w:val="nil"/>
            </w:tcBorders>
          </w:tcPr>
          <w:p w14:paraId="5D95C8BC" w14:textId="77777777" w:rsidR="00A42A5D" w:rsidRPr="00FD4EE9" w:rsidRDefault="00A42A5D"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Kidde-Fenwal Inc.</w:t>
            </w:r>
          </w:p>
        </w:tc>
        <w:tc>
          <w:tcPr>
            <w:tcW w:w="1417" w:type="dxa"/>
            <w:tcBorders>
              <w:top w:val="nil"/>
              <w:left w:val="nil"/>
              <w:bottom w:val="nil"/>
              <w:right w:val="nil"/>
            </w:tcBorders>
          </w:tcPr>
          <w:p w14:paraId="5642C30A" w14:textId="6C57877B" w:rsidR="00A42A5D" w:rsidRPr="00FD4EE9" w:rsidRDefault="0070607D"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Pr>
                <w:sz w:val="20"/>
              </w:rPr>
              <w:t>US</w:t>
            </w:r>
          </w:p>
        </w:tc>
        <w:tc>
          <w:tcPr>
            <w:tcW w:w="1418" w:type="dxa"/>
            <w:tcBorders>
              <w:top w:val="nil"/>
              <w:left w:val="nil"/>
              <w:bottom w:val="nil"/>
              <w:right w:val="nil"/>
            </w:tcBorders>
          </w:tcPr>
          <w:p w14:paraId="5A41424E" w14:textId="77777777" w:rsidR="00A42A5D" w:rsidRPr="00FD4EE9" w:rsidRDefault="00A42A5D"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p>
        </w:tc>
      </w:tr>
      <w:tr w:rsidR="00A42A5D" w:rsidRPr="00FD4EE9" w14:paraId="7BBAB8D2" w14:textId="77777777" w:rsidTr="009159BE">
        <w:tc>
          <w:tcPr>
            <w:tcW w:w="2269" w:type="dxa"/>
            <w:tcBorders>
              <w:top w:val="nil"/>
              <w:left w:val="single" w:sz="4" w:space="0" w:color="auto"/>
              <w:bottom w:val="nil"/>
              <w:right w:val="nil"/>
            </w:tcBorders>
          </w:tcPr>
          <w:p w14:paraId="608A62DB" w14:textId="77777777" w:rsidR="00A42A5D" w:rsidRPr="00FD4EE9" w:rsidRDefault="00A42A5D"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Ronald S. Sheinson</w:t>
            </w:r>
          </w:p>
        </w:tc>
        <w:tc>
          <w:tcPr>
            <w:tcW w:w="3827" w:type="dxa"/>
            <w:tcBorders>
              <w:top w:val="nil"/>
              <w:left w:val="nil"/>
              <w:bottom w:val="nil"/>
              <w:right w:val="nil"/>
            </w:tcBorders>
          </w:tcPr>
          <w:p w14:paraId="37FF4639" w14:textId="77777777" w:rsidR="00A42A5D" w:rsidRPr="00FD4EE9" w:rsidRDefault="00A42A5D"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Consultant - Retired</w:t>
            </w:r>
          </w:p>
        </w:tc>
        <w:tc>
          <w:tcPr>
            <w:tcW w:w="1417" w:type="dxa"/>
            <w:tcBorders>
              <w:top w:val="nil"/>
              <w:left w:val="nil"/>
              <w:bottom w:val="nil"/>
              <w:right w:val="nil"/>
            </w:tcBorders>
          </w:tcPr>
          <w:p w14:paraId="5735CA4E" w14:textId="059A2A83" w:rsidR="00A42A5D" w:rsidRPr="00FD4EE9" w:rsidRDefault="0070607D"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Pr>
                <w:sz w:val="20"/>
              </w:rPr>
              <w:t>US</w:t>
            </w:r>
          </w:p>
        </w:tc>
        <w:tc>
          <w:tcPr>
            <w:tcW w:w="1418" w:type="dxa"/>
            <w:tcBorders>
              <w:top w:val="nil"/>
              <w:left w:val="nil"/>
              <w:bottom w:val="nil"/>
              <w:right w:val="nil"/>
            </w:tcBorders>
          </w:tcPr>
          <w:p w14:paraId="459EE4C2" w14:textId="77777777" w:rsidR="00A42A5D" w:rsidRPr="00FD4EE9" w:rsidRDefault="00A42A5D"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p>
        </w:tc>
      </w:tr>
      <w:tr w:rsidR="002B4DA6" w:rsidRPr="00FD4EE9" w14:paraId="27FDC2E9" w14:textId="77777777" w:rsidTr="009159BE">
        <w:tc>
          <w:tcPr>
            <w:tcW w:w="2269" w:type="dxa"/>
            <w:tcBorders>
              <w:top w:val="nil"/>
              <w:left w:val="single" w:sz="4" w:space="0" w:color="auto"/>
              <w:bottom w:val="nil"/>
              <w:right w:val="nil"/>
            </w:tcBorders>
          </w:tcPr>
          <w:p w14:paraId="7EE8C17F" w14:textId="67B888CC" w:rsidR="002B4DA6" w:rsidRPr="00FD4EE9" w:rsidRDefault="002B4DA6"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BC12BF">
              <w:rPr>
                <w:sz w:val="20"/>
              </w:rPr>
              <w:t>Robert T. Wickham</w:t>
            </w:r>
          </w:p>
        </w:tc>
        <w:tc>
          <w:tcPr>
            <w:tcW w:w="3827" w:type="dxa"/>
            <w:tcBorders>
              <w:top w:val="nil"/>
              <w:left w:val="nil"/>
              <w:bottom w:val="nil"/>
              <w:right w:val="nil"/>
            </w:tcBorders>
          </w:tcPr>
          <w:p w14:paraId="42542B8F" w14:textId="2D64F5AB" w:rsidR="002B4DA6" w:rsidRPr="00FD4EE9" w:rsidRDefault="002B4DA6"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BC12BF">
              <w:rPr>
                <w:sz w:val="20"/>
              </w:rPr>
              <w:t>Consultant-Wickham Associates</w:t>
            </w:r>
          </w:p>
        </w:tc>
        <w:tc>
          <w:tcPr>
            <w:tcW w:w="1417" w:type="dxa"/>
            <w:tcBorders>
              <w:top w:val="nil"/>
              <w:left w:val="nil"/>
              <w:bottom w:val="nil"/>
              <w:right w:val="nil"/>
            </w:tcBorders>
          </w:tcPr>
          <w:p w14:paraId="3217E1B2" w14:textId="50706DBA" w:rsidR="002B4DA6" w:rsidRPr="00FD4EE9" w:rsidRDefault="0070607D"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Pr>
                <w:sz w:val="20"/>
              </w:rPr>
              <w:t>US</w:t>
            </w:r>
          </w:p>
        </w:tc>
        <w:tc>
          <w:tcPr>
            <w:tcW w:w="1418" w:type="dxa"/>
            <w:tcBorders>
              <w:top w:val="nil"/>
              <w:left w:val="nil"/>
              <w:bottom w:val="nil"/>
              <w:right w:val="nil"/>
            </w:tcBorders>
          </w:tcPr>
          <w:p w14:paraId="593A2DD9" w14:textId="77777777" w:rsidR="002B4DA6" w:rsidRPr="00FD4EE9" w:rsidRDefault="002B4DA6" w:rsidP="00A42A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p>
        </w:tc>
      </w:tr>
    </w:tbl>
    <w:p w14:paraId="45514208" w14:textId="238C8078" w:rsidR="00BE4BB0" w:rsidRPr="00FD4EE9" w:rsidRDefault="0040537B" w:rsidP="00BE4BB0">
      <w:pPr>
        <w:rPr>
          <w:sz w:val="20"/>
        </w:rPr>
      </w:pPr>
      <w:r w:rsidRPr="00807C7E">
        <w:rPr>
          <w:i/>
          <w:sz w:val="20"/>
        </w:rPr>
        <w:t>* Indicates members whose terms expire at the end of the current year</w:t>
      </w:r>
      <w:r w:rsidRPr="00FD4EE9">
        <w:rPr>
          <w:sz w:val="20"/>
        </w:rPr>
        <w:t xml:space="preserve"> </w:t>
      </w:r>
      <w:r w:rsidRPr="00FD4EE9">
        <w:rPr>
          <w:i/>
          <w:sz w:val="20"/>
        </w:rPr>
        <w:t>*</w:t>
      </w:r>
      <w:r w:rsidR="00BE4BB0" w:rsidRPr="00FD4EE9">
        <w:rPr>
          <w:sz w:val="20"/>
        </w:rPr>
        <w:br w:type="page"/>
      </w:r>
    </w:p>
    <w:p w14:paraId="595EFC8E" w14:textId="77777777" w:rsidR="00D243B1" w:rsidRPr="00FD4EE9" w:rsidRDefault="005B3245" w:rsidP="00413E4A">
      <w:pPr>
        <w:pStyle w:val="Heading2"/>
      </w:pPr>
      <w:bookmarkStart w:id="282" w:name="_Toc484164411"/>
      <w:r w:rsidRPr="00FD4EE9">
        <w:lastRenderedPageBreak/>
        <w:t>4.</w:t>
      </w:r>
      <w:r w:rsidRPr="00FD4EE9">
        <w:tab/>
      </w:r>
      <w:r w:rsidR="00D243B1" w:rsidRPr="00FD4EE9">
        <w:t xml:space="preserve">TEAP Medical </w:t>
      </w:r>
      <w:r w:rsidR="004A3A81" w:rsidRPr="00FD4EE9">
        <w:t>and Chemical</w:t>
      </w:r>
      <w:r w:rsidR="0040537B" w:rsidRPr="00FD4EE9">
        <w:t>s</w:t>
      </w:r>
      <w:r w:rsidR="004A3A81" w:rsidRPr="00FD4EE9">
        <w:t xml:space="preserve"> </w:t>
      </w:r>
      <w:r w:rsidR="00D243B1" w:rsidRPr="00FD4EE9">
        <w:t>Technical Options Committee (M</w:t>
      </w:r>
      <w:r w:rsidR="00BE5ED3" w:rsidRPr="00FD4EE9">
        <w:t>C</w:t>
      </w:r>
      <w:r w:rsidR="00D243B1" w:rsidRPr="00FD4EE9">
        <w:t>TOC)</w:t>
      </w:r>
      <w:bookmarkEnd w:id="282"/>
    </w:p>
    <w:tbl>
      <w:tblPr>
        <w:tblW w:w="8931" w:type="dxa"/>
        <w:tblInd w:w="-34" w:type="dxa"/>
        <w:tblLayout w:type="fixed"/>
        <w:tblLook w:val="0000" w:firstRow="0" w:lastRow="0" w:firstColumn="0" w:lastColumn="0" w:noHBand="0" w:noVBand="0"/>
      </w:tblPr>
      <w:tblGrid>
        <w:gridCol w:w="2269"/>
        <w:gridCol w:w="3827"/>
        <w:gridCol w:w="1417"/>
        <w:gridCol w:w="1418"/>
      </w:tblGrid>
      <w:tr w:rsidR="009159BE" w:rsidRPr="00FD4EE9" w14:paraId="01C7EC8F" w14:textId="77777777" w:rsidTr="0015746F">
        <w:tc>
          <w:tcPr>
            <w:tcW w:w="2269" w:type="dxa"/>
            <w:tcBorders>
              <w:top w:val="nil"/>
              <w:left w:val="single" w:sz="4" w:space="0" w:color="auto"/>
              <w:bottom w:val="nil"/>
              <w:right w:val="nil"/>
            </w:tcBorders>
          </w:tcPr>
          <w:p w14:paraId="2C0BB0A6"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b/>
                <w:sz w:val="20"/>
              </w:rPr>
            </w:pPr>
            <w:r w:rsidRPr="00FD4EE9">
              <w:rPr>
                <w:b/>
                <w:sz w:val="20"/>
              </w:rPr>
              <w:t>Co-chairs</w:t>
            </w:r>
          </w:p>
        </w:tc>
        <w:tc>
          <w:tcPr>
            <w:tcW w:w="3827" w:type="dxa"/>
            <w:tcBorders>
              <w:top w:val="nil"/>
              <w:left w:val="nil"/>
              <w:bottom w:val="nil"/>
              <w:right w:val="nil"/>
            </w:tcBorders>
          </w:tcPr>
          <w:p w14:paraId="57849AB5"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b/>
                <w:sz w:val="20"/>
              </w:rPr>
            </w:pPr>
            <w:r w:rsidRPr="00FD4EE9">
              <w:rPr>
                <w:b/>
                <w:sz w:val="20"/>
              </w:rPr>
              <w:t>Affiliation</w:t>
            </w:r>
          </w:p>
        </w:tc>
        <w:tc>
          <w:tcPr>
            <w:tcW w:w="1417" w:type="dxa"/>
            <w:tcBorders>
              <w:top w:val="nil"/>
              <w:left w:val="nil"/>
              <w:bottom w:val="nil"/>
              <w:right w:val="nil"/>
            </w:tcBorders>
          </w:tcPr>
          <w:p w14:paraId="152FF9C2"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b/>
                <w:sz w:val="20"/>
              </w:rPr>
            </w:pPr>
            <w:r w:rsidRPr="00FD4EE9">
              <w:rPr>
                <w:b/>
                <w:sz w:val="20"/>
              </w:rPr>
              <w:t>Country</w:t>
            </w:r>
          </w:p>
        </w:tc>
        <w:tc>
          <w:tcPr>
            <w:tcW w:w="1418" w:type="dxa"/>
            <w:tcBorders>
              <w:top w:val="nil"/>
              <w:left w:val="nil"/>
              <w:bottom w:val="nil"/>
              <w:right w:val="nil"/>
            </w:tcBorders>
          </w:tcPr>
          <w:p w14:paraId="6C8D3F72"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b/>
                <w:sz w:val="20"/>
              </w:rPr>
            </w:pPr>
            <w:r w:rsidRPr="00FD4EE9">
              <w:rPr>
                <w:b/>
                <w:sz w:val="20"/>
              </w:rPr>
              <w:t>Appointed through</w:t>
            </w:r>
          </w:p>
        </w:tc>
      </w:tr>
      <w:tr w:rsidR="009159BE" w:rsidRPr="00FD4EE9" w14:paraId="291E2868" w14:textId="77777777" w:rsidTr="009159BE">
        <w:tc>
          <w:tcPr>
            <w:tcW w:w="2269" w:type="dxa"/>
            <w:tcBorders>
              <w:top w:val="nil"/>
              <w:left w:val="single" w:sz="4" w:space="0" w:color="auto"/>
              <w:bottom w:val="nil"/>
              <w:right w:val="nil"/>
            </w:tcBorders>
          </w:tcPr>
          <w:p w14:paraId="6DCACC0A"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Kei-ichi Ohnishi</w:t>
            </w:r>
          </w:p>
        </w:tc>
        <w:tc>
          <w:tcPr>
            <w:tcW w:w="3827" w:type="dxa"/>
            <w:tcBorders>
              <w:top w:val="nil"/>
              <w:left w:val="nil"/>
              <w:bottom w:val="nil"/>
              <w:right w:val="nil"/>
            </w:tcBorders>
          </w:tcPr>
          <w:p w14:paraId="18028E47"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 xml:space="preserve">Asahi Glass </w:t>
            </w:r>
          </w:p>
        </w:tc>
        <w:tc>
          <w:tcPr>
            <w:tcW w:w="1417" w:type="dxa"/>
            <w:tcBorders>
              <w:top w:val="nil"/>
              <w:left w:val="nil"/>
              <w:bottom w:val="nil"/>
              <w:right w:val="nil"/>
            </w:tcBorders>
          </w:tcPr>
          <w:p w14:paraId="351900E7"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Japan</w:t>
            </w:r>
          </w:p>
        </w:tc>
        <w:tc>
          <w:tcPr>
            <w:tcW w:w="1418" w:type="dxa"/>
            <w:tcBorders>
              <w:top w:val="nil"/>
              <w:left w:val="nil"/>
              <w:bottom w:val="nil"/>
              <w:right w:val="nil"/>
            </w:tcBorders>
          </w:tcPr>
          <w:p w14:paraId="1B445FDC"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2019</w:t>
            </w:r>
          </w:p>
        </w:tc>
      </w:tr>
      <w:tr w:rsidR="009159BE" w:rsidRPr="00FD4EE9" w14:paraId="67BEE8EB" w14:textId="77777777" w:rsidTr="009159BE">
        <w:tc>
          <w:tcPr>
            <w:tcW w:w="2269" w:type="dxa"/>
            <w:tcBorders>
              <w:top w:val="nil"/>
              <w:left w:val="single" w:sz="4" w:space="0" w:color="auto"/>
              <w:bottom w:val="nil"/>
              <w:right w:val="nil"/>
            </w:tcBorders>
          </w:tcPr>
          <w:p w14:paraId="0500DB14"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Helen Tope</w:t>
            </w:r>
          </w:p>
        </w:tc>
        <w:tc>
          <w:tcPr>
            <w:tcW w:w="3827" w:type="dxa"/>
            <w:tcBorders>
              <w:top w:val="nil"/>
              <w:left w:val="nil"/>
              <w:bottom w:val="nil"/>
              <w:right w:val="nil"/>
            </w:tcBorders>
          </w:tcPr>
          <w:p w14:paraId="0CE131B6"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Energy International Australia</w:t>
            </w:r>
          </w:p>
        </w:tc>
        <w:tc>
          <w:tcPr>
            <w:tcW w:w="1417" w:type="dxa"/>
            <w:tcBorders>
              <w:top w:val="nil"/>
              <w:left w:val="nil"/>
              <w:bottom w:val="nil"/>
              <w:right w:val="nil"/>
            </w:tcBorders>
          </w:tcPr>
          <w:p w14:paraId="363CC35F"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 xml:space="preserve">Australia </w:t>
            </w:r>
          </w:p>
        </w:tc>
        <w:tc>
          <w:tcPr>
            <w:tcW w:w="1418" w:type="dxa"/>
            <w:tcBorders>
              <w:top w:val="nil"/>
              <w:left w:val="nil"/>
              <w:bottom w:val="nil"/>
              <w:right w:val="nil"/>
            </w:tcBorders>
          </w:tcPr>
          <w:p w14:paraId="541FEC73" w14:textId="664ADC90"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2017</w:t>
            </w:r>
            <w:r w:rsidR="00F75FC5">
              <w:rPr>
                <w:sz w:val="20"/>
              </w:rPr>
              <w:t>*</w:t>
            </w:r>
          </w:p>
        </w:tc>
      </w:tr>
      <w:tr w:rsidR="009159BE" w:rsidRPr="00FD4EE9" w14:paraId="1693542F" w14:textId="77777777" w:rsidTr="009159BE">
        <w:tc>
          <w:tcPr>
            <w:tcW w:w="2269" w:type="dxa"/>
            <w:tcBorders>
              <w:top w:val="nil"/>
              <w:left w:val="single" w:sz="4" w:space="0" w:color="auto"/>
              <w:bottom w:val="nil"/>
              <w:right w:val="nil"/>
            </w:tcBorders>
          </w:tcPr>
          <w:p w14:paraId="21FA63DA"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Jianjun Zhang</w:t>
            </w:r>
          </w:p>
        </w:tc>
        <w:tc>
          <w:tcPr>
            <w:tcW w:w="3827" w:type="dxa"/>
            <w:tcBorders>
              <w:top w:val="nil"/>
              <w:left w:val="nil"/>
              <w:bottom w:val="nil"/>
              <w:right w:val="nil"/>
            </w:tcBorders>
          </w:tcPr>
          <w:p w14:paraId="1DD56BED"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Zhejiang Chemical Industry Research Institute</w:t>
            </w:r>
          </w:p>
        </w:tc>
        <w:tc>
          <w:tcPr>
            <w:tcW w:w="1417" w:type="dxa"/>
            <w:tcBorders>
              <w:top w:val="nil"/>
              <w:left w:val="nil"/>
              <w:bottom w:val="nil"/>
              <w:right w:val="nil"/>
            </w:tcBorders>
          </w:tcPr>
          <w:p w14:paraId="1F9A32C0"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China</w:t>
            </w:r>
          </w:p>
        </w:tc>
        <w:tc>
          <w:tcPr>
            <w:tcW w:w="1418" w:type="dxa"/>
            <w:tcBorders>
              <w:top w:val="nil"/>
              <w:left w:val="nil"/>
              <w:bottom w:val="nil"/>
              <w:right w:val="nil"/>
            </w:tcBorders>
          </w:tcPr>
          <w:p w14:paraId="7999A672"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2019</w:t>
            </w:r>
          </w:p>
        </w:tc>
      </w:tr>
      <w:tr w:rsidR="009159BE" w:rsidRPr="00FD4EE9" w14:paraId="18B236EC" w14:textId="77777777" w:rsidTr="009159BE">
        <w:tc>
          <w:tcPr>
            <w:tcW w:w="2269" w:type="dxa"/>
            <w:tcBorders>
              <w:top w:val="nil"/>
              <w:left w:val="single" w:sz="4" w:space="0" w:color="auto"/>
              <w:bottom w:val="nil"/>
              <w:right w:val="nil"/>
            </w:tcBorders>
          </w:tcPr>
          <w:p w14:paraId="2D1150CA"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b/>
                <w:sz w:val="20"/>
              </w:rPr>
            </w:pPr>
            <w:r w:rsidRPr="00FD4EE9">
              <w:rPr>
                <w:b/>
                <w:sz w:val="20"/>
              </w:rPr>
              <w:t>Members</w:t>
            </w:r>
          </w:p>
        </w:tc>
        <w:tc>
          <w:tcPr>
            <w:tcW w:w="3827" w:type="dxa"/>
            <w:tcBorders>
              <w:top w:val="nil"/>
              <w:left w:val="nil"/>
              <w:bottom w:val="nil"/>
              <w:right w:val="nil"/>
            </w:tcBorders>
          </w:tcPr>
          <w:p w14:paraId="0C551453"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b/>
                <w:sz w:val="20"/>
              </w:rPr>
            </w:pPr>
            <w:r w:rsidRPr="00FD4EE9">
              <w:rPr>
                <w:b/>
                <w:sz w:val="20"/>
              </w:rPr>
              <w:t>Affiliation</w:t>
            </w:r>
          </w:p>
        </w:tc>
        <w:tc>
          <w:tcPr>
            <w:tcW w:w="1417" w:type="dxa"/>
            <w:tcBorders>
              <w:top w:val="nil"/>
              <w:left w:val="nil"/>
              <w:bottom w:val="nil"/>
              <w:right w:val="nil"/>
            </w:tcBorders>
          </w:tcPr>
          <w:p w14:paraId="36F97DCF"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b/>
                <w:sz w:val="20"/>
              </w:rPr>
            </w:pPr>
            <w:r w:rsidRPr="00FD4EE9">
              <w:rPr>
                <w:b/>
                <w:sz w:val="20"/>
              </w:rPr>
              <w:t>Country</w:t>
            </w:r>
          </w:p>
        </w:tc>
        <w:tc>
          <w:tcPr>
            <w:tcW w:w="1418" w:type="dxa"/>
            <w:tcBorders>
              <w:top w:val="nil"/>
              <w:left w:val="nil"/>
              <w:bottom w:val="nil"/>
              <w:right w:val="nil"/>
            </w:tcBorders>
          </w:tcPr>
          <w:p w14:paraId="1C5C36E2"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b/>
                <w:sz w:val="20"/>
              </w:rPr>
            </w:pPr>
            <w:r w:rsidRPr="00FD4EE9">
              <w:rPr>
                <w:b/>
                <w:sz w:val="20"/>
              </w:rPr>
              <w:t>Appointed through</w:t>
            </w:r>
          </w:p>
        </w:tc>
      </w:tr>
      <w:tr w:rsidR="009159BE" w:rsidRPr="00FD4EE9" w14:paraId="37004DED" w14:textId="77777777" w:rsidTr="009159BE">
        <w:trPr>
          <w:trHeight w:val="115"/>
        </w:trPr>
        <w:tc>
          <w:tcPr>
            <w:tcW w:w="2269" w:type="dxa"/>
            <w:tcBorders>
              <w:top w:val="nil"/>
              <w:left w:val="single" w:sz="4" w:space="0" w:color="auto"/>
              <w:bottom w:val="nil"/>
              <w:right w:val="nil"/>
            </w:tcBorders>
          </w:tcPr>
          <w:p w14:paraId="07F1C5C4"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Emmanuel Addo-Yobo</w:t>
            </w:r>
          </w:p>
        </w:tc>
        <w:tc>
          <w:tcPr>
            <w:tcW w:w="3827" w:type="dxa"/>
            <w:tcBorders>
              <w:top w:val="nil"/>
              <w:left w:val="nil"/>
              <w:bottom w:val="nil"/>
              <w:right w:val="nil"/>
            </w:tcBorders>
          </w:tcPr>
          <w:p w14:paraId="613CB55C"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Kwame Nkrumah University of Science and Technology</w:t>
            </w:r>
          </w:p>
        </w:tc>
        <w:tc>
          <w:tcPr>
            <w:tcW w:w="1417" w:type="dxa"/>
            <w:tcBorders>
              <w:top w:val="nil"/>
              <w:left w:val="nil"/>
              <w:bottom w:val="nil"/>
              <w:right w:val="nil"/>
            </w:tcBorders>
          </w:tcPr>
          <w:p w14:paraId="71067D5C"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Ghana</w:t>
            </w:r>
          </w:p>
        </w:tc>
        <w:tc>
          <w:tcPr>
            <w:tcW w:w="1418" w:type="dxa"/>
            <w:tcBorders>
              <w:top w:val="nil"/>
              <w:left w:val="nil"/>
              <w:bottom w:val="nil"/>
              <w:right w:val="nil"/>
            </w:tcBorders>
          </w:tcPr>
          <w:p w14:paraId="210424B1"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2018</w:t>
            </w:r>
          </w:p>
        </w:tc>
      </w:tr>
      <w:tr w:rsidR="009159BE" w:rsidRPr="00FD4EE9" w14:paraId="76D0A00C" w14:textId="77777777" w:rsidTr="009159BE">
        <w:tc>
          <w:tcPr>
            <w:tcW w:w="2269" w:type="dxa"/>
            <w:tcBorders>
              <w:top w:val="nil"/>
              <w:left w:val="single" w:sz="4" w:space="0" w:color="auto"/>
              <w:bottom w:val="nil"/>
              <w:right w:val="nil"/>
            </w:tcBorders>
          </w:tcPr>
          <w:p w14:paraId="21BA5CB5"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Fatemah Al-Shatti</w:t>
            </w:r>
          </w:p>
        </w:tc>
        <w:tc>
          <w:tcPr>
            <w:tcW w:w="3827" w:type="dxa"/>
            <w:tcBorders>
              <w:top w:val="nil"/>
              <w:left w:val="nil"/>
              <w:bottom w:val="nil"/>
              <w:right w:val="nil"/>
            </w:tcBorders>
          </w:tcPr>
          <w:p w14:paraId="05835CE8"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Kuwait Petroleum Corporation</w:t>
            </w:r>
          </w:p>
        </w:tc>
        <w:tc>
          <w:tcPr>
            <w:tcW w:w="1417" w:type="dxa"/>
            <w:tcBorders>
              <w:top w:val="nil"/>
              <w:left w:val="nil"/>
              <w:bottom w:val="nil"/>
              <w:right w:val="nil"/>
            </w:tcBorders>
          </w:tcPr>
          <w:p w14:paraId="1B8FD8E5"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Kuwait</w:t>
            </w:r>
          </w:p>
        </w:tc>
        <w:tc>
          <w:tcPr>
            <w:tcW w:w="1418" w:type="dxa"/>
            <w:tcBorders>
              <w:top w:val="nil"/>
              <w:left w:val="nil"/>
              <w:bottom w:val="nil"/>
              <w:right w:val="nil"/>
            </w:tcBorders>
          </w:tcPr>
          <w:p w14:paraId="78808DE6"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2018</w:t>
            </w:r>
          </w:p>
        </w:tc>
      </w:tr>
      <w:tr w:rsidR="009159BE" w:rsidRPr="00FD4EE9" w14:paraId="47229E1D" w14:textId="77777777" w:rsidTr="009159BE">
        <w:tc>
          <w:tcPr>
            <w:tcW w:w="2269" w:type="dxa"/>
            <w:tcBorders>
              <w:top w:val="nil"/>
              <w:left w:val="single" w:sz="4" w:space="0" w:color="auto"/>
              <w:bottom w:val="nil"/>
              <w:right w:val="nil"/>
            </w:tcBorders>
          </w:tcPr>
          <w:p w14:paraId="1229601E"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Paul Atkins</w:t>
            </w:r>
          </w:p>
        </w:tc>
        <w:tc>
          <w:tcPr>
            <w:tcW w:w="3827" w:type="dxa"/>
            <w:tcBorders>
              <w:top w:val="nil"/>
              <w:left w:val="nil"/>
              <w:bottom w:val="nil"/>
              <w:right w:val="nil"/>
            </w:tcBorders>
          </w:tcPr>
          <w:p w14:paraId="58592C73"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23"/>
              <w:rPr>
                <w:sz w:val="20"/>
              </w:rPr>
            </w:pPr>
            <w:r w:rsidRPr="00FD4EE9">
              <w:rPr>
                <w:sz w:val="20"/>
              </w:rPr>
              <w:t>Oriel Therapeutics Inc. (A Novartis Company)</w:t>
            </w:r>
          </w:p>
        </w:tc>
        <w:tc>
          <w:tcPr>
            <w:tcW w:w="1417" w:type="dxa"/>
            <w:tcBorders>
              <w:top w:val="nil"/>
              <w:left w:val="nil"/>
              <w:bottom w:val="nil"/>
              <w:right w:val="nil"/>
            </w:tcBorders>
          </w:tcPr>
          <w:p w14:paraId="700B118A" w14:textId="7EAC685E" w:rsidR="009159BE" w:rsidRPr="00FD4EE9" w:rsidRDefault="0070607D"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Pr>
                <w:sz w:val="20"/>
              </w:rPr>
              <w:t>US</w:t>
            </w:r>
          </w:p>
        </w:tc>
        <w:tc>
          <w:tcPr>
            <w:tcW w:w="1418" w:type="dxa"/>
            <w:tcBorders>
              <w:top w:val="nil"/>
              <w:left w:val="nil"/>
              <w:bottom w:val="nil"/>
              <w:right w:val="nil"/>
            </w:tcBorders>
          </w:tcPr>
          <w:p w14:paraId="73ACCC32"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2018</w:t>
            </w:r>
          </w:p>
        </w:tc>
      </w:tr>
      <w:tr w:rsidR="009159BE" w:rsidRPr="00FD4EE9" w14:paraId="163FCEDF" w14:textId="77777777" w:rsidTr="009159BE">
        <w:tc>
          <w:tcPr>
            <w:tcW w:w="2269" w:type="dxa"/>
            <w:tcBorders>
              <w:top w:val="nil"/>
              <w:left w:val="single" w:sz="4" w:space="0" w:color="auto"/>
              <w:bottom w:val="nil"/>
              <w:right w:val="nil"/>
            </w:tcBorders>
          </w:tcPr>
          <w:p w14:paraId="1618936F"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Steven Bernhardt</w:t>
            </w:r>
          </w:p>
        </w:tc>
        <w:tc>
          <w:tcPr>
            <w:tcW w:w="3827" w:type="dxa"/>
            <w:tcBorders>
              <w:top w:val="nil"/>
              <w:left w:val="nil"/>
              <w:bottom w:val="nil"/>
              <w:right w:val="nil"/>
            </w:tcBorders>
          </w:tcPr>
          <w:p w14:paraId="47DCB515"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23"/>
              <w:rPr>
                <w:sz w:val="20"/>
              </w:rPr>
            </w:pPr>
            <w:r w:rsidRPr="00FD4EE9">
              <w:rPr>
                <w:sz w:val="20"/>
              </w:rPr>
              <w:t xml:space="preserve">Private consultant to Honeywell </w:t>
            </w:r>
          </w:p>
        </w:tc>
        <w:tc>
          <w:tcPr>
            <w:tcW w:w="1417" w:type="dxa"/>
            <w:tcBorders>
              <w:top w:val="nil"/>
              <w:left w:val="nil"/>
              <w:bottom w:val="nil"/>
              <w:right w:val="nil"/>
            </w:tcBorders>
          </w:tcPr>
          <w:p w14:paraId="791BC376" w14:textId="4DD9C5C5" w:rsidR="009159BE" w:rsidRPr="00FD4EE9" w:rsidRDefault="0070607D"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Pr>
                <w:sz w:val="20"/>
              </w:rPr>
              <w:t>US</w:t>
            </w:r>
          </w:p>
        </w:tc>
        <w:tc>
          <w:tcPr>
            <w:tcW w:w="1418" w:type="dxa"/>
            <w:tcBorders>
              <w:top w:val="nil"/>
              <w:left w:val="nil"/>
              <w:bottom w:val="nil"/>
              <w:right w:val="nil"/>
            </w:tcBorders>
          </w:tcPr>
          <w:p w14:paraId="39268818"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2018</w:t>
            </w:r>
          </w:p>
        </w:tc>
      </w:tr>
      <w:tr w:rsidR="009159BE" w:rsidRPr="00FD4EE9" w14:paraId="18DB8A10" w14:textId="77777777" w:rsidTr="009159BE">
        <w:tc>
          <w:tcPr>
            <w:tcW w:w="2269" w:type="dxa"/>
            <w:tcBorders>
              <w:top w:val="nil"/>
              <w:left w:val="single" w:sz="4" w:space="0" w:color="auto"/>
              <w:bottom w:val="nil"/>
              <w:right w:val="nil"/>
            </w:tcBorders>
          </w:tcPr>
          <w:p w14:paraId="28F005CC"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Biao Jiang</w:t>
            </w:r>
          </w:p>
        </w:tc>
        <w:tc>
          <w:tcPr>
            <w:tcW w:w="3827" w:type="dxa"/>
            <w:tcBorders>
              <w:top w:val="nil"/>
              <w:left w:val="nil"/>
              <w:bottom w:val="nil"/>
              <w:right w:val="nil"/>
            </w:tcBorders>
          </w:tcPr>
          <w:p w14:paraId="1B1B3336" w14:textId="5070E9EB" w:rsidR="009159BE" w:rsidRPr="00FD4EE9" w:rsidRDefault="009159BE" w:rsidP="00F75FC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23"/>
              <w:rPr>
                <w:sz w:val="20"/>
              </w:rPr>
            </w:pPr>
            <w:r w:rsidRPr="00FD4EE9">
              <w:rPr>
                <w:sz w:val="20"/>
              </w:rPr>
              <w:t xml:space="preserve">Shanghai Institute of Organic </w:t>
            </w:r>
            <w:r w:rsidR="00F75FC5">
              <w:rPr>
                <w:sz w:val="20"/>
              </w:rPr>
              <w:t>C</w:t>
            </w:r>
            <w:r w:rsidRPr="00FD4EE9">
              <w:rPr>
                <w:sz w:val="20"/>
              </w:rPr>
              <w:t>hemistry, Chinese Academy of Sciences</w:t>
            </w:r>
          </w:p>
        </w:tc>
        <w:tc>
          <w:tcPr>
            <w:tcW w:w="1417" w:type="dxa"/>
            <w:tcBorders>
              <w:top w:val="nil"/>
              <w:left w:val="nil"/>
              <w:bottom w:val="nil"/>
              <w:right w:val="nil"/>
            </w:tcBorders>
          </w:tcPr>
          <w:p w14:paraId="7D8858C2"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China</w:t>
            </w:r>
          </w:p>
        </w:tc>
        <w:tc>
          <w:tcPr>
            <w:tcW w:w="1418" w:type="dxa"/>
            <w:tcBorders>
              <w:top w:val="nil"/>
              <w:left w:val="nil"/>
              <w:bottom w:val="nil"/>
              <w:right w:val="nil"/>
            </w:tcBorders>
          </w:tcPr>
          <w:p w14:paraId="72C208E1"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2018</w:t>
            </w:r>
          </w:p>
        </w:tc>
      </w:tr>
      <w:tr w:rsidR="009159BE" w:rsidRPr="00FD4EE9" w14:paraId="02EE89CF" w14:textId="77777777" w:rsidTr="009159BE">
        <w:tc>
          <w:tcPr>
            <w:tcW w:w="2269" w:type="dxa"/>
            <w:tcBorders>
              <w:top w:val="nil"/>
              <w:left w:val="single" w:sz="4" w:space="0" w:color="auto"/>
              <w:bottom w:val="nil"/>
              <w:right w:val="nil"/>
            </w:tcBorders>
          </w:tcPr>
          <w:p w14:paraId="394C5810"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Olga Blinova</w:t>
            </w:r>
          </w:p>
        </w:tc>
        <w:tc>
          <w:tcPr>
            <w:tcW w:w="3827" w:type="dxa"/>
            <w:tcBorders>
              <w:top w:val="nil"/>
              <w:left w:val="nil"/>
              <w:bottom w:val="nil"/>
              <w:right w:val="nil"/>
            </w:tcBorders>
          </w:tcPr>
          <w:p w14:paraId="40DB25E5"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23"/>
              <w:rPr>
                <w:sz w:val="20"/>
              </w:rPr>
            </w:pPr>
            <w:r w:rsidRPr="00FD4EE9">
              <w:rPr>
                <w:sz w:val="20"/>
              </w:rPr>
              <w:t>Russian Scientific Center "Applied Chemistry"</w:t>
            </w:r>
          </w:p>
        </w:tc>
        <w:tc>
          <w:tcPr>
            <w:tcW w:w="1417" w:type="dxa"/>
            <w:tcBorders>
              <w:top w:val="nil"/>
              <w:left w:val="nil"/>
              <w:bottom w:val="nil"/>
              <w:right w:val="nil"/>
            </w:tcBorders>
          </w:tcPr>
          <w:p w14:paraId="324991FE"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Russia</w:t>
            </w:r>
          </w:p>
        </w:tc>
        <w:tc>
          <w:tcPr>
            <w:tcW w:w="1418" w:type="dxa"/>
            <w:tcBorders>
              <w:top w:val="nil"/>
              <w:left w:val="nil"/>
              <w:bottom w:val="nil"/>
              <w:right w:val="nil"/>
            </w:tcBorders>
          </w:tcPr>
          <w:p w14:paraId="4B7281E8"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2018</w:t>
            </w:r>
          </w:p>
        </w:tc>
      </w:tr>
      <w:tr w:rsidR="009159BE" w:rsidRPr="00FD4EE9" w14:paraId="715CEACC" w14:textId="77777777" w:rsidTr="009159BE">
        <w:tc>
          <w:tcPr>
            <w:tcW w:w="2269" w:type="dxa"/>
            <w:tcBorders>
              <w:top w:val="nil"/>
              <w:left w:val="single" w:sz="4" w:space="0" w:color="auto"/>
              <w:bottom w:val="nil"/>
              <w:right w:val="nil"/>
            </w:tcBorders>
          </w:tcPr>
          <w:p w14:paraId="14298C97"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Nick Campbell</w:t>
            </w:r>
          </w:p>
        </w:tc>
        <w:tc>
          <w:tcPr>
            <w:tcW w:w="3827" w:type="dxa"/>
            <w:tcBorders>
              <w:top w:val="nil"/>
              <w:left w:val="nil"/>
              <w:bottom w:val="nil"/>
              <w:right w:val="nil"/>
            </w:tcBorders>
          </w:tcPr>
          <w:p w14:paraId="19032DCA"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23"/>
              <w:rPr>
                <w:sz w:val="20"/>
              </w:rPr>
            </w:pPr>
            <w:r w:rsidRPr="00FD4EE9">
              <w:rPr>
                <w:sz w:val="20"/>
              </w:rPr>
              <w:t>Arkema</w:t>
            </w:r>
          </w:p>
        </w:tc>
        <w:tc>
          <w:tcPr>
            <w:tcW w:w="1417" w:type="dxa"/>
            <w:tcBorders>
              <w:top w:val="nil"/>
              <w:left w:val="nil"/>
              <w:bottom w:val="nil"/>
              <w:right w:val="nil"/>
            </w:tcBorders>
          </w:tcPr>
          <w:p w14:paraId="2A0059F4"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France</w:t>
            </w:r>
          </w:p>
        </w:tc>
        <w:tc>
          <w:tcPr>
            <w:tcW w:w="1418" w:type="dxa"/>
            <w:tcBorders>
              <w:top w:val="nil"/>
              <w:left w:val="nil"/>
              <w:bottom w:val="nil"/>
              <w:right w:val="nil"/>
            </w:tcBorders>
          </w:tcPr>
          <w:p w14:paraId="6A87A8A0"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2018</w:t>
            </w:r>
          </w:p>
        </w:tc>
      </w:tr>
      <w:tr w:rsidR="009159BE" w:rsidRPr="00FD4EE9" w14:paraId="39D6BC26" w14:textId="77777777" w:rsidTr="009159BE">
        <w:tc>
          <w:tcPr>
            <w:tcW w:w="2269" w:type="dxa"/>
            <w:tcBorders>
              <w:top w:val="nil"/>
              <w:left w:val="single" w:sz="4" w:space="0" w:color="auto"/>
              <w:bottom w:val="nil"/>
              <w:right w:val="nil"/>
            </w:tcBorders>
          </w:tcPr>
          <w:p w14:paraId="14A88ACC"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Jorge Caneva</w:t>
            </w:r>
          </w:p>
        </w:tc>
        <w:tc>
          <w:tcPr>
            <w:tcW w:w="3827" w:type="dxa"/>
            <w:tcBorders>
              <w:top w:val="nil"/>
              <w:left w:val="nil"/>
              <w:bottom w:val="nil"/>
              <w:right w:val="nil"/>
            </w:tcBorders>
          </w:tcPr>
          <w:p w14:paraId="20E18329"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Favaloro Foundation</w:t>
            </w:r>
          </w:p>
        </w:tc>
        <w:tc>
          <w:tcPr>
            <w:tcW w:w="1417" w:type="dxa"/>
            <w:tcBorders>
              <w:top w:val="nil"/>
              <w:left w:val="nil"/>
              <w:bottom w:val="nil"/>
              <w:right w:val="nil"/>
            </w:tcBorders>
          </w:tcPr>
          <w:p w14:paraId="06718793"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Argentina</w:t>
            </w:r>
          </w:p>
        </w:tc>
        <w:tc>
          <w:tcPr>
            <w:tcW w:w="1418" w:type="dxa"/>
            <w:tcBorders>
              <w:top w:val="nil"/>
              <w:left w:val="nil"/>
              <w:bottom w:val="nil"/>
              <w:right w:val="nil"/>
            </w:tcBorders>
          </w:tcPr>
          <w:p w14:paraId="4C6AD769"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2018</w:t>
            </w:r>
          </w:p>
        </w:tc>
      </w:tr>
      <w:tr w:rsidR="009159BE" w:rsidRPr="00FD4EE9" w14:paraId="5A70A324" w14:textId="77777777" w:rsidTr="009159BE">
        <w:tc>
          <w:tcPr>
            <w:tcW w:w="2269" w:type="dxa"/>
            <w:tcBorders>
              <w:top w:val="nil"/>
              <w:left w:val="single" w:sz="4" w:space="0" w:color="auto"/>
              <w:bottom w:val="nil"/>
              <w:right w:val="nil"/>
            </w:tcBorders>
          </w:tcPr>
          <w:p w14:paraId="7DFCD1F2"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 xml:space="preserve">Nee Sun (Robert) Choong Kwet Yive </w:t>
            </w:r>
          </w:p>
        </w:tc>
        <w:tc>
          <w:tcPr>
            <w:tcW w:w="3827" w:type="dxa"/>
            <w:tcBorders>
              <w:top w:val="nil"/>
              <w:left w:val="nil"/>
              <w:bottom w:val="nil"/>
              <w:right w:val="nil"/>
            </w:tcBorders>
          </w:tcPr>
          <w:p w14:paraId="670F3071"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University of Mauritius</w:t>
            </w:r>
          </w:p>
        </w:tc>
        <w:tc>
          <w:tcPr>
            <w:tcW w:w="1417" w:type="dxa"/>
            <w:tcBorders>
              <w:top w:val="nil"/>
              <w:left w:val="nil"/>
              <w:bottom w:val="nil"/>
              <w:right w:val="nil"/>
            </w:tcBorders>
          </w:tcPr>
          <w:p w14:paraId="4CC23EE2"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Mauritius</w:t>
            </w:r>
          </w:p>
        </w:tc>
        <w:tc>
          <w:tcPr>
            <w:tcW w:w="1418" w:type="dxa"/>
            <w:tcBorders>
              <w:top w:val="nil"/>
              <w:left w:val="nil"/>
              <w:bottom w:val="nil"/>
              <w:right w:val="nil"/>
            </w:tcBorders>
          </w:tcPr>
          <w:p w14:paraId="52F34A27"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2018</w:t>
            </w:r>
          </w:p>
        </w:tc>
      </w:tr>
      <w:tr w:rsidR="009159BE" w:rsidRPr="00FD4EE9" w14:paraId="0058FDB4" w14:textId="77777777" w:rsidTr="009159BE">
        <w:tc>
          <w:tcPr>
            <w:tcW w:w="2269" w:type="dxa"/>
            <w:tcBorders>
              <w:top w:val="nil"/>
              <w:left w:val="single" w:sz="4" w:space="0" w:color="auto"/>
              <w:bottom w:val="nil"/>
              <w:right w:val="nil"/>
            </w:tcBorders>
          </w:tcPr>
          <w:p w14:paraId="2E2F8847"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David Dalle Fusine</w:t>
            </w:r>
          </w:p>
        </w:tc>
        <w:tc>
          <w:tcPr>
            <w:tcW w:w="3827" w:type="dxa"/>
            <w:tcBorders>
              <w:top w:val="nil"/>
              <w:left w:val="nil"/>
              <w:bottom w:val="nil"/>
              <w:right w:val="nil"/>
            </w:tcBorders>
          </w:tcPr>
          <w:p w14:paraId="708BCA5B"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Chiesi Farmaceutici (seconded at Chiesi China)</w:t>
            </w:r>
          </w:p>
        </w:tc>
        <w:tc>
          <w:tcPr>
            <w:tcW w:w="1417" w:type="dxa"/>
            <w:tcBorders>
              <w:top w:val="nil"/>
              <w:left w:val="nil"/>
              <w:bottom w:val="nil"/>
              <w:right w:val="nil"/>
            </w:tcBorders>
          </w:tcPr>
          <w:p w14:paraId="3DDEF899"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Italy</w:t>
            </w:r>
          </w:p>
        </w:tc>
        <w:tc>
          <w:tcPr>
            <w:tcW w:w="1418" w:type="dxa"/>
            <w:tcBorders>
              <w:top w:val="nil"/>
              <w:left w:val="nil"/>
              <w:bottom w:val="nil"/>
              <w:right w:val="nil"/>
            </w:tcBorders>
          </w:tcPr>
          <w:p w14:paraId="2DF3E305"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2018</w:t>
            </w:r>
          </w:p>
        </w:tc>
      </w:tr>
      <w:tr w:rsidR="009159BE" w:rsidRPr="00FD4EE9" w14:paraId="39FB0C37" w14:textId="77777777" w:rsidTr="009159BE">
        <w:tc>
          <w:tcPr>
            <w:tcW w:w="2269" w:type="dxa"/>
            <w:tcBorders>
              <w:top w:val="nil"/>
              <w:left w:val="single" w:sz="4" w:space="0" w:color="auto"/>
              <w:bottom w:val="nil"/>
              <w:right w:val="nil"/>
            </w:tcBorders>
          </w:tcPr>
          <w:p w14:paraId="71098F6B"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Eamonn Hoxey</w:t>
            </w:r>
          </w:p>
        </w:tc>
        <w:tc>
          <w:tcPr>
            <w:tcW w:w="3827" w:type="dxa"/>
            <w:tcBorders>
              <w:top w:val="nil"/>
              <w:left w:val="nil"/>
              <w:bottom w:val="nil"/>
              <w:right w:val="nil"/>
            </w:tcBorders>
          </w:tcPr>
          <w:p w14:paraId="16D00272" w14:textId="7CBF64A0" w:rsidR="009159BE" w:rsidRPr="00FD4EE9" w:rsidRDefault="00F75FC5"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Pr>
                <w:sz w:val="20"/>
              </w:rPr>
              <w:t>EV Hoxey Ltd.</w:t>
            </w:r>
          </w:p>
        </w:tc>
        <w:tc>
          <w:tcPr>
            <w:tcW w:w="1417" w:type="dxa"/>
            <w:tcBorders>
              <w:top w:val="nil"/>
              <w:left w:val="nil"/>
              <w:bottom w:val="nil"/>
              <w:right w:val="nil"/>
            </w:tcBorders>
          </w:tcPr>
          <w:p w14:paraId="44FA99F8"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UK</w:t>
            </w:r>
          </w:p>
        </w:tc>
        <w:tc>
          <w:tcPr>
            <w:tcW w:w="1418" w:type="dxa"/>
            <w:tcBorders>
              <w:top w:val="nil"/>
              <w:left w:val="nil"/>
              <w:bottom w:val="nil"/>
              <w:right w:val="nil"/>
            </w:tcBorders>
          </w:tcPr>
          <w:p w14:paraId="5CF18EAB"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2018</w:t>
            </w:r>
          </w:p>
        </w:tc>
      </w:tr>
      <w:tr w:rsidR="009159BE" w:rsidRPr="00FD4EE9" w14:paraId="0403BC52" w14:textId="77777777" w:rsidTr="009159BE">
        <w:tc>
          <w:tcPr>
            <w:tcW w:w="2269" w:type="dxa"/>
            <w:tcBorders>
              <w:top w:val="nil"/>
              <w:left w:val="single" w:sz="4" w:space="0" w:color="auto"/>
              <w:bottom w:val="nil"/>
              <w:right w:val="nil"/>
            </w:tcBorders>
          </w:tcPr>
          <w:p w14:paraId="6F106881"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Jianxin Hu</w:t>
            </w:r>
          </w:p>
        </w:tc>
        <w:tc>
          <w:tcPr>
            <w:tcW w:w="3827" w:type="dxa"/>
            <w:tcBorders>
              <w:top w:val="nil"/>
              <w:left w:val="nil"/>
              <w:bottom w:val="nil"/>
              <w:right w:val="nil"/>
            </w:tcBorders>
          </w:tcPr>
          <w:p w14:paraId="6386047D"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College of Environmental Sciences &amp; Engineering, Peking University</w:t>
            </w:r>
          </w:p>
        </w:tc>
        <w:tc>
          <w:tcPr>
            <w:tcW w:w="1417" w:type="dxa"/>
            <w:tcBorders>
              <w:top w:val="nil"/>
              <w:left w:val="nil"/>
              <w:bottom w:val="nil"/>
              <w:right w:val="nil"/>
            </w:tcBorders>
          </w:tcPr>
          <w:p w14:paraId="27671158"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China</w:t>
            </w:r>
          </w:p>
        </w:tc>
        <w:tc>
          <w:tcPr>
            <w:tcW w:w="1418" w:type="dxa"/>
            <w:tcBorders>
              <w:top w:val="nil"/>
              <w:left w:val="nil"/>
              <w:bottom w:val="nil"/>
              <w:right w:val="nil"/>
            </w:tcBorders>
          </w:tcPr>
          <w:p w14:paraId="38111FF5"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2018</w:t>
            </w:r>
          </w:p>
        </w:tc>
      </w:tr>
      <w:tr w:rsidR="008350E2" w:rsidRPr="00FD4EE9" w14:paraId="44B8D448" w14:textId="77777777" w:rsidTr="009159BE">
        <w:tc>
          <w:tcPr>
            <w:tcW w:w="2269" w:type="dxa"/>
            <w:tcBorders>
              <w:top w:val="nil"/>
              <w:left w:val="single" w:sz="4" w:space="0" w:color="auto"/>
              <w:bottom w:val="nil"/>
              <w:right w:val="nil"/>
            </w:tcBorders>
          </w:tcPr>
          <w:p w14:paraId="79B1C11B" w14:textId="6400F7F5" w:rsidR="008350E2" w:rsidRPr="00FD4EE9" w:rsidRDefault="008350E2"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Pr>
                <w:sz w:val="20"/>
              </w:rPr>
              <w:t>Ryan Hulse</w:t>
            </w:r>
          </w:p>
        </w:tc>
        <w:tc>
          <w:tcPr>
            <w:tcW w:w="3827" w:type="dxa"/>
            <w:tcBorders>
              <w:top w:val="nil"/>
              <w:left w:val="nil"/>
              <w:bottom w:val="nil"/>
              <w:right w:val="nil"/>
            </w:tcBorders>
          </w:tcPr>
          <w:p w14:paraId="334A2C9C" w14:textId="14355D3B" w:rsidR="008350E2" w:rsidRPr="00FD4EE9" w:rsidRDefault="008350E2"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Pr>
                <w:sz w:val="20"/>
              </w:rPr>
              <w:t>Honeywell</w:t>
            </w:r>
          </w:p>
        </w:tc>
        <w:tc>
          <w:tcPr>
            <w:tcW w:w="1417" w:type="dxa"/>
            <w:tcBorders>
              <w:top w:val="nil"/>
              <w:left w:val="nil"/>
              <w:bottom w:val="nil"/>
              <w:right w:val="nil"/>
            </w:tcBorders>
          </w:tcPr>
          <w:p w14:paraId="3F9E23A1" w14:textId="28465214" w:rsidR="008350E2" w:rsidRPr="00FD4EE9" w:rsidRDefault="0070607D"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Pr>
                <w:sz w:val="20"/>
              </w:rPr>
              <w:t>US</w:t>
            </w:r>
          </w:p>
        </w:tc>
        <w:tc>
          <w:tcPr>
            <w:tcW w:w="1418" w:type="dxa"/>
            <w:tcBorders>
              <w:top w:val="nil"/>
              <w:left w:val="nil"/>
              <w:bottom w:val="nil"/>
              <w:right w:val="nil"/>
            </w:tcBorders>
          </w:tcPr>
          <w:p w14:paraId="30C9B1DA" w14:textId="4AA3881A" w:rsidR="008350E2" w:rsidRPr="00FD4EE9" w:rsidRDefault="008350E2"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Pr>
                <w:sz w:val="20"/>
              </w:rPr>
              <w:t>2020</w:t>
            </w:r>
          </w:p>
        </w:tc>
      </w:tr>
      <w:tr w:rsidR="009159BE" w:rsidRPr="00FD4EE9" w14:paraId="6BDBA359" w14:textId="77777777" w:rsidTr="009159BE">
        <w:tc>
          <w:tcPr>
            <w:tcW w:w="2269" w:type="dxa"/>
            <w:tcBorders>
              <w:top w:val="nil"/>
              <w:left w:val="single" w:sz="4" w:space="0" w:color="auto"/>
              <w:bottom w:val="nil"/>
              <w:right w:val="nil"/>
            </w:tcBorders>
          </w:tcPr>
          <w:p w14:paraId="1E5C3FC0"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Javaid Khan</w:t>
            </w:r>
          </w:p>
        </w:tc>
        <w:tc>
          <w:tcPr>
            <w:tcW w:w="3827" w:type="dxa"/>
            <w:tcBorders>
              <w:top w:val="nil"/>
              <w:left w:val="nil"/>
              <w:bottom w:val="nil"/>
              <w:right w:val="nil"/>
            </w:tcBorders>
          </w:tcPr>
          <w:p w14:paraId="540677CC"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The Aga Khan University</w:t>
            </w:r>
          </w:p>
        </w:tc>
        <w:tc>
          <w:tcPr>
            <w:tcW w:w="1417" w:type="dxa"/>
            <w:tcBorders>
              <w:top w:val="nil"/>
              <w:left w:val="nil"/>
              <w:bottom w:val="nil"/>
              <w:right w:val="nil"/>
            </w:tcBorders>
          </w:tcPr>
          <w:p w14:paraId="172EBF27"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Pakistan</w:t>
            </w:r>
          </w:p>
        </w:tc>
        <w:tc>
          <w:tcPr>
            <w:tcW w:w="1418" w:type="dxa"/>
            <w:tcBorders>
              <w:top w:val="nil"/>
              <w:left w:val="nil"/>
              <w:bottom w:val="nil"/>
              <w:right w:val="nil"/>
            </w:tcBorders>
          </w:tcPr>
          <w:p w14:paraId="7768002D"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2018</w:t>
            </w:r>
          </w:p>
        </w:tc>
      </w:tr>
      <w:tr w:rsidR="008350E2" w:rsidRPr="00FD4EE9" w14:paraId="7B22C37A" w14:textId="77777777" w:rsidTr="009159BE">
        <w:tc>
          <w:tcPr>
            <w:tcW w:w="2269" w:type="dxa"/>
            <w:tcBorders>
              <w:top w:val="nil"/>
              <w:left w:val="single" w:sz="4" w:space="0" w:color="auto"/>
              <w:bottom w:val="nil"/>
              <w:right w:val="nil"/>
            </w:tcBorders>
          </w:tcPr>
          <w:p w14:paraId="6D322E2C" w14:textId="17B45785" w:rsidR="008350E2" w:rsidRPr="00FD4EE9" w:rsidRDefault="008350E2"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Pr>
                <w:sz w:val="20"/>
              </w:rPr>
              <w:t>Andrew Lindley</w:t>
            </w:r>
          </w:p>
        </w:tc>
        <w:tc>
          <w:tcPr>
            <w:tcW w:w="3827" w:type="dxa"/>
            <w:tcBorders>
              <w:top w:val="nil"/>
              <w:left w:val="nil"/>
              <w:bottom w:val="nil"/>
              <w:right w:val="nil"/>
            </w:tcBorders>
          </w:tcPr>
          <w:p w14:paraId="39224891" w14:textId="7C8E4029" w:rsidR="008350E2" w:rsidRPr="00FD4EE9" w:rsidRDefault="008350E2"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Pr>
                <w:sz w:val="20"/>
              </w:rPr>
              <w:t>Independent consultant to Mexichem UK Ltd.</w:t>
            </w:r>
          </w:p>
        </w:tc>
        <w:tc>
          <w:tcPr>
            <w:tcW w:w="1417" w:type="dxa"/>
            <w:tcBorders>
              <w:top w:val="nil"/>
              <w:left w:val="nil"/>
              <w:bottom w:val="nil"/>
              <w:right w:val="nil"/>
            </w:tcBorders>
          </w:tcPr>
          <w:p w14:paraId="7346C2CE" w14:textId="78406398" w:rsidR="008350E2" w:rsidRPr="00FD4EE9" w:rsidRDefault="008350E2"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Pr>
                <w:sz w:val="20"/>
              </w:rPr>
              <w:t>UK</w:t>
            </w:r>
          </w:p>
        </w:tc>
        <w:tc>
          <w:tcPr>
            <w:tcW w:w="1418" w:type="dxa"/>
            <w:tcBorders>
              <w:top w:val="nil"/>
              <w:left w:val="nil"/>
              <w:bottom w:val="nil"/>
              <w:right w:val="nil"/>
            </w:tcBorders>
          </w:tcPr>
          <w:p w14:paraId="7CAC5AC2" w14:textId="5939C46A" w:rsidR="008350E2" w:rsidRPr="00FD4EE9" w:rsidRDefault="008350E2"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Pr>
                <w:sz w:val="20"/>
              </w:rPr>
              <w:t>2020</w:t>
            </w:r>
          </w:p>
        </w:tc>
      </w:tr>
      <w:tr w:rsidR="009159BE" w:rsidRPr="00FD4EE9" w14:paraId="42DC5AB4" w14:textId="77777777" w:rsidTr="009159BE">
        <w:tc>
          <w:tcPr>
            <w:tcW w:w="2269" w:type="dxa"/>
            <w:tcBorders>
              <w:top w:val="nil"/>
              <w:left w:val="single" w:sz="4" w:space="0" w:color="auto"/>
              <w:bottom w:val="nil"/>
              <w:right w:val="nil"/>
            </w:tcBorders>
          </w:tcPr>
          <w:p w14:paraId="641687D7"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Gerald McDonnell</w:t>
            </w:r>
          </w:p>
        </w:tc>
        <w:tc>
          <w:tcPr>
            <w:tcW w:w="3827" w:type="dxa"/>
            <w:tcBorders>
              <w:top w:val="nil"/>
              <w:left w:val="nil"/>
              <w:bottom w:val="nil"/>
              <w:right w:val="nil"/>
            </w:tcBorders>
          </w:tcPr>
          <w:p w14:paraId="4F661C58"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DePuy Synthes, Johnson &amp; Johnson</w:t>
            </w:r>
          </w:p>
        </w:tc>
        <w:tc>
          <w:tcPr>
            <w:tcW w:w="1417" w:type="dxa"/>
            <w:tcBorders>
              <w:top w:val="nil"/>
              <w:left w:val="nil"/>
              <w:bottom w:val="nil"/>
              <w:right w:val="nil"/>
            </w:tcBorders>
          </w:tcPr>
          <w:p w14:paraId="1B5A42A0" w14:textId="0175B83C" w:rsidR="009159BE" w:rsidRPr="00FD4EE9" w:rsidRDefault="0070607D"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Pr>
                <w:sz w:val="20"/>
              </w:rPr>
              <w:t>US</w:t>
            </w:r>
          </w:p>
        </w:tc>
        <w:tc>
          <w:tcPr>
            <w:tcW w:w="1418" w:type="dxa"/>
            <w:tcBorders>
              <w:top w:val="nil"/>
              <w:left w:val="nil"/>
              <w:bottom w:val="nil"/>
              <w:right w:val="nil"/>
            </w:tcBorders>
          </w:tcPr>
          <w:p w14:paraId="70BAA1C1"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2018</w:t>
            </w:r>
          </w:p>
        </w:tc>
      </w:tr>
      <w:tr w:rsidR="009159BE" w:rsidRPr="00FD4EE9" w14:paraId="20E9FA3D" w14:textId="77777777" w:rsidTr="009159BE">
        <w:tc>
          <w:tcPr>
            <w:tcW w:w="2269" w:type="dxa"/>
            <w:tcBorders>
              <w:top w:val="nil"/>
              <w:left w:val="single" w:sz="4" w:space="0" w:color="auto"/>
              <w:bottom w:val="nil"/>
              <w:right w:val="nil"/>
            </w:tcBorders>
          </w:tcPr>
          <w:p w14:paraId="1A909352"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Robert Meyer</w:t>
            </w:r>
          </w:p>
        </w:tc>
        <w:tc>
          <w:tcPr>
            <w:tcW w:w="3827" w:type="dxa"/>
            <w:tcBorders>
              <w:top w:val="nil"/>
              <w:left w:val="nil"/>
              <w:bottom w:val="nil"/>
              <w:right w:val="nil"/>
            </w:tcBorders>
          </w:tcPr>
          <w:p w14:paraId="377061CB"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 xml:space="preserve">University of Virginia </w:t>
            </w:r>
          </w:p>
        </w:tc>
        <w:tc>
          <w:tcPr>
            <w:tcW w:w="1417" w:type="dxa"/>
            <w:tcBorders>
              <w:top w:val="nil"/>
              <w:left w:val="nil"/>
              <w:bottom w:val="nil"/>
              <w:right w:val="nil"/>
            </w:tcBorders>
          </w:tcPr>
          <w:p w14:paraId="6D647AA4" w14:textId="011C6D41" w:rsidR="009159BE" w:rsidRPr="00FD4EE9" w:rsidRDefault="0070607D"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Pr>
                <w:sz w:val="20"/>
              </w:rPr>
              <w:t>US</w:t>
            </w:r>
          </w:p>
        </w:tc>
        <w:tc>
          <w:tcPr>
            <w:tcW w:w="1418" w:type="dxa"/>
            <w:tcBorders>
              <w:top w:val="nil"/>
              <w:left w:val="nil"/>
              <w:bottom w:val="nil"/>
              <w:right w:val="nil"/>
            </w:tcBorders>
          </w:tcPr>
          <w:p w14:paraId="42C1D3DF"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2018</w:t>
            </w:r>
          </w:p>
        </w:tc>
      </w:tr>
      <w:tr w:rsidR="009159BE" w:rsidRPr="00FD4EE9" w14:paraId="3E1BDD77" w14:textId="77777777" w:rsidTr="009159BE">
        <w:tc>
          <w:tcPr>
            <w:tcW w:w="2269" w:type="dxa"/>
            <w:tcBorders>
              <w:top w:val="nil"/>
              <w:left w:val="single" w:sz="4" w:space="0" w:color="auto"/>
              <w:bottom w:val="nil"/>
              <w:right w:val="nil"/>
            </w:tcBorders>
          </w:tcPr>
          <w:p w14:paraId="021E4E58"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Tunde Otulana</w:t>
            </w:r>
          </w:p>
        </w:tc>
        <w:tc>
          <w:tcPr>
            <w:tcW w:w="3827" w:type="dxa"/>
            <w:tcBorders>
              <w:top w:val="nil"/>
              <w:left w:val="nil"/>
              <w:bottom w:val="nil"/>
              <w:right w:val="nil"/>
            </w:tcBorders>
          </w:tcPr>
          <w:p w14:paraId="5FB03D44"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Mallinckrodt Pharmaceuticals</w:t>
            </w:r>
          </w:p>
        </w:tc>
        <w:tc>
          <w:tcPr>
            <w:tcW w:w="1417" w:type="dxa"/>
            <w:tcBorders>
              <w:top w:val="nil"/>
              <w:left w:val="nil"/>
              <w:bottom w:val="nil"/>
              <w:right w:val="nil"/>
            </w:tcBorders>
          </w:tcPr>
          <w:p w14:paraId="072B357F" w14:textId="737370DC" w:rsidR="009159BE" w:rsidRPr="00FD4EE9" w:rsidRDefault="0070607D"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Pr>
                <w:sz w:val="20"/>
              </w:rPr>
              <w:t>US</w:t>
            </w:r>
          </w:p>
        </w:tc>
        <w:tc>
          <w:tcPr>
            <w:tcW w:w="1418" w:type="dxa"/>
            <w:tcBorders>
              <w:top w:val="nil"/>
              <w:left w:val="nil"/>
              <w:bottom w:val="nil"/>
              <w:right w:val="nil"/>
            </w:tcBorders>
          </w:tcPr>
          <w:p w14:paraId="1FB000D0"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2018</w:t>
            </w:r>
          </w:p>
        </w:tc>
      </w:tr>
      <w:tr w:rsidR="008350E2" w:rsidRPr="00FD4EE9" w14:paraId="645D8B84" w14:textId="77777777" w:rsidTr="00034252">
        <w:tc>
          <w:tcPr>
            <w:tcW w:w="2269" w:type="dxa"/>
            <w:tcBorders>
              <w:top w:val="nil"/>
              <w:left w:val="single" w:sz="4" w:space="0" w:color="auto"/>
              <w:bottom w:val="nil"/>
              <w:right w:val="nil"/>
            </w:tcBorders>
            <w:vAlign w:val="center"/>
          </w:tcPr>
          <w:p w14:paraId="5FA64EDF" w14:textId="309F7FE4" w:rsidR="008350E2" w:rsidRPr="00FD4EE9" w:rsidRDefault="008350E2"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196EDE">
              <w:rPr>
                <w:color w:val="auto"/>
                <w:sz w:val="20"/>
                <w:lang w:val="en-AU" w:eastAsia="en-US"/>
              </w:rPr>
              <w:t>John G. Owens</w:t>
            </w:r>
          </w:p>
        </w:tc>
        <w:tc>
          <w:tcPr>
            <w:tcW w:w="3827" w:type="dxa"/>
            <w:tcBorders>
              <w:top w:val="nil"/>
              <w:left w:val="nil"/>
              <w:bottom w:val="nil"/>
              <w:right w:val="nil"/>
            </w:tcBorders>
            <w:vAlign w:val="center"/>
          </w:tcPr>
          <w:p w14:paraId="0A2CB022" w14:textId="71FA0E7D" w:rsidR="008350E2" w:rsidRPr="00FD4EE9" w:rsidRDefault="008350E2"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196EDE">
              <w:rPr>
                <w:color w:val="auto"/>
                <w:sz w:val="20"/>
                <w:lang w:val="en-AU" w:eastAsia="en-US"/>
              </w:rPr>
              <w:t>3M</w:t>
            </w:r>
          </w:p>
        </w:tc>
        <w:tc>
          <w:tcPr>
            <w:tcW w:w="1417" w:type="dxa"/>
            <w:tcBorders>
              <w:top w:val="nil"/>
              <w:left w:val="nil"/>
              <w:bottom w:val="nil"/>
              <w:right w:val="nil"/>
            </w:tcBorders>
            <w:vAlign w:val="center"/>
          </w:tcPr>
          <w:p w14:paraId="6F6DCA23" w14:textId="3D5AA033" w:rsidR="008350E2" w:rsidRPr="00FD4EE9" w:rsidRDefault="0070607D"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Pr>
                <w:color w:val="auto"/>
                <w:sz w:val="20"/>
                <w:lang w:val="en-AU" w:eastAsia="en-US"/>
              </w:rPr>
              <w:t>US</w:t>
            </w:r>
          </w:p>
        </w:tc>
        <w:tc>
          <w:tcPr>
            <w:tcW w:w="1418" w:type="dxa"/>
            <w:tcBorders>
              <w:top w:val="nil"/>
              <w:left w:val="nil"/>
              <w:bottom w:val="nil"/>
              <w:right w:val="nil"/>
            </w:tcBorders>
            <w:vAlign w:val="center"/>
          </w:tcPr>
          <w:p w14:paraId="61F08CFC" w14:textId="35B0F606" w:rsidR="008350E2" w:rsidRPr="00FD4EE9" w:rsidRDefault="008350E2"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196EDE">
              <w:rPr>
                <w:color w:val="auto"/>
                <w:sz w:val="20"/>
                <w:lang w:val="en-AU" w:eastAsia="en-US"/>
              </w:rPr>
              <w:t>2020</w:t>
            </w:r>
          </w:p>
        </w:tc>
      </w:tr>
      <w:tr w:rsidR="009159BE" w:rsidRPr="00FD4EE9" w14:paraId="075D4C3B" w14:textId="77777777" w:rsidTr="009159BE">
        <w:tc>
          <w:tcPr>
            <w:tcW w:w="2269" w:type="dxa"/>
            <w:tcBorders>
              <w:top w:val="nil"/>
              <w:left w:val="single" w:sz="4" w:space="0" w:color="auto"/>
              <w:bottom w:val="nil"/>
              <w:right w:val="nil"/>
            </w:tcBorders>
          </w:tcPr>
          <w:p w14:paraId="4E0BF705"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José Pons Pons</w:t>
            </w:r>
          </w:p>
        </w:tc>
        <w:tc>
          <w:tcPr>
            <w:tcW w:w="3827" w:type="dxa"/>
            <w:tcBorders>
              <w:top w:val="nil"/>
              <w:left w:val="nil"/>
              <w:bottom w:val="nil"/>
              <w:right w:val="nil"/>
            </w:tcBorders>
          </w:tcPr>
          <w:p w14:paraId="3C105E06"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 xml:space="preserve">Spray Quimica </w:t>
            </w:r>
          </w:p>
        </w:tc>
        <w:tc>
          <w:tcPr>
            <w:tcW w:w="1417" w:type="dxa"/>
            <w:tcBorders>
              <w:top w:val="nil"/>
              <w:left w:val="nil"/>
              <w:bottom w:val="nil"/>
              <w:right w:val="nil"/>
            </w:tcBorders>
          </w:tcPr>
          <w:p w14:paraId="5AF3D289"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Venezuela</w:t>
            </w:r>
          </w:p>
        </w:tc>
        <w:tc>
          <w:tcPr>
            <w:tcW w:w="1418" w:type="dxa"/>
            <w:tcBorders>
              <w:top w:val="nil"/>
              <w:left w:val="nil"/>
              <w:bottom w:val="nil"/>
              <w:right w:val="nil"/>
            </w:tcBorders>
          </w:tcPr>
          <w:p w14:paraId="56E0C11D"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2019</w:t>
            </w:r>
          </w:p>
        </w:tc>
      </w:tr>
      <w:tr w:rsidR="009159BE" w:rsidRPr="00FD4EE9" w14:paraId="27820DD0" w14:textId="77777777" w:rsidTr="009159BE">
        <w:tc>
          <w:tcPr>
            <w:tcW w:w="2269" w:type="dxa"/>
            <w:tcBorders>
              <w:top w:val="nil"/>
              <w:left w:val="single" w:sz="4" w:space="0" w:color="auto"/>
              <w:bottom w:val="nil"/>
              <w:right w:val="nil"/>
            </w:tcBorders>
          </w:tcPr>
          <w:p w14:paraId="21422CFB"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 xml:space="preserve">Hans Porre </w:t>
            </w:r>
          </w:p>
        </w:tc>
        <w:tc>
          <w:tcPr>
            <w:tcW w:w="3827" w:type="dxa"/>
            <w:tcBorders>
              <w:top w:val="nil"/>
              <w:left w:val="nil"/>
              <w:bottom w:val="nil"/>
              <w:right w:val="nil"/>
            </w:tcBorders>
          </w:tcPr>
          <w:p w14:paraId="02C45FD8"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Teijin Aramids</w:t>
            </w:r>
          </w:p>
        </w:tc>
        <w:tc>
          <w:tcPr>
            <w:tcW w:w="1417" w:type="dxa"/>
            <w:tcBorders>
              <w:top w:val="nil"/>
              <w:left w:val="nil"/>
              <w:bottom w:val="nil"/>
              <w:right w:val="nil"/>
            </w:tcBorders>
          </w:tcPr>
          <w:p w14:paraId="429D9FF6"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Netherlands</w:t>
            </w:r>
          </w:p>
        </w:tc>
        <w:tc>
          <w:tcPr>
            <w:tcW w:w="1418" w:type="dxa"/>
            <w:tcBorders>
              <w:top w:val="nil"/>
              <w:left w:val="nil"/>
              <w:bottom w:val="nil"/>
              <w:right w:val="nil"/>
            </w:tcBorders>
          </w:tcPr>
          <w:p w14:paraId="340E6694"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2018</w:t>
            </w:r>
          </w:p>
        </w:tc>
      </w:tr>
      <w:tr w:rsidR="009159BE" w:rsidRPr="00FD4EE9" w14:paraId="19769B4F" w14:textId="77777777" w:rsidTr="009159BE">
        <w:tc>
          <w:tcPr>
            <w:tcW w:w="2269" w:type="dxa"/>
            <w:tcBorders>
              <w:top w:val="nil"/>
              <w:left w:val="single" w:sz="4" w:space="0" w:color="auto"/>
              <w:bottom w:val="nil"/>
              <w:right w:val="nil"/>
            </w:tcBorders>
          </w:tcPr>
          <w:p w14:paraId="4358BA6E"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John Pritchard</w:t>
            </w:r>
          </w:p>
        </w:tc>
        <w:tc>
          <w:tcPr>
            <w:tcW w:w="3827" w:type="dxa"/>
            <w:tcBorders>
              <w:top w:val="nil"/>
              <w:left w:val="nil"/>
              <w:bottom w:val="nil"/>
              <w:right w:val="nil"/>
            </w:tcBorders>
          </w:tcPr>
          <w:p w14:paraId="3DF4EDF2"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Philips Home Healthcare Solutions</w:t>
            </w:r>
          </w:p>
        </w:tc>
        <w:tc>
          <w:tcPr>
            <w:tcW w:w="1417" w:type="dxa"/>
            <w:tcBorders>
              <w:top w:val="nil"/>
              <w:left w:val="nil"/>
              <w:bottom w:val="nil"/>
              <w:right w:val="nil"/>
            </w:tcBorders>
          </w:tcPr>
          <w:p w14:paraId="78592A89"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UK</w:t>
            </w:r>
          </w:p>
        </w:tc>
        <w:tc>
          <w:tcPr>
            <w:tcW w:w="1418" w:type="dxa"/>
            <w:tcBorders>
              <w:top w:val="nil"/>
              <w:left w:val="nil"/>
              <w:bottom w:val="nil"/>
              <w:right w:val="nil"/>
            </w:tcBorders>
          </w:tcPr>
          <w:p w14:paraId="0FC1D0DE"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2018</w:t>
            </w:r>
          </w:p>
        </w:tc>
      </w:tr>
      <w:tr w:rsidR="009159BE" w:rsidRPr="00FD4EE9" w14:paraId="7658CC91" w14:textId="77777777" w:rsidTr="009159BE">
        <w:tc>
          <w:tcPr>
            <w:tcW w:w="2269" w:type="dxa"/>
            <w:tcBorders>
              <w:top w:val="nil"/>
              <w:left w:val="single" w:sz="4" w:space="0" w:color="auto"/>
              <w:bottom w:val="nil"/>
              <w:right w:val="nil"/>
            </w:tcBorders>
          </w:tcPr>
          <w:p w14:paraId="7630E430"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Rabbur Reza</w:t>
            </w:r>
          </w:p>
        </w:tc>
        <w:tc>
          <w:tcPr>
            <w:tcW w:w="3827" w:type="dxa"/>
            <w:tcBorders>
              <w:top w:val="nil"/>
              <w:left w:val="nil"/>
              <w:bottom w:val="nil"/>
              <w:right w:val="nil"/>
            </w:tcBorders>
          </w:tcPr>
          <w:p w14:paraId="4CAEF202"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Beximco Pharmaceuticals</w:t>
            </w:r>
          </w:p>
        </w:tc>
        <w:tc>
          <w:tcPr>
            <w:tcW w:w="1417" w:type="dxa"/>
            <w:tcBorders>
              <w:top w:val="nil"/>
              <w:left w:val="nil"/>
              <w:bottom w:val="nil"/>
              <w:right w:val="nil"/>
            </w:tcBorders>
          </w:tcPr>
          <w:p w14:paraId="6E871835"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Bangladesh</w:t>
            </w:r>
          </w:p>
        </w:tc>
        <w:tc>
          <w:tcPr>
            <w:tcW w:w="1418" w:type="dxa"/>
            <w:tcBorders>
              <w:top w:val="nil"/>
              <w:left w:val="nil"/>
              <w:bottom w:val="nil"/>
              <w:right w:val="nil"/>
            </w:tcBorders>
          </w:tcPr>
          <w:p w14:paraId="4FB88F28"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2018</w:t>
            </w:r>
          </w:p>
        </w:tc>
      </w:tr>
      <w:tr w:rsidR="009159BE" w:rsidRPr="00FD4EE9" w14:paraId="0978CEDE" w14:textId="77777777" w:rsidTr="009159BE">
        <w:tc>
          <w:tcPr>
            <w:tcW w:w="2269" w:type="dxa"/>
            <w:tcBorders>
              <w:top w:val="nil"/>
              <w:left w:val="single" w:sz="4" w:space="0" w:color="auto"/>
              <w:bottom w:val="nil"/>
              <w:right w:val="nil"/>
            </w:tcBorders>
          </w:tcPr>
          <w:p w14:paraId="47ACCB1D"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Paula Rytilä</w:t>
            </w:r>
          </w:p>
        </w:tc>
        <w:tc>
          <w:tcPr>
            <w:tcW w:w="3827" w:type="dxa"/>
            <w:tcBorders>
              <w:top w:val="nil"/>
              <w:left w:val="nil"/>
              <w:bottom w:val="nil"/>
              <w:right w:val="nil"/>
            </w:tcBorders>
          </w:tcPr>
          <w:p w14:paraId="4AF8FBDD"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Orion Corporation Orion Pharma</w:t>
            </w:r>
          </w:p>
        </w:tc>
        <w:tc>
          <w:tcPr>
            <w:tcW w:w="1417" w:type="dxa"/>
            <w:tcBorders>
              <w:top w:val="nil"/>
              <w:left w:val="nil"/>
              <w:bottom w:val="nil"/>
              <w:right w:val="nil"/>
            </w:tcBorders>
          </w:tcPr>
          <w:p w14:paraId="4CE32F71"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Finland</w:t>
            </w:r>
          </w:p>
        </w:tc>
        <w:tc>
          <w:tcPr>
            <w:tcW w:w="1418" w:type="dxa"/>
            <w:tcBorders>
              <w:top w:val="nil"/>
              <w:left w:val="nil"/>
              <w:bottom w:val="nil"/>
              <w:right w:val="nil"/>
            </w:tcBorders>
          </w:tcPr>
          <w:p w14:paraId="429FD9F1"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2019</w:t>
            </w:r>
          </w:p>
        </w:tc>
      </w:tr>
      <w:tr w:rsidR="009159BE" w:rsidRPr="00FD4EE9" w14:paraId="59FE116D" w14:textId="77777777" w:rsidTr="009159BE">
        <w:tc>
          <w:tcPr>
            <w:tcW w:w="2269" w:type="dxa"/>
            <w:tcBorders>
              <w:top w:val="nil"/>
              <w:left w:val="single" w:sz="4" w:space="0" w:color="auto"/>
              <w:bottom w:val="nil"/>
              <w:right w:val="nil"/>
            </w:tcBorders>
          </w:tcPr>
          <w:p w14:paraId="7AA4C5BB"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Surinder Singh Sambi</w:t>
            </w:r>
          </w:p>
        </w:tc>
        <w:tc>
          <w:tcPr>
            <w:tcW w:w="3827" w:type="dxa"/>
            <w:tcBorders>
              <w:top w:val="nil"/>
              <w:left w:val="nil"/>
              <w:bottom w:val="nil"/>
              <w:right w:val="nil"/>
            </w:tcBorders>
          </w:tcPr>
          <w:p w14:paraId="1E4281C9"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Indian Institute of Chemical Engineers (Northern Region)</w:t>
            </w:r>
          </w:p>
        </w:tc>
        <w:tc>
          <w:tcPr>
            <w:tcW w:w="1417" w:type="dxa"/>
            <w:tcBorders>
              <w:top w:val="nil"/>
              <w:left w:val="nil"/>
              <w:bottom w:val="nil"/>
              <w:right w:val="nil"/>
            </w:tcBorders>
          </w:tcPr>
          <w:p w14:paraId="7879B064"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India</w:t>
            </w:r>
          </w:p>
        </w:tc>
        <w:tc>
          <w:tcPr>
            <w:tcW w:w="1418" w:type="dxa"/>
            <w:tcBorders>
              <w:top w:val="nil"/>
              <w:left w:val="nil"/>
              <w:bottom w:val="nil"/>
              <w:right w:val="nil"/>
            </w:tcBorders>
          </w:tcPr>
          <w:p w14:paraId="6F70EB41"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2018</w:t>
            </w:r>
          </w:p>
        </w:tc>
      </w:tr>
      <w:tr w:rsidR="009159BE" w:rsidRPr="00FD4EE9" w14:paraId="7F2FB460" w14:textId="77777777" w:rsidTr="009159BE">
        <w:tc>
          <w:tcPr>
            <w:tcW w:w="2269" w:type="dxa"/>
            <w:tcBorders>
              <w:top w:val="nil"/>
              <w:left w:val="single" w:sz="4" w:space="0" w:color="auto"/>
              <w:bottom w:val="nil"/>
              <w:right w:val="nil"/>
            </w:tcBorders>
          </w:tcPr>
          <w:p w14:paraId="02EF6356"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Roland Stechert</w:t>
            </w:r>
          </w:p>
        </w:tc>
        <w:tc>
          <w:tcPr>
            <w:tcW w:w="3827" w:type="dxa"/>
            <w:tcBorders>
              <w:top w:val="nil"/>
              <w:left w:val="nil"/>
              <w:bottom w:val="nil"/>
              <w:right w:val="nil"/>
            </w:tcBorders>
          </w:tcPr>
          <w:p w14:paraId="34C27A76"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 xml:space="preserve">Boehringer Ingelheim </w:t>
            </w:r>
          </w:p>
        </w:tc>
        <w:tc>
          <w:tcPr>
            <w:tcW w:w="1417" w:type="dxa"/>
            <w:tcBorders>
              <w:top w:val="nil"/>
              <w:left w:val="nil"/>
              <w:bottom w:val="nil"/>
              <w:right w:val="nil"/>
            </w:tcBorders>
          </w:tcPr>
          <w:p w14:paraId="23E0DEC2"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Germany</w:t>
            </w:r>
          </w:p>
        </w:tc>
        <w:tc>
          <w:tcPr>
            <w:tcW w:w="1418" w:type="dxa"/>
            <w:tcBorders>
              <w:top w:val="nil"/>
              <w:left w:val="nil"/>
              <w:bottom w:val="nil"/>
              <w:right w:val="nil"/>
            </w:tcBorders>
          </w:tcPr>
          <w:p w14:paraId="04CE7373"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2018</w:t>
            </w:r>
          </w:p>
        </w:tc>
      </w:tr>
      <w:tr w:rsidR="009159BE" w:rsidRPr="00FD4EE9" w14:paraId="78DD32B8" w14:textId="77777777" w:rsidTr="009159BE">
        <w:tc>
          <w:tcPr>
            <w:tcW w:w="2269" w:type="dxa"/>
            <w:tcBorders>
              <w:top w:val="nil"/>
              <w:left w:val="single" w:sz="4" w:space="0" w:color="auto"/>
              <w:bottom w:val="nil"/>
              <w:right w:val="nil"/>
            </w:tcBorders>
          </w:tcPr>
          <w:p w14:paraId="6427D084"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Kristine Whorlow</w:t>
            </w:r>
          </w:p>
        </w:tc>
        <w:tc>
          <w:tcPr>
            <w:tcW w:w="3827" w:type="dxa"/>
            <w:tcBorders>
              <w:top w:val="nil"/>
              <w:left w:val="nil"/>
              <w:bottom w:val="nil"/>
              <w:right w:val="nil"/>
            </w:tcBorders>
          </w:tcPr>
          <w:p w14:paraId="66774BB7" w14:textId="78AF1227" w:rsidR="009159BE" w:rsidRPr="00FD4EE9" w:rsidRDefault="009159BE" w:rsidP="008350E2">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Nat</w:t>
            </w:r>
            <w:r w:rsidR="008350E2">
              <w:rPr>
                <w:sz w:val="20"/>
              </w:rPr>
              <w:t>ional</w:t>
            </w:r>
            <w:r w:rsidRPr="00FD4EE9">
              <w:rPr>
                <w:sz w:val="20"/>
              </w:rPr>
              <w:t xml:space="preserve"> Asthma Council</w:t>
            </w:r>
            <w:r w:rsidR="008350E2">
              <w:rPr>
                <w:sz w:val="20"/>
              </w:rPr>
              <w:t xml:space="preserve"> Australia</w:t>
            </w:r>
          </w:p>
        </w:tc>
        <w:tc>
          <w:tcPr>
            <w:tcW w:w="1417" w:type="dxa"/>
            <w:tcBorders>
              <w:top w:val="nil"/>
              <w:left w:val="nil"/>
              <w:bottom w:val="nil"/>
              <w:right w:val="nil"/>
            </w:tcBorders>
          </w:tcPr>
          <w:p w14:paraId="09A09DAD"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Australia</w:t>
            </w:r>
          </w:p>
        </w:tc>
        <w:tc>
          <w:tcPr>
            <w:tcW w:w="1418" w:type="dxa"/>
            <w:tcBorders>
              <w:top w:val="nil"/>
              <w:left w:val="nil"/>
              <w:bottom w:val="nil"/>
              <w:right w:val="nil"/>
            </w:tcBorders>
          </w:tcPr>
          <w:p w14:paraId="71CDA26D"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2018</w:t>
            </w:r>
          </w:p>
        </w:tc>
      </w:tr>
      <w:tr w:rsidR="009159BE" w:rsidRPr="00FD4EE9" w14:paraId="53B9B1D2" w14:textId="77777777" w:rsidTr="009159BE">
        <w:tc>
          <w:tcPr>
            <w:tcW w:w="2269" w:type="dxa"/>
            <w:tcBorders>
              <w:top w:val="nil"/>
              <w:left w:val="single" w:sz="4" w:space="0" w:color="auto"/>
              <w:bottom w:val="nil"/>
              <w:right w:val="nil"/>
            </w:tcBorders>
          </w:tcPr>
          <w:p w14:paraId="58EFB840"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Ashley Woodcock</w:t>
            </w:r>
          </w:p>
        </w:tc>
        <w:tc>
          <w:tcPr>
            <w:tcW w:w="3827" w:type="dxa"/>
            <w:tcBorders>
              <w:top w:val="nil"/>
              <w:left w:val="nil"/>
              <w:bottom w:val="nil"/>
              <w:right w:val="nil"/>
            </w:tcBorders>
          </w:tcPr>
          <w:p w14:paraId="7BCFFEBD" w14:textId="77777777" w:rsidR="00492FE0" w:rsidRDefault="009159BE" w:rsidP="00492FE0">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Univ</w:t>
            </w:r>
            <w:r w:rsidR="00C40A7B" w:rsidRPr="00FD4EE9">
              <w:rPr>
                <w:sz w:val="20"/>
              </w:rPr>
              <w:t>ersity</w:t>
            </w:r>
            <w:r w:rsidR="008350E2">
              <w:rPr>
                <w:sz w:val="20"/>
              </w:rPr>
              <w:t xml:space="preserve"> </w:t>
            </w:r>
            <w:r w:rsidR="00C40A7B" w:rsidRPr="00FD4EE9">
              <w:rPr>
                <w:sz w:val="20"/>
              </w:rPr>
              <w:t>of</w:t>
            </w:r>
            <w:r w:rsidRPr="00FD4EE9">
              <w:rPr>
                <w:sz w:val="20"/>
              </w:rPr>
              <w:t xml:space="preserve"> </w:t>
            </w:r>
          </w:p>
          <w:p w14:paraId="7F7C4F61" w14:textId="756CA632" w:rsidR="009159BE" w:rsidRPr="00FD4EE9" w:rsidRDefault="008350E2" w:rsidP="00492FE0">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Pr>
                <w:sz w:val="20"/>
              </w:rPr>
              <w:t xml:space="preserve"> </w:t>
            </w:r>
            <w:r w:rsidR="009159BE" w:rsidRPr="00FD4EE9">
              <w:rPr>
                <w:sz w:val="20"/>
              </w:rPr>
              <w:t xml:space="preserve">Manchester </w:t>
            </w:r>
          </w:p>
        </w:tc>
        <w:tc>
          <w:tcPr>
            <w:tcW w:w="1417" w:type="dxa"/>
            <w:tcBorders>
              <w:top w:val="nil"/>
              <w:left w:val="nil"/>
              <w:bottom w:val="nil"/>
              <w:right w:val="nil"/>
            </w:tcBorders>
          </w:tcPr>
          <w:p w14:paraId="5EFE3E2A"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UK</w:t>
            </w:r>
          </w:p>
        </w:tc>
        <w:tc>
          <w:tcPr>
            <w:tcW w:w="1418" w:type="dxa"/>
            <w:tcBorders>
              <w:top w:val="nil"/>
              <w:left w:val="nil"/>
              <w:bottom w:val="nil"/>
              <w:right w:val="nil"/>
            </w:tcBorders>
          </w:tcPr>
          <w:p w14:paraId="5AA3A9E6"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2019</w:t>
            </w:r>
          </w:p>
        </w:tc>
      </w:tr>
      <w:tr w:rsidR="009159BE" w:rsidRPr="00FD4EE9" w14:paraId="1F86EB17" w14:textId="77777777" w:rsidTr="009159BE">
        <w:tc>
          <w:tcPr>
            <w:tcW w:w="2269" w:type="dxa"/>
            <w:tcBorders>
              <w:top w:val="nil"/>
              <w:left w:val="single" w:sz="4" w:space="0" w:color="auto"/>
              <w:bottom w:val="nil"/>
              <w:right w:val="nil"/>
            </w:tcBorders>
          </w:tcPr>
          <w:p w14:paraId="15E7BA41" w14:textId="58567F0A" w:rsidR="009159BE" w:rsidRPr="00FD4EE9" w:rsidRDefault="009159BE" w:rsidP="008350E2">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 xml:space="preserve">Yizhong </w:t>
            </w:r>
            <w:r w:rsidR="008350E2">
              <w:rPr>
                <w:sz w:val="20"/>
              </w:rPr>
              <w:t>You</w:t>
            </w:r>
          </w:p>
        </w:tc>
        <w:tc>
          <w:tcPr>
            <w:tcW w:w="3827" w:type="dxa"/>
            <w:tcBorders>
              <w:top w:val="nil"/>
              <w:left w:val="nil"/>
              <w:bottom w:val="nil"/>
              <w:right w:val="nil"/>
            </w:tcBorders>
          </w:tcPr>
          <w:p w14:paraId="75E117D7"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Journal of Aerosol Communication</w:t>
            </w:r>
          </w:p>
        </w:tc>
        <w:tc>
          <w:tcPr>
            <w:tcW w:w="1417" w:type="dxa"/>
            <w:tcBorders>
              <w:top w:val="nil"/>
              <w:left w:val="nil"/>
              <w:bottom w:val="nil"/>
              <w:right w:val="nil"/>
            </w:tcBorders>
          </w:tcPr>
          <w:p w14:paraId="575C9734"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China</w:t>
            </w:r>
          </w:p>
        </w:tc>
        <w:tc>
          <w:tcPr>
            <w:tcW w:w="1418" w:type="dxa"/>
            <w:tcBorders>
              <w:top w:val="nil"/>
              <w:left w:val="nil"/>
              <w:bottom w:val="nil"/>
              <w:right w:val="nil"/>
            </w:tcBorders>
          </w:tcPr>
          <w:p w14:paraId="162188B9" w14:textId="77777777" w:rsidR="009159BE" w:rsidRPr="00FD4EE9" w:rsidRDefault="009159BE"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2018</w:t>
            </w:r>
          </w:p>
        </w:tc>
      </w:tr>
      <w:tr w:rsidR="008350E2" w:rsidRPr="00FD4EE9" w14:paraId="37B0EE2E" w14:textId="77777777" w:rsidTr="009159BE">
        <w:tc>
          <w:tcPr>
            <w:tcW w:w="2269" w:type="dxa"/>
            <w:tcBorders>
              <w:top w:val="nil"/>
              <w:left w:val="single" w:sz="4" w:space="0" w:color="auto"/>
              <w:bottom w:val="nil"/>
              <w:right w:val="nil"/>
            </w:tcBorders>
          </w:tcPr>
          <w:p w14:paraId="36518173" w14:textId="19AE35AD" w:rsidR="008350E2" w:rsidRPr="008350E2" w:rsidRDefault="008350E2" w:rsidP="0015746F">
            <w:pPr>
              <w:keepNext/>
              <w:keepLines/>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b/>
                <w:sz w:val="20"/>
              </w:rPr>
            </w:pPr>
            <w:r w:rsidRPr="008350E2">
              <w:rPr>
                <w:b/>
                <w:sz w:val="20"/>
              </w:rPr>
              <w:lastRenderedPageBreak/>
              <w:t>Consulting Experts</w:t>
            </w:r>
          </w:p>
        </w:tc>
        <w:tc>
          <w:tcPr>
            <w:tcW w:w="3827" w:type="dxa"/>
            <w:tcBorders>
              <w:top w:val="nil"/>
              <w:left w:val="nil"/>
              <w:bottom w:val="nil"/>
              <w:right w:val="nil"/>
            </w:tcBorders>
          </w:tcPr>
          <w:p w14:paraId="6FDFF4B6" w14:textId="4B4DF4F4" w:rsidR="008350E2" w:rsidRPr="008350E2" w:rsidRDefault="008350E2" w:rsidP="0015746F">
            <w:pPr>
              <w:keepNext/>
              <w:keepLines/>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b/>
                <w:sz w:val="20"/>
              </w:rPr>
            </w:pPr>
            <w:r w:rsidRPr="008350E2">
              <w:rPr>
                <w:b/>
                <w:sz w:val="20"/>
              </w:rPr>
              <w:t>Affiliation</w:t>
            </w:r>
          </w:p>
        </w:tc>
        <w:tc>
          <w:tcPr>
            <w:tcW w:w="1417" w:type="dxa"/>
            <w:tcBorders>
              <w:top w:val="nil"/>
              <w:left w:val="nil"/>
              <w:bottom w:val="nil"/>
              <w:right w:val="nil"/>
            </w:tcBorders>
          </w:tcPr>
          <w:p w14:paraId="7DBBE572" w14:textId="08BB1CF2" w:rsidR="008350E2" w:rsidRPr="008350E2" w:rsidRDefault="008350E2" w:rsidP="0015746F">
            <w:pPr>
              <w:keepNext/>
              <w:keepLines/>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b/>
                <w:sz w:val="20"/>
              </w:rPr>
            </w:pPr>
            <w:r w:rsidRPr="008350E2">
              <w:rPr>
                <w:b/>
                <w:sz w:val="20"/>
              </w:rPr>
              <w:t>Country</w:t>
            </w:r>
          </w:p>
        </w:tc>
        <w:tc>
          <w:tcPr>
            <w:tcW w:w="1418" w:type="dxa"/>
            <w:tcBorders>
              <w:top w:val="nil"/>
              <w:left w:val="nil"/>
              <w:bottom w:val="nil"/>
              <w:right w:val="nil"/>
            </w:tcBorders>
          </w:tcPr>
          <w:p w14:paraId="2C5E4605" w14:textId="67A8B8F1" w:rsidR="008350E2" w:rsidRPr="008350E2" w:rsidRDefault="008350E2" w:rsidP="0015746F">
            <w:pPr>
              <w:keepNext/>
              <w:keepLines/>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b/>
                <w:sz w:val="20"/>
              </w:rPr>
            </w:pPr>
            <w:r>
              <w:rPr>
                <w:b/>
                <w:sz w:val="20"/>
              </w:rPr>
              <w:t>One year renewable terms</w:t>
            </w:r>
            <w:r w:rsidRPr="008350E2">
              <w:rPr>
                <w:b/>
                <w:sz w:val="20"/>
              </w:rPr>
              <w:t xml:space="preserve"> </w:t>
            </w:r>
          </w:p>
        </w:tc>
      </w:tr>
      <w:tr w:rsidR="008350E2" w:rsidRPr="00FD4EE9" w14:paraId="1A71B6E1" w14:textId="77777777" w:rsidTr="00034252">
        <w:tc>
          <w:tcPr>
            <w:tcW w:w="2269" w:type="dxa"/>
            <w:tcBorders>
              <w:top w:val="nil"/>
              <w:left w:val="single" w:sz="4" w:space="0" w:color="auto"/>
              <w:bottom w:val="nil"/>
              <w:right w:val="nil"/>
            </w:tcBorders>
            <w:vAlign w:val="center"/>
          </w:tcPr>
          <w:p w14:paraId="56674011" w14:textId="3FBFBB36" w:rsidR="008350E2" w:rsidRPr="008350E2" w:rsidRDefault="008350E2" w:rsidP="008350E2">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b/>
                <w:sz w:val="20"/>
              </w:rPr>
            </w:pPr>
            <w:r w:rsidRPr="00196EDE">
              <w:rPr>
                <w:color w:val="auto"/>
                <w:sz w:val="20"/>
                <w:lang w:val="en-AU" w:eastAsia="en-US"/>
              </w:rPr>
              <w:t>Archie McCulloch</w:t>
            </w:r>
          </w:p>
        </w:tc>
        <w:tc>
          <w:tcPr>
            <w:tcW w:w="3827" w:type="dxa"/>
            <w:tcBorders>
              <w:top w:val="nil"/>
              <w:left w:val="nil"/>
              <w:bottom w:val="nil"/>
              <w:right w:val="nil"/>
            </w:tcBorders>
            <w:vAlign w:val="center"/>
          </w:tcPr>
          <w:p w14:paraId="5211B0CE" w14:textId="397DCCE7" w:rsidR="008350E2" w:rsidRPr="008350E2" w:rsidRDefault="008350E2"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b/>
                <w:sz w:val="20"/>
              </w:rPr>
            </w:pPr>
            <w:r w:rsidRPr="00196EDE">
              <w:rPr>
                <w:sz w:val="20"/>
                <w:lang w:val="en-AU" w:eastAsia="en-US"/>
              </w:rPr>
              <w:t>Independent Consultant to European Fluorocarbon Technical Committee (EFCTC)</w:t>
            </w:r>
          </w:p>
        </w:tc>
        <w:tc>
          <w:tcPr>
            <w:tcW w:w="1417" w:type="dxa"/>
            <w:tcBorders>
              <w:top w:val="nil"/>
              <w:left w:val="nil"/>
              <w:bottom w:val="nil"/>
              <w:right w:val="nil"/>
            </w:tcBorders>
            <w:vAlign w:val="center"/>
          </w:tcPr>
          <w:p w14:paraId="0BB8A681" w14:textId="2A2A7BEE" w:rsidR="008350E2" w:rsidRPr="008350E2" w:rsidRDefault="008350E2"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b/>
                <w:sz w:val="20"/>
              </w:rPr>
            </w:pPr>
            <w:r w:rsidRPr="00196EDE">
              <w:rPr>
                <w:color w:val="auto"/>
                <w:sz w:val="20"/>
                <w:lang w:val="en-AU" w:eastAsia="en-US"/>
              </w:rPr>
              <w:t>United Kingdom</w:t>
            </w:r>
          </w:p>
        </w:tc>
        <w:tc>
          <w:tcPr>
            <w:tcW w:w="1418" w:type="dxa"/>
            <w:tcBorders>
              <w:top w:val="nil"/>
              <w:left w:val="nil"/>
              <w:bottom w:val="nil"/>
              <w:right w:val="nil"/>
            </w:tcBorders>
          </w:tcPr>
          <w:p w14:paraId="45D86A45" w14:textId="464E9891" w:rsidR="008350E2" w:rsidRPr="008350E2" w:rsidRDefault="008350E2"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b/>
                <w:sz w:val="20"/>
              </w:rPr>
            </w:pPr>
          </w:p>
        </w:tc>
      </w:tr>
      <w:tr w:rsidR="008350E2" w:rsidRPr="00FD4EE9" w14:paraId="641D3B54" w14:textId="77777777" w:rsidTr="00034252">
        <w:tc>
          <w:tcPr>
            <w:tcW w:w="2269" w:type="dxa"/>
            <w:tcBorders>
              <w:top w:val="nil"/>
              <w:left w:val="single" w:sz="4" w:space="0" w:color="auto"/>
              <w:bottom w:val="nil"/>
              <w:right w:val="nil"/>
            </w:tcBorders>
          </w:tcPr>
          <w:p w14:paraId="6C23DB19" w14:textId="3E79A327" w:rsidR="008350E2" w:rsidRPr="00196EDE" w:rsidRDefault="008350E2" w:rsidP="008350E2">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color w:val="auto"/>
                <w:sz w:val="20"/>
                <w:lang w:val="en-AU" w:eastAsia="en-US"/>
              </w:rPr>
            </w:pPr>
            <w:r w:rsidRPr="00FD4EE9">
              <w:rPr>
                <w:sz w:val="20"/>
              </w:rPr>
              <w:t>Hideo Mori</w:t>
            </w:r>
          </w:p>
        </w:tc>
        <w:tc>
          <w:tcPr>
            <w:tcW w:w="3827" w:type="dxa"/>
            <w:tcBorders>
              <w:top w:val="nil"/>
              <w:left w:val="nil"/>
              <w:bottom w:val="nil"/>
              <w:right w:val="nil"/>
            </w:tcBorders>
          </w:tcPr>
          <w:p w14:paraId="36993901" w14:textId="5B74D526" w:rsidR="008350E2" w:rsidRPr="00196EDE" w:rsidRDefault="008350E2"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lang w:val="en-AU" w:eastAsia="en-US"/>
              </w:rPr>
            </w:pPr>
            <w:r w:rsidRPr="00FD4EE9">
              <w:rPr>
                <w:sz w:val="20"/>
              </w:rPr>
              <w:t>Tokushima Regional Energy</w:t>
            </w:r>
          </w:p>
        </w:tc>
        <w:tc>
          <w:tcPr>
            <w:tcW w:w="1417" w:type="dxa"/>
            <w:tcBorders>
              <w:top w:val="nil"/>
              <w:left w:val="nil"/>
              <w:bottom w:val="nil"/>
              <w:right w:val="nil"/>
            </w:tcBorders>
          </w:tcPr>
          <w:p w14:paraId="2F2CBCFF" w14:textId="2C2205AC" w:rsidR="008350E2" w:rsidRPr="00196EDE" w:rsidRDefault="008350E2"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color w:val="auto"/>
                <w:sz w:val="20"/>
                <w:lang w:val="en-AU" w:eastAsia="en-US"/>
              </w:rPr>
            </w:pPr>
            <w:r w:rsidRPr="00FD4EE9">
              <w:rPr>
                <w:sz w:val="20"/>
              </w:rPr>
              <w:t>Japan</w:t>
            </w:r>
          </w:p>
        </w:tc>
        <w:tc>
          <w:tcPr>
            <w:tcW w:w="1418" w:type="dxa"/>
            <w:tcBorders>
              <w:top w:val="nil"/>
              <w:left w:val="nil"/>
              <w:bottom w:val="nil"/>
              <w:right w:val="nil"/>
            </w:tcBorders>
          </w:tcPr>
          <w:p w14:paraId="625B501C" w14:textId="77777777" w:rsidR="008350E2" w:rsidRPr="008350E2" w:rsidRDefault="008350E2"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b/>
                <w:sz w:val="20"/>
              </w:rPr>
            </w:pPr>
          </w:p>
        </w:tc>
      </w:tr>
      <w:tr w:rsidR="008350E2" w:rsidRPr="00FD4EE9" w14:paraId="0BCCA008" w14:textId="77777777" w:rsidTr="00034252">
        <w:tc>
          <w:tcPr>
            <w:tcW w:w="2269" w:type="dxa"/>
            <w:tcBorders>
              <w:top w:val="nil"/>
              <w:left w:val="single" w:sz="4" w:space="0" w:color="auto"/>
              <w:bottom w:val="nil"/>
              <w:right w:val="nil"/>
            </w:tcBorders>
            <w:vAlign w:val="center"/>
          </w:tcPr>
          <w:p w14:paraId="551E8082" w14:textId="1BA2F39B" w:rsidR="008350E2" w:rsidRPr="00FD4EE9" w:rsidRDefault="008350E2" w:rsidP="008350E2">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196EDE">
              <w:rPr>
                <w:color w:val="auto"/>
                <w:sz w:val="20"/>
                <w:lang w:val="en-AU" w:eastAsia="en-US"/>
              </w:rPr>
              <w:t>Lifei Zhang</w:t>
            </w:r>
          </w:p>
        </w:tc>
        <w:tc>
          <w:tcPr>
            <w:tcW w:w="3827" w:type="dxa"/>
            <w:tcBorders>
              <w:top w:val="nil"/>
              <w:left w:val="nil"/>
              <w:bottom w:val="nil"/>
              <w:right w:val="nil"/>
            </w:tcBorders>
            <w:vAlign w:val="center"/>
          </w:tcPr>
          <w:p w14:paraId="0E34E7F3" w14:textId="55683382" w:rsidR="008350E2" w:rsidRPr="00FD4EE9" w:rsidRDefault="008350E2"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196EDE">
              <w:rPr>
                <w:sz w:val="20"/>
                <w:lang w:val="en-AU" w:eastAsia="en-US"/>
              </w:rPr>
              <w:t>National Research Center for Environmental Analysis and Measurement</w:t>
            </w:r>
          </w:p>
        </w:tc>
        <w:tc>
          <w:tcPr>
            <w:tcW w:w="1417" w:type="dxa"/>
            <w:tcBorders>
              <w:top w:val="nil"/>
              <w:left w:val="nil"/>
              <w:bottom w:val="nil"/>
              <w:right w:val="nil"/>
            </w:tcBorders>
            <w:vAlign w:val="center"/>
          </w:tcPr>
          <w:p w14:paraId="1EB31E43" w14:textId="198CF6E5" w:rsidR="008350E2" w:rsidRPr="00FD4EE9" w:rsidRDefault="008350E2"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196EDE">
              <w:rPr>
                <w:color w:val="auto"/>
                <w:sz w:val="20"/>
                <w:lang w:val="en-AU" w:eastAsia="en-US"/>
              </w:rPr>
              <w:t>China</w:t>
            </w:r>
          </w:p>
        </w:tc>
        <w:tc>
          <w:tcPr>
            <w:tcW w:w="1418" w:type="dxa"/>
            <w:tcBorders>
              <w:top w:val="nil"/>
              <w:left w:val="nil"/>
              <w:bottom w:val="nil"/>
              <w:right w:val="nil"/>
            </w:tcBorders>
          </w:tcPr>
          <w:p w14:paraId="589CA0AB" w14:textId="77777777" w:rsidR="008350E2" w:rsidRPr="008350E2" w:rsidRDefault="008350E2"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b/>
                <w:sz w:val="20"/>
              </w:rPr>
            </w:pPr>
          </w:p>
        </w:tc>
      </w:tr>
    </w:tbl>
    <w:p w14:paraId="15F58895" w14:textId="77777777" w:rsidR="00BE4BB0" w:rsidRPr="00807C7E" w:rsidRDefault="0040537B">
      <w:pPr>
        <w:spacing w:after="0"/>
        <w:rPr>
          <w:sz w:val="20"/>
        </w:rPr>
      </w:pPr>
      <w:r w:rsidRPr="00807C7E">
        <w:rPr>
          <w:i/>
          <w:sz w:val="20"/>
        </w:rPr>
        <w:t>* Indicates members whose terms expire at the end of the current year</w:t>
      </w:r>
      <w:r w:rsidRPr="00807C7E">
        <w:rPr>
          <w:sz w:val="20"/>
        </w:rPr>
        <w:t xml:space="preserve"> </w:t>
      </w:r>
      <w:r w:rsidR="00BE4BB0" w:rsidRPr="00807C7E">
        <w:rPr>
          <w:sz w:val="20"/>
        </w:rPr>
        <w:br w:type="page"/>
      </w:r>
    </w:p>
    <w:p w14:paraId="2456C7A6" w14:textId="1775CF2C" w:rsidR="00AD4B2A" w:rsidRDefault="00053765" w:rsidP="00413E4A">
      <w:pPr>
        <w:pStyle w:val="Heading2"/>
      </w:pPr>
      <w:bookmarkStart w:id="283" w:name="_Toc484164412"/>
      <w:r>
        <w:lastRenderedPageBreak/>
        <w:t>5.</w:t>
      </w:r>
      <w:r w:rsidR="00857553">
        <w:tab/>
      </w:r>
      <w:r w:rsidR="00591AA8" w:rsidRPr="00FD4EE9">
        <w:t>TEAP Methyl Bromide Technical Options Committee (MBTOC)</w:t>
      </w:r>
      <w:bookmarkEnd w:id="283"/>
    </w:p>
    <w:p w14:paraId="57DE9820" w14:textId="6165906A" w:rsidR="00B2021F" w:rsidRPr="00B2021F" w:rsidRDefault="00B2021F" w:rsidP="00B2021F">
      <w:r>
        <w:t xml:space="preserve">Current appointment terms for the three MBTOC co-chairs </w:t>
      </w:r>
      <w:r w:rsidR="001F5725">
        <w:t>finalise at the end of</w:t>
      </w:r>
      <w:r>
        <w:t xml:space="preserve"> the current year.</w:t>
      </w:r>
    </w:p>
    <w:tbl>
      <w:tblPr>
        <w:tblW w:w="8931" w:type="dxa"/>
        <w:tblInd w:w="-34" w:type="dxa"/>
        <w:tblLayout w:type="fixed"/>
        <w:tblLook w:val="0000" w:firstRow="0" w:lastRow="0" w:firstColumn="0" w:lastColumn="0" w:noHBand="0" w:noVBand="0"/>
      </w:tblPr>
      <w:tblGrid>
        <w:gridCol w:w="2269"/>
        <w:gridCol w:w="3827"/>
        <w:gridCol w:w="1417"/>
        <w:gridCol w:w="1418"/>
      </w:tblGrid>
      <w:tr w:rsidR="00357AA5" w:rsidRPr="00FD4EE9" w14:paraId="1BA1940A" w14:textId="77777777" w:rsidTr="00132C6A">
        <w:tc>
          <w:tcPr>
            <w:tcW w:w="2269" w:type="dxa"/>
            <w:tcBorders>
              <w:top w:val="nil"/>
              <w:left w:val="single" w:sz="4" w:space="0" w:color="auto"/>
              <w:bottom w:val="nil"/>
              <w:right w:val="nil"/>
            </w:tcBorders>
          </w:tcPr>
          <w:p w14:paraId="3035E5E6" w14:textId="77777777" w:rsidR="00357AA5" w:rsidRPr="00FD4EE9" w:rsidRDefault="00357AA5"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b/>
                <w:sz w:val="20"/>
              </w:rPr>
            </w:pPr>
            <w:r w:rsidRPr="00FD4EE9">
              <w:rPr>
                <w:b/>
                <w:sz w:val="20"/>
              </w:rPr>
              <w:t>Co-chairs</w:t>
            </w:r>
          </w:p>
        </w:tc>
        <w:tc>
          <w:tcPr>
            <w:tcW w:w="3827" w:type="dxa"/>
            <w:tcBorders>
              <w:top w:val="nil"/>
              <w:left w:val="nil"/>
              <w:bottom w:val="nil"/>
              <w:right w:val="nil"/>
            </w:tcBorders>
          </w:tcPr>
          <w:p w14:paraId="1EC1840B" w14:textId="77777777" w:rsidR="00357AA5" w:rsidRPr="00FD4EE9" w:rsidRDefault="00357AA5"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b/>
                <w:sz w:val="20"/>
              </w:rPr>
            </w:pPr>
            <w:r w:rsidRPr="00FD4EE9">
              <w:rPr>
                <w:b/>
                <w:sz w:val="20"/>
              </w:rPr>
              <w:t>Affiliation</w:t>
            </w:r>
          </w:p>
        </w:tc>
        <w:tc>
          <w:tcPr>
            <w:tcW w:w="1417" w:type="dxa"/>
            <w:tcBorders>
              <w:top w:val="nil"/>
              <w:left w:val="nil"/>
              <w:bottom w:val="nil"/>
              <w:right w:val="nil"/>
            </w:tcBorders>
          </w:tcPr>
          <w:p w14:paraId="00F36B86" w14:textId="77777777" w:rsidR="00357AA5" w:rsidRPr="00FD4EE9" w:rsidRDefault="00357AA5"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b/>
                <w:sz w:val="20"/>
              </w:rPr>
            </w:pPr>
            <w:r w:rsidRPr="00FD4EE9">
              <w:rPr>
                <w:b/>
                <w:sz w:val="20"/>
              </w:rPr>
              <w:t>Country</w:t>
            </w:r>
          </w:p>
        </w:tc>
        <w:tc>
          <w:tcPr>
            <w:tcW w:w="1418" w:type="dxa"/>
            <w:tcBorders>
              <w:top w:val="nil"/>
              <w:left w:val="nil"/>
              <w:bottom w:val="nil"/>
              <w:right w:val="nil"/>
            </w:tcBorders>
          </w:tcPr>
          <w:p w14:paraId="157098C6" w14:textId="77777777" w:rsidR="00357AA5" w:rsidRPr="00FD4EE9" w:rsidRDefault="00357AA5"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b/>
                <w:sz w:val="20"/>
              </w:rPr>
            </w:pPr>
            <w:r w:rsidRPr="00FD4EE9">
              <w:rPr>
                <w:b/>
                <w:sz w:val="20"/>
              </w:rPr>
              <w:t>Appointed through</w:t>
            </w:r>
          </w:p>
        </w:tc>
      </w:tr>
      <w:tr w:rsidR="00357AA5" w:rsidRPr="00FD4EE9" w14:paraId="2D513072" w14:textId="77777777" w:rsidTr="00132C6A">
        <w:tc>
          <w:tcPr>
            <w:tcW w:w="2269" w:type="dxa"/>
            <w:tcBorders>
              <w:top w:val="nil"/>
              <w:left w:val="single" w:sz="4" w:space="0" w:color="auto"/>
              <w:bottom w:val="nil"/>
              <w:right w:val="nil"/>
            </w:tcBorders>
          </w:tcPr>
          <w:p w14:paraId="20B8F3C7" w14:textId="77777777" w:rsidR="00357AA5" w:rsidRPr="00FD4EE9" w:rsidRDefault="00357AA5"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Mohamed Besri</w:t>
            </w:r>
          </w:p>
        </w:tc>
        <w:tc>
          <w:tcPr>
            <w:tcW w:w="3827" w:type="dxa"/>
            <w:tcBorders>
              <w:top w:val="nil"/>
              <w:left w:val="nil"/>
              <w:bottom w:val="nil"/>
              <w:right w:val="nil"/>
            </w:tcBorders>
          </w:tcPr>
          <w:p w14:paraId="726CD499" w14:textId="02C3015E" w:rsidR="00357AA5" w:rsidRPr="00FD4EE9" w:rsidRDefault="0093171A"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Pr>
                <w:sz w:val="20"/>
              </w:rPr>
              <w:t xml:space="preserve">Emeritus Professor, </w:t>
            </w:r>
            <w:r w:rsidR="00357AA5" w:rsidRPr="00FD4EE9">
              <w:rPr>
                <w:sz w:val="20"/>
              </w:rPr>
              <w:t>Institut Agronomique et Vétérinaire Hassan II</w:t>
            </w:r>
          </w:p>
        </w:tc>
        <w:tc>
          <w:tcPr>
            <w:tcW w:w="1417" w:type="dxa"/>
            <w:tcBorders>
              <w:top w:val="nil"/>
              <w:left w:val="nil"/>
              <w:bottom w:val="nil"/>
              <w:right w:val="nil"/>
            </w:tcBorders>
          </w:tcPr>
          <w:p w14:paraId="5424D5B9" w14:textId="77777777" w:rsidR="00357AA5" w:rsidRPr="00FD4EE9" w:rsidRDefault="00357AA5"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Morocco</w:t>
            </w:r>
          </w:p>
        </w:tc>
        <w:tc>
          <w:tcPr>
            <w:tcW w:w="1418" w:type="dxa"/>
            <w:tcBorders>
              <w:top w:val="nil"/>
              <w:left w:val="nil"/>
              <w:bottom w:val="nil"/>
              <w:right w:val="nil"/>
            </w:tcBorders>
          </w:tcPr>
          <w:p w14:paraId="2427FE3D" w14:textId="0E1811DF" w:rsidR="00357AA5" w:rsidRPr="00FD4EE9" w:rsidRDefault="00357AA5"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2017</w:t>
            </w:r>
            <w:r w:rsidR="0093171A">
              <w:rPr>
                <w:sz w:val="20"/>
              </w:rPr>
              <w:t>*</w:t>
            </w:r>
          </w:p>
        </w:tc>
      </w:tr>
      <w:tr w:rsidR="00357AA5" w:rsidRPr="00FD4EE9" w14:paraId="6745B26C" w14:textId="77777777" w:rsidTr="00132C6A">
        <w:tc>
          <w:tcPr>
            <w:tcW w:w="2269" w:type="dxa"/>
            <w:tcBorders>
              <w:top w:val="nil"/>
              <w:left w:val="single" w:sz="4" w:space="0" w:color="auto"/>
              <w:bottom w:val="nil"/>
              <w:right w:val="nil"/>
            </w:tcBorders>
          </w:tcPr>
          <w:p w14:paraId="1EBC476E" w14:textId="77777777" w:rsidR="00357AA5" w:rsidRPr="00FD4EE9" w:rsidRDefault="00357AA5"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Marta Pizano</w:t>
            </w:r>
          </w:p>
        </w:tc>
        <w:tc>
          <w:tcPr>
            <w:tcW w:w="3827" w:type="dxa"/>
            <w:tcBorders>
              <w:top w:val="nil"/>
              <w:left w:val="nil"/>
              <w:bottom w:val="nil"/>
              <w:right w:val="nil"/>
            </w:tcBorders>
          </w:tcPr>
          <w:p w14:paraId="380CFB69" w14:textId="77777777" w:rsidR="00357AA5" w:rsidRPr="00FD4EE9" w:rsidRDefault="00357AA5"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Consultant - Hortitecnia Ltda</w:t>
            </w:r>
          </w:p>
        </w:tc>
        <w:tc>
          <w:tcPr>
            <w:tcW w:w="1417" w:type="dxa"/>
            <w:tcBorders>
              <w:top w:val="nil"/>
              <w:left w:val="nil"/>
              <w:bottom w:val="nil"/>
              <w:right w:val="nil"/>
            </w:tcBorders>
          </w:tcPr>
          <w:p w14:paraId="6515CAAD" w14:textId="77777777" w:rsidR="00357AA5" w:rsidRPr="00FD4EE9" w:rsidRDefault="00357AA5"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Colombia</w:t>
            </w:r>
          </w:p>
        </w:tc>
        <w:tc>
          <w:tcPr>
            <w:tcW w:w="1418" w:type="dxa"/>
            <w:tcBorders>
              <w:top w:val="nil"/>
              <w:left w:val="nil"/>
              <w:bottom w:val="nil"/>
              <w:right w:val="nil"/>
            </w:tcBorders>
          </w:tcPr>
          <w:p w14:paraId="100D3F65" w14:textId="4C725D9F" w:rsidR="00357AA5" w:rsidRPr="00FD4EE9" w:rsidRDefault="00357AA5"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2017</w:t>
            </w:r>
            <w:r w:rsidR="0093171A">
              <w:rPr>
                <w:sz w:val="20"/>
              </w:rPr>
              <w:t>*</w:t>
            </w:r>
          </w:p>
        </w:tc>
      </w:tr>
      <w:tr w:rsidR="00357AA5" w:rsidRPr="00FD4EE9" w14:paraId="6D70DA1F" w14:textId="77777777" w:rsidTr="00132C6A">
        <w:tc>
          <w:tcPr>
            <w:tcW w:w="2269" w:type="dxa"/>
            <w:tcBorders>
              <w:top w:val="nil"/>
              <w:left w:val="single" w:sz="4" w:space="0" w:color="auto"/>
              <w:bottom w:val="nil"/>
              <w:right w:val="nil"/>
            </w:tcBorders>
          </w:tcPr>
          <w:p w14:paraId="77DAC3EE" w14:textId="77777777" w:rsidR="00357AA5" w:rsidRPr="00FD4EE9" w:rsidRDefault="00357AA5"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Ian Porter</w:t>
            </w:r>
          </w:p>
        </w:tc>
        <w:tc>
          <w:tcPr>
            <w:tcW w:w="3827" w:type="dxa"/>
            <w:tcBorders>
              <w:top w:val="nil"/>
              <w:left w:val="nil"/>
              <w:bottom w:val="nil"/>
              <w:right w:val="nil"/>
            </w:tcBorders>
          </w:tcPr>
          <w:p w14:paraId="1E9B747A" w14:textId="77777777" w:rsidR="00357AA5" w:rsidRPr="00FD4EE9" w:rsidRDefault="00357AA5"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La Trobe University</w:t>
            </w:r>
          </w:p>
        </w:tc>
        <w:tc>
          <w:tcPr>
            <w:tcW w:w="1417" w:type="dxa"/>
            <w:tcBorders>
              <w:top w:val="nil"/>
              <w:left w:val="nil"/>
              <w:bottom w:val="nil"/>
              <w:right w:val="nil"/>
            </w:tcBorders>
          </w:tcPr>
          <w:p w14:paraId="4CD03F44" w14:textId="77777777" w:rsidR="00357AA5" w:rsidRPr="00FD4EE9" w:rsidRDefault="00357AA5"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Australia</w:t>
            </w:r>
          </w:p>
        </w:tc>
        <w:tc>
          <w:tcPr>
            <w:tcW w:w="1418" w:type="dxa"/>
            <w:tcBorders>
              <w:top w:val="nil"/>
              <w:left w:val="nil"/>
              <w:bottom w:val="nil"/>
              <w:right w:val="nil"/>
            </w:tcBorders>
          </w:tcPr>
          <w:p w14:paraId="6C17F076" w14:textId="5A7E83C9" w:rsidR="00357AA5" w:rsidRPr="00FD4EE9" w:rsidRDefault="00357AA5"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2017</w:t>
            </w:r>
            <w:r w:rsidR="0093171A">
              <w:rPr>
                <w:sz w:val="20"/>
              </w:rPr>
              <w:t>*</w:t>
            </w:r>
          </w:p>
        </w:tc>
      </w:tr>
      <w:tr w:rsidR="00357AA5" w:rsidRPr="00FD4EE9" w14:paraId="2277987E" w14:textId="77777777" w:rsidTr="00132C6A">
        <w:tc>
          <w:tcPr>
            <w:tcW w:w="2269" w:type="dxa"/>
            <w:tcBorders>
              <w:top w:val="nil"/>
              <w:left w:val="single" w:sz="4" w:space="0" w:color="auto"/>
              <w:bottom w:val="nil"/>
              <w:right w:val="nil"/>
            </w:tcBorders>
          </w:tcPr>
          <w:p w14:paraId="1D6CCFD3" w14:textId="77777777" w:rsidR="00357AA5" w:rsidRPr="00FD4EE9" w:rsidRDefault="00357AA5"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b/>
                <w:sz w:val="20"/>
              </w:rPr>
            </w:pPr>
            <w:r w:rsidRPr="00FD4EE9">
              <w:rPr>
                <w:b/>
                <w:sz w:val="20"/>
              </w:rPr>
              <w:t>Members</w:t>
            </w:r>
          </w:p>
        </w:tc>
        <w:tc>
          <w:tcPr>
            <w:tcW w:w="3827" w:type="dxa"/>
            <w:tcBorders>
              <w:top w:val="nil"/>
              <w:left w:val="nil"/>
              <w:bottom w:val="nil"/>
              <w:right w:val="nil"/>
            </w:tcBorders>
          </w:tcPr>
          <w:p w14:paraId="726D8F2A" w14:textId="77777777" w:rsidR="00357AA5" w:rsidRPr="00FD4EE9" w:rsidRDefault="00357AA5"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b/>
                <w:sz w:val="20"/>
              </w:rPr>
            </w:pPr>
            <w:r w:rsidRPr="00FD4EE9">
              <w:rPr>
                <w:b/>
                <w:sz w:val="20"/>
              </w:rPr>
              <w:t>Affiliation</w:t>
            </w:r>
          </w:p>
        </w:tc>
        <w:tc>
          <w:tcPr>
            <w:tcW w:w="1417" w:type="dxa"/>
            <w:tcBorders>
              <w:top w:val="nil"/>
              <w:left w:val="nil"/>
              <w:bottom w:val="nil"/>
              <w:right w:val="nil"/>
            </w:tcBorders>
          </w:tcPr>
          <w:p w14:paraId="701A4354" w14:textId="77777777" w:rsidR="00357AA5" w:rsidRPr="00FD4EE9" w:rsidRDefault="00357AA5"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b/>
                <w:sz w:val="20"/>
              </w:rPr>
            </w:pPr>
            <w:r w:rsidRPr="00FD4EE9">
              <w:rPr>
                <w:b/>
                <w:sz w:val="20"/>
              </w:rPr>
              <w:t>Country</w:t>
            </w:r>
          </w:p>
        </w:tc>
        <w:tc>
          <w:tcPr>
            <w:tcW w:w="1418" w:type="dxa"/>
            <w:tcBorders>
              <w:top w:val="nil"/>
              <w:left w:val="nil"/>
              <w:bottom w:val="nil"/>
              <w:right w:val="nil"/>
            </w:tcBorders>
          </w:tcPr>
          <w:p w14:paraId="3A95DE22" w14:textId="77777777" w:rsidR="00357AA5" w:rsidRPr="00FD4EE9" w:rsidRDefault="00357AA5"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b/>
                <w:sz w:val="20"/>
              </w:rPr>
            </w:pPr>
            <w:r w:rsidRPr="00FD4EE9">
              <w:rPr>
                <w:b/>
                <w:sz w:val="20"/>
              </w:rPr>
              <w:t>Appointed through</w:t>
            </w:r>
          </w:p>
        </w:tc>
      </w:tr>
      <w:tr w:rsidR="00357AA5" w:rsidRPr="00FD4EE9" w14:paraId="1DBEE1FF" w14:textId="77777777" w:rsidTr="00132C6A">
        <w:trPr>
          <w:trHeight w:val="115"/>
        </w:trPr>
        <w:tc>
          <w:tcPr>
            <w:tcW w:w="2269" w:type="dxa"/>
            <w:tcBorders>
              <w:top w:val="nil"/>
              <w:left w:val="single" w:sz="4" w:space="0" w:color="auto"/>
              <w:bottom w:val="nil"/>
              <w:right w:val="nil"/>
            </w:tcBorders>
          </w:tcPr>
          <w:p w14:paraId="6121E0F4" w14:textId="77777777" w:rsidR="00357AA5" w:rsidRPr="00FD4EE9" w:rsidRDefault="00357AA5"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Jonathan Banks</w:t>
            </w:r>
          </w:p>
        </w:tc>
        <w:tc>
          <w:tcPr>
            <w:tcW w:w="3827" w:type="dxa"/>
            <w:tcBorders>
              <w:top w:val="nil"/>
              <w:left w:val="nil"/>
              <w:bottom w:val="nil"/>
              <w:right w:val="nil"/>
            </w:tcBorders>
          </w:tcPr>
          <w:p w14:paraId="6BBFDFE8" w14:textId="77777777" w:rsidR="00357AA5" w:rsidRPr="00FD4EE9" w:rsidRDefault="00357AA5"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Consultant</w:t>
            </w:r>
          </w:p>
        </w:tc>
        <w:tc>
          <w:tcPr>
            <w:tcW w:w="1417" w:type="dxa"/>
            <w:tcBorders>
              <w:top w:val="nil"/>
              <w:left w:val="nil"/>
              <w:bottom w:val="nil"/>
              <w:right w:val="nil"/>
            </w:tcBorders>
          </w:tcPr>
          <w:p w14:paraId="3AFDBD5E" w14:textId="77777777" w:rsidR="00357AA5" w:rsidRPr="00FD4EE9" w:rsidRDefault="00357AA5"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Australia</w:t>
            </w:r>
          </w:p>
        </w:tc>
        <w:tc>
          <w:tcPr>
            <w:tcW w:w="1418" w:type="dxa"/>
            <w:tcBorders>
              <w:top w:val="nil"/>
              <w:left w:val="nil"/>
              <w:bottom w:val="nil"/>
              <w:right w:val="nil"/>
            </w:tcBorders>
          </w:tcPr>
          <w:p w14:paraId="3356A32E" w14:textId="0FFE2A8C" w:rsidR="00357AA5" w:rsidRPr="00FD4EE9" w:rsidRDefault="00357AA5" w:rsidP="0093171A">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w:t>
            </w:r>
            <w:r w:rsidR="0093171A">
              <w:rPr>
                <w:sz w:val="20"/>
              </w:rPr>
              <w:t>8</w:t>
            </w:r>
          </w:p>
        </w:tc>
      </w:tr>
      <w:tr w:rsidR="00357AA5" w:rsidRPr="00FD4EE9" w14:paraId="060C9DF6" w14:textId="77777777" w:rsidTr="00132C6A">
        <w:tc>
          <w:tcPr>
            <w:tcW w:w="2269" w:type="dxa"/>
            <w:tcBorders>
              <w:top w:val="nil"/>
              <w:left w:val="single" w:sz="4" w:space="0" w:color="auto"/>
              <w:bottom w:val="nil"/>
              <w:right w:val="nil"/>
            </w:tcBorders>
          </w:tcPr>
          <w:p w14:paraId="3EF0B5A6" w14:textId="77777777" w:rsidR="00357AA5" w:rsidRPr="00FD4EE9" w:rsidRDefault="00357AA5"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Fred Bergwerff</w:t>
            </w:r>
          </w:p>
        </w:tc>
        <w:tc>
          <w:tcPr>
            <w:tcW w:w="3827" w:type="dxa"/>
            <w:tcBorders>
              <w:top w:val="nil"/>
              <w:left w:val="nil"/>
              <w:bottom w:val="nil"/>
              <w:right w:val="nil"/>
            </w:tcBorders>
          </w:tcPr>
          <w:p w14:paraId="33757C1E" w14:textId="77777777" w:rsidR="00357AA5" w:rsidRPr="00FD4EE9" w:rsidRDefault="00357AA5"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 xml:space="preserve">Oxylow BV </w:t>
            </w:r>
          </w:p>
        </w:tc>
        <w:tc>
          <w:tcPr>
            <w:tcW w:w="1417" w:type="dxa"/>
            <w:tcBorders>
              <w:top w:val="nil"/>
              <w:left w:val="nil"/>
              <w:bottom w:val="nil"/>
              <w:right w:val="nil"/>
            </w:tcBorders>
          </w:tcPr>
          <w:p w14:paraId="3D276A6F" w14:textId="77777777" w:rsidR="00357AA5" w:rsidRPr="00FD4EE9" w:rsidRDefault="00357AA5"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Netherlands</w:t>
            </w:r>
          </w:p>
        </w:tc>
        <w:tc>
          <w:tcPr>
            <w:tcW w:w="1418" w:type="dxa"/>
            <w:tcBorders>
              <w:top w:val="nil"/>
              <w:left w:val="nil"/>
              <w:bottom w:val="nil"/>
              <w:right w:val="nil"/>
            </w:tcBorders>
          </w:tcPr>
          <w:p w14:paraId="2C2AEE81" w14:textId="77777777" w:rsidR="00357AA5" w:rsidRPr="00FD4EE9" w:rsidRDefault="00357AA5"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2018</w:t>
            </w:r>
          </w:p>
        </w:tc>
      </w:tr>
      <w:tr w:rsidR="00357AA5" w:rsidRPr="00FD4EE9" w14:paraId="72691A10" w14:textId="77777777" w:rsidTr="00132C6A">
        <w:tc>
          <w:tcPr>
            <w:tcW w:w="2269" w:type="dxa"/>
            <w:tcBorders>
              <w:top w:val="nil"/>
              <w:left w:val="single" w:sz="4" w:space="0" w:color="auto"/>
              <w:bottom w:val="nil"/>
              <w:right w:val="nil"/>
            </w:tcBorders>
          </w:tcPr>
          <w:p w14:paraId="2D14AAB4" w14:textId="77777777" w:rsidR="00357AA5" w:rsidRPr="00FD4EE9" w:rsidRDefault="00357AA5"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 xml:space="preserve">Aocheng Cao </w:t>
            </w:r>
          </w:p>
        </w:tc>
        <w:tc>
          <w:tcPr>
            <w:tcW w:w="3827" w:type="dxa"/>
            <w:tcBorders>
              <w:top w:val="nil"/>
              <w:left w:val="nil"/>
              <w:bottom w:val="nil"/>
              <w:right w:val="nil"/>
            </w:tcBorders>
          </w:tcPr>
          <w:p w14:paraId="0CE5880C" w14:textId="77777777" w:rsidR="00357AA5" w:rsidRPr="00FD4EE9" w:rsidRDefault="00357AA5"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Chinese Academy of Agricultural Sciences</w:t>
            </w:r>
          </w:p>
        </w:tc>
        <w:tc>
          <w:tcPr>
            <w:tcW w:w="1417" w:type="dxa"/>
            <w:tcBorders>
              <w:top w:val="nil"/>
              <w:left w:val="nil"/>
              <w:bottom w:val="nil"/>
              <w:right w:val="nil"/>
            </w:tcBorders>
          </w:tcPr>
          <w:p w14:paraId="5CA0E0DE" w14:textId="77777777" w:rsidR="00357AA5" w:rsidRPr="00FD4EE9" w:rsidRDefault="00357AA5"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China</w:t>
            </w:r>
          </w:p>
        </w:tc>
        <w:tc>
          <w:tcPr>
            <w:tcW w:w="1418" w:type="dxa"/>
            <w:tcBorders>
              <w:top w:val="nil"/>
              <w:left w:val="nil"/>
              <w:bottom w:val="nil"/>
              <w:right w:val="nil"/>
            </w:tcBorders>
          </w:tcPr>
          <w:p w14:paraId="22DF7A72" w14:textId="77777777" w:rsidR="00357AA5" w:rsidRPr="00FD4EE9" w:rsidRDefault="00357AA5"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2018</w:t>
            </w:r>
          </w:p>
        </w:tc>
      </w:tr>
      <w:tr w:rsidR="00357AA5" w:rsidRPr="00FD4EE9" w14:paraId="0A48BA51" w14:textId="77777777" w:rsidTr="00132C6A">
        <w:tc>
          <w:tcPr>
            <w:tcW w:w="2269" w:type="dxa"/>
            <w:tcBorders>
              <w:top w:val="nil"/>
              <w:left w:val="single" w:sz="4" w:space="0" w:color="auto"/>
              <w:bottom w:val="nil"/>
              <w:right w:val="nil"/>
            </w:tcBorders>
          </w:tcPr>
          <w:p w14:paraId="4519CFEC" w14:textId="77777777" w:rsidR="00357AA5" w:rsidRPr="00FD4EE9" w:rsidRDefault="00357AA5"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Ken Glassey</w:t>
            </w:r>
          </w:p>
        </w:tc>
        <w:tc>
          <w:tcPr>
            <w:tcW w:w="3827" w:type="dxa"/>
            <w:tcBorders>
              <w:top w:val="nil"/>
              <w:left w:val="nil"/>
              <w:bottom w:val="nil"/>
              <w:right w:val="nil"/>
            </w:tcBorders>
          </w:tcPr>
          <w:p w14:paraId="0A4A712C" w14:textId="77777777" w:rsidR="00357AA5" w:rsidRPr="00FD4EE9" w:rsidRDefault="00357AA5"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23"/>
              <w:rPr>
                <w:sz w:val="20"/>
              </w:rPr>
            </w:pPr>
            <w:r w:rsidRPr="00FD4EE9">
              <w:rPr>
                <w:sz w:val="20"/>
              </w:rPr>
              <w:t>MAFF – NZ</w:t>
            </w:r>
          </w:p>
        </w:tc>
        <w:tc>
          <w:tcPr>
            <w:tcW w:w="1417" w:type="dxa"/>
            <w:tcBorders>
              <w:top w:val="nil"/>
              <w:left w:val="nil"/>
              <w:bottom w:val="nil"/>
              <w:right w:val="nil"/>
            </w:tcBorders>
          </w:tcPr>
          <w:p w14:paraId="64E44FB1" w14:textId="77777777" w:rsidR="00357AA5" w:rsidRPr="00FD4EE9" w:rsidRDefault="00357AA5"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New Zealand</w:t>
            </w:r>
          </w:p>
        </w:tc>
        <w:tc>
          <w:tcPr>
            <w:tcW w:w="1418" w:type="dxa"/>
            <w:tcBorders>
              <w:top w:val="nil"/>
              <w:left w:val="nil"/>
              <w:bottom w:val="nil"/>
              <w:right w:val="nil"/>
            </w:tcBorders>
          </w:tcPr>
          <w:p w14:paraId="25D227AC" w14:textId="77777777" w:rsidR="00357AA5" w:rsidRPr="00FD4EE9" w:rsidRDefault="00357AA5"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2018</w:t>
            </w:r>
          </w:p>
        </w:tc>
      </w:tr>
      <w:tr w:rsidR="00357AA5" w:rsidRPr="00FD4EE9" w14:paraId="6ACDD115" w14:textId="77777777" w:rsidTr="00132C6A">
        <w:tc>
          <w:tcPr>
            <w:tcW w:w="2269" w:type="dxa"/>
            <w:tcBorders>
              <w:top w:val="nil"/>
              <w:left w:val="single" w:sz="4" w:space="0" w:color="auto"/>
              <w:bottom w:val="nil"/>
              <w:right w:val="nil"/>
            </w:tcBorders>
          </w:tcPr>
          <w:p w14:paraId="23207E2F" w14:textId="77777777" w:rsidR="00357AA5" w:rsidRPr="00FD4EE9" w:rsidRDefault="00357AA5"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Eduardo Gonzalez</w:t>
            </w:r>
          </w:p>
        </w:tc>
        <w:tc>
          <w:tcPr>
            <w:tcW w:w="3827" w:type="dxa"/>
            <w:tcBorders>
              <w:top w:val="nil"/>
              <w:left w:val="nil"/>
              <w:bottom w:val="nil"/>
              <w:right w:val="nil"/>
            </w:tcBorders>
          </w:tcPr>
          <w:p w14:paraId="309592DD" w14:textId="77777777" w:rsidR="00357AA5" w:rsidRPr="00FD4EE9" w:rsidRDefault="00357AA5"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23"/>
              <w:rPr>
                <w:sz w:val="20"/>
              </w:rPr>
            </w:pPr>
            <w:r w:rsidRPr="00FD4EE9">
              <w:rPr>
                <w:sz w:val="20"/>
              </w:rPr>
              <w:t>Fumigator</w:t>
            </w:r>
          </w:p>
        </w:tc>
        <w:tc>
          <w:tcPr>
            <w:tcW w:w="1417" w:type="dxa"/>
            <w:tcBorders>
              <w:top w:val="nil"/>
              <w:left w:val="nil"/>
              <w:bottom w:val="nil"/>
              <w:right w:val="nil"/>
            </w:tcBorders>
          </w:tcPr>
          <w:p w14:paraId="752FEE31" w14:textId="77777777" w:rsidR="00357AA5" w:rsidRPr="00FD4EE9" w:rsidRDefault="00357AA5"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Philippines</w:t>
            </w:r>
          </w:p>
        </w:tc>
        <w:tc>
          <w:tcPr>
            <w:tcW w:w="1418" w:type="dxa"/>
            <w:tcBorders>
              <w:top w:val="nil"/>
              <w:left w:val="nil"/>
              <w:bottom w:val="nil"/>
              <w:right w:val="nil"/>
            </w:tcBorders>
          </w:tcPr>
          <w:p w14:paraId="4AD1B9B2" w14:textId="77777777" w:rsidR="00357AA5" w:rsidRPr="00FD4EE9" w:rsidRDefault="00357AA5"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2018</w:t>
            </w:r>
          </w:p>
        </w:tc>
      </w:tr>
      <w:tr w:rsidR="00B2021F" w:rsidRPr="00FD4EE9" w14:paraId="3E728899" w14:textId="77777777" w:rsidTr="00132C6A">
        <w:tc>
          <w:tcPr>
            <w:tcW w:w="2269" w:type="dxa"/>
            <w:tcBorders>
              <w:top w:val="nil"/>
              <w:left w:val="single" w:sz="4" w:space="0" w:color="auto"/>
              <w:bottom w:val="nil"/>
              <w:right w:val="nil"/>
            </w:tcBorders>
          </w:tcPr>
          <w:p w14:paraId="2758812C" w14:textId="4AEF2348" w:rsidR="00B2021F" w:rsidRPr="00FD4EE9" w:rsidRDefault="00B2021F"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Pr>
                <w:sz w:val="20"/>
              </w:rPr>
              <w:t>Rosalind James</w:t>
            </w:r>
          </w:p>
        </w:tc>
        <w:tc>
          <w:tcPr>
            <w:tcW w:w="3827" w:type="dxa"/>
            <w:tcBorders>
              <w:top w:val="nil"/>
              <w:left w:val="nil"/>
              <w:bottom w:val="nil"/>
              <w:right w:val="nil"/>
            </w:tcBorders>
          </w:tcPr>
          <w:p w14:paraId="09603B32" w14:textId="532968DB" w:rsidR="00B2021F" w:rsidRPr="00FD4EE9" w:rsidRDefault="00B2021F"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23"/>
              <w:rPr>
                <w:sz w:val="20"/>
              </w:rPr>
            </w:pPr>
            <w:r>
              <w:rPr>
                <w:sz w:val="20"/>
              </w:rPr>
              <w:t>USDA</w:t>
            </w:r>
          </w:p>
        </w:tc>
        <w:tc>
          <w:tcPr>
            <w:tcW w:w="1417" w:type="dxa"/>
            <w:tcBorders>
              <w:top w:val="nil"/>
              <w:left w:val="nil"/>
              <w:bottom w:val="nil"/>
              <w:right w:val="nil"/>
            </w:tcBorders>
          </w:tcPr>
          <w:p w14:paraId="4BCBA835" w14:textId="6FCD7639" w:rsidR="00B2021F" w:rsidRPr="00FD4EE9" w:rsidRDefault="0070607D"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Pr>
                <w:sz w:val="20"/>
              </w:rPr>
              <w:t>US</w:t>
            </w:r>
          </w:p>
        </w:tc>
        <w:tc>
          <w:tcPr>
            <w:tcW w:w="1418" w:type="dxa"/>
            <w:tcBorders>
              <w:top w:val="nil"/>
              <w:left w:val="nil"/>
              <w:bottom w:val="nil"/>
              <w:right w:val="nil"/>
            </w:tcBorders>
          </w:tcPr>
          <w:p w14:paraId="5F00D830" w14:textId="399EC7DD" w:rsidR="00B2021F" w:rsidRPr="00FD4EE9" w:rsidRDefault="00B2021F"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Pr>
                <w:sz w:val="20"/>
              </w:rPr>
              <w:t>2020</w:t>
            </w:r>
          </w:p>
        </w:tc>
      </w:tr>
      <w:tr w:rsidR="00357AA5" w:rsidRPr="00FD4EE9" w14:paraId="6E1D96EE" w14:textId="77777777" w:rsidTr="00132C6A">
        <w:tc>
          <w:tcPr>
            <w:tcW w:w="2269" w:type="dxa"/>
            <w:tcBorders>
              <w:top w:val="nil"/>
              <w:left w:val="single" w:sz="4" w:space="0" w:color="auto"/>
              <w:bottom w:val="nil"/>
              <w:right w:val="nil"/>
            </w:tcBorders>
          </w:tcPr>
          <w:p w14:paraId="74DAF049" w14:textId="77777777" w:rsidR="00357AA5" w:rsidRPr="00FD4EE9" w:rsidRDefault="00357AA5"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Takashi Misumi</w:t>
            </w:r>
          </w:p>
        </w:tc>
        <w:tc>
          <w:tcPr>
            <w:tcW w:w="3827" w:type="dxa"/>
            <w:tcBorders>
              <w:top w:val="nil"/>
              <w:left w:val="nil"/>
              <w:bottom w:val="nil"/>
              <w:right w:val="nil"/>
            </w:tcBorders>
          </w:tcPr>
          <w:p w14:paraId="0E4122D3" w14:textId="77777777" w:rsidR="00357AA5" w:rsidRPr="00FD4EE9" w:rsidRDefault="00357AA5"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23"/>
              <w:rPr>
                <w:sz w:val="20"/>
              </w:rPr>
            </w:pPr>
            <w:r w:rsidRPr="00FD4EE9">
              <w:rPr>
                <w:sz w:val="20"/>
              </w:rPr>
              <w:t>MAFF – Japan</w:t>
            </w:r>
          </w:p>
        </w:tc>
        <w:tc>
          <w:tcPr>
            <w:tcW w:w="1417" w:type="dxa"/>
            <w:tcBorders>
              <w:top w:val="nil"/>
              <w:left w:val="nil"/>
              <w:bottom w:val="nil"/>
              <w:right w:val="nil"/>
            </w:tcBorders>
          </w:tcPr>
          <w:p w14:paraId="73E1A754" w14:textId="77777777" w:rsidR="00357AA5" w:rsidRPr="00FD4EE9" w:rsidRDefault="00357AA5"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Japan</w:t>
            </w:r>
          </w:p>
        </w:tc>
        <w:tc>
          <w:tcPr>
            <w:tcW w:w="1418" w:type="dxa"/>
            <w:tcBorders>
              <w:top w:val="nil"/>
              <w:left w:val="nil"/>
              <w:bottom w:val="nil"/>
              <w:right w:val="nil"/>
            </w:tcBorders>
          </w:tcPr>
          <w:p w14:paraId="32DD47F0" w14:textId="77777777" w:rsidR="00357AA5" w:rsidRPr="00FD4EE9" w:rsidRDefault="00357AA5"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2018</w:t>
            </w:r>
          </w:p>
        </w:tc>
      </w:tr>
      <w:tr w:rsidR="00357AA5" w:rsidRPr="00FD4EE9" w14:paraId="5DB1338A" w14:textId="77777777" w:rsidTr="00132C6A">
        <w:tc>
          <w:tcPr>
            <w:tcW w:w="2269" w:type="dxa"/>
            <w:tcBorders>
              <w:top w:val="nil"/>
              <w:left w:val="single" w:sz="4" w:space="0" w:color="auto"/>
              <w:bottom w:val="nil"/>
              <w:right w:val="nil"/>
            </w:tcBorders>
          </w:tcPr>
          <w:p w14:paraId="2FAE042C" w14:textId="77777777" w:rsidR="00357AA5" w:rsidRPr="00FD4EE9" w:rsidRDefault="00357AA5"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Christoph Reichmuth</w:t>
            </w:r>
          </w:p>
        </w:tc>
        <w:tc>
          <w:tcPr>
            <w:tcW w:w="3827" w:type="dxa"/>
            <w:tcBorders>
              <w:top w:val="nil"/>
              <w:left w:val="nil"/>
              <w:bottom w:val="nil"/>
              <w:right w:val="nil"/>
            </w:tcBorders>
          </w:tcPr>
          <w:p w14:paraId="41E2E0F4" w14:textId="77777777" w:rsidR="00357AA5" w:rsidRPr="00FD4EE9" w:rsidRDefault="00357AA5"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23"/>
              <w:rPr>
                <w:sz w:val="20"/>
              </w:rPr>
            </w:pPr>
            <w:r w:rsidRPr="00FD4EE9">
              <w:rPr>
                <w:sz w:val="20"/>
              </w:rPr>
              <w:t>Honorary Professor</w:t>
            </w:r>
          </w:p>
        </w:tc>
        <w:tc>
          <w:tcPr>
            <w:tcW w:w="1417" w:type="dxa"/>
            <w:tcBorders>
              <w:top w:val="nil"/>
              <w:left w:val="nil"/>
              <w:bottom w:val="nil"/>
              <w:right w:val="nil"/>
            </w:tcBorders>
          </w:tcPr>
          <w:p w14:paraId="37DCC9BB" w14:textId="77777777" w:rsidR="00357AA5" w:rsidRPr="00FD4EE9" w:rsidRDefault="00357AA5"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Germany</w:t>
            </w:r>
          </w:p>
        </w:tc>
        <w:tc>
          <w:tcPr>
            <w:tcW w:w="1418" w:type="dxa"/>
            <w:tcBorders>
              <w:top w:val="nil"/>
              <w:left w:val="nil"/>
              <w:bottom w:val="nil"/>
              <w:right w:val="nil"/>
            </w:tcBorders>
          </w:tcPr>
          <w:p w14:paraId="2C33E3A6" w14:textId="77777777" w:rsidR="00357AA5" w:rsidRPr="00FD4EE9" w:rsidRDefault="00357AA5"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2018</w:t>
            </w:r>
          </w:p>
        </w:tc>
      </w:tr>
      <w:tr w:rsidR="00357AA5" w:rsidRPr="00FD4EE9" w14:paraId="01B26729" w14:textId="77777777" w:rsidTr="00132C6A">
        <w:tc>
          <w:tcPr>
            <w:tcW w:w="2269" w:type="dxa"/>
            <w:tcBorders>
              <w:top w:val="nil"/>
              <w:left w:val="single" w:sz="4" w:space="0" w:color="auto"/>
              <w:bottom w:val="nil"/>
              <w:right w:val="nil"/>
            </w:tcBorders>
          </w:tcPr>
          <w:p w14:paraId="721325F9" w14:textId="77777777" w:rsidR="00357AA5" w:rsidRPr="00FD4EE9" w:rsidRDefault="00357AA5"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Jordi Riudavets</w:t>
            </w:r>
          </w:p>
        </w:tc>
        <w:tc>
          <w:tcPr>
            <w:tcW w:w="3827" w:type="dxa"/>
            <w:tcBorders>
              <w:top w:val="nil"/>
              <w:left w:val="nil"/>
              <w:bottom w:val="nil"/>
              <w:right w:val="nil"/>
            </w:tcBorders>
          </w:tcPr>
          <w:p w14:paraId="63A4B06D" w14:textId="77777777" w:rsidR="00357AA5" w:rsidRPr="00FD4EE9" w:rsidRDefault="00357AA5"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IRTA – Department of Plant Protection</w:t>
            </w:r>
          </w:p>
        </w:tc>
        <w:tc>
          <w:tcPr>
            <w:tcW w:w="1417" w:type="dxa"/>
            <w:tcBorders>
              <w:top w:val="nil"/>
              <w:left w:val="nil"/>
              <w:bottom w:val="nil"/>
              <w:right w:val="nil"/>
            </w:tcBorders>
          </w:tcPr>
          <w:p w14:paraId="40111FE3" w14:textId="77777777" w:rsidR="00357AA5" w:rsidRPr="00FD4EE9" w:rsidRDefault="00357AA5"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Spain</w:t>
            </w:r>
          </w:p>
        </w:tc>
        <w:tc>
          <w:tcPr>
            <w:tcW w:w="1418" w:type="dxa"/>
            <w:tcBorders>
              <w:top w:val="nil"/>
              <w:left w:val="nil"/>
              <w:bottom w:val="nil"/>
              <w:right w:val="nil"/>
            </w:tcBorders>
          </w:tcPr>
          <w:p w14:paraId="6C011C95" w14:textId="1B66303F" w:rsidR="00357AA5" w:rsidRPr="00FD4EE9" w:rsidRDefault="00357AA5"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2017</w:t>
            </w:r>
            <w:r w:rsidR="00B2021F">
              <w:rPr>
                <w:sz w:val="20"/>
              </w:rPr>
              <w:t>*</w:t>
            </w:r>
          </w:p>
        </w:tc>
      </w:tr>
      <w:tr w:rsidR="00357AA5" w:rsidRPr="00FD4EE9" w14:paraId="2865F682" w14:textId="77777777" w:rsidTr="00132C6A">
        <w:tc>
          <w:tcPr>
            <w:tcW w:w="2269" w:type="dxa"/>
            <w:tcBorders>
              <w:top w:val="nil"/>
              <w:left w:val="single" w:sz="4" w:space="0" w:color="auto"/>
              <w:bottom w:val="nil"/>
              <w:right w:val="nil"/>
            </w:tcBorders>
          </w:tcPr>
          <w:p w14:paraId="785DDDCD" w14:textId="77777777" w:rsidR="00357AA5" w:rsidRPr="00FD4EE9" w:rsidRDefault="00357AA5"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Akio Tateya</w:t>
            </w:r>
          </w:p>
        </w:tc>
        <w:tc>
          <w:tcPr>
            <w:tcW w:w="3827" w:type="dxa"/>
            <w:tcBorders>
              <w:top w:val="nil"/>
              <w:left w:val="nil"/>
              <w:bottom w:val="nil"/>
              <w:right w:val="nil"/>
            </w:tcBorders>
          </w:tcPr>
          <w:p w14:paraId="4412FFA7" w14:textId="77777777" w:rsidR="00357AA5" w:rsidRPr="00FD4EE9" w:rsidRDefault="00357AA5"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 xml:space="preserve">Technical Adviser, Syngenta </w:t>
            </w:r>
          </w:p>
        </w:tc>
        <w:tc>
          <w:tcPr>
            <w:tcW w:w="1417" w:type="dxa"/>
            <w:tcBorders>
              <w:top w:val="nil"/>
              <w:left w:val="nil"/>
              <w:bottom w:val="nil"/>
              <w:right w:val="nil"/>
            </w:tcBorders>
          </w:tcPr>
          <w:p w14:paraId="27E67F03" w14:textId="77777777" w:rsidR="00357AA5" w:rsidRPr="00FD4EE9" w:rsidRDefault="00357AA5"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Japan</w:t>
            </w:r>
          </w:p>
        </w:tc>
        <w:tc>
          <w:tcPr>
            <w:tcW w:w="1418" w:type="dxa"/>
            <w:tcBorders>
              <w:top w:val="nil"/>
              <w:left w:val="nil"/>
              <w:bottom w:val="nil"/>
              <w:right w:val="nil"/>
            </w:tcBorders>
          </w:tcPr>
          <w:p w14:paraId="50A36BA8" w14:textId="77777777" w:rsidR="00357AA5" w:rsidRPr="00FD4EE9" w:rsidRDefault="00357AA5"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2018</w:t>
            </w:r>
          </w:p>
        </w:tc>
      </w:tr>
      <w:tr w:rsidR="00357AA5" w:rsidRPr="00FD4EE9" w14:paraId="3DC18DB0" w14:textId="77777777" w:rsidTr="00132C6A">
        <w:tc>
          <w:tcPr>
            <w:tcW w:w="2269" w:type="dxa"/>
            <w:tcBorders>
              <w:top w:val="nil"/>
              <w:left w:val="single" w:sz="4" w:space="0" w:color="auto"/>
              <w:bottom w:val="nil"/>
              <w:right w:val="nil"/>
            </w:tcBorders>
          </w:tcPr>
          <w:p w14:paraId="6AAE90F9" w14:textId="77777777" w:rsidR="00357AA5" w:rsidRPr="00FD4EE9" w:rsidRDefault="00357AA5"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Alejandro Valeiro</w:t>
            </w:r>
          </w:p>
        </w:tc>
        <w:tc>
          <w:tcPr>
            <w:tcW w:w="3827" w:type="dxa"/>
            <w:tcBorders>
              <w:top w:val="nil"/>
              <w:left w:val="nil"/>
              <w:bottom w:val="nil"/>
              <w:right w:val="nil"/>
            </w:tcBorders>
          </w:tcPr>
          <w:p w14:paraId="45FC7FB1" w14:textId="77777777" w:rsidR="00357AA5" w:rsidRPr="00FD4EE9" w:rsidRDefault="00357AA5"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Nat. Institute for Ag. Technology</w:t>
            </w:r>
          </w:p>
        </w:tc>
        <w:tc>
          <w:tcPr>
            <w:tcW w:w="1417" w:type="dxa"/>
            <w:tcBorders>
              <w:top w:val="nil"/>
              <w:left w:val="nil"/>
              <w:bottom w:val="nil"/>
              <w:right w:val="nil"/>
            </w:tcBorders>
          </w:tcPr>
          <w:p w14:paraId="02BB7DF9" w14:textId="77777777" w:rsidR="00357AA5" w:rsidRPr="00FD4EE9" w:rsidRDefault="00357AA5"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Argentina</w:t>
            </w:r>
          </w:p>
        </w:tc>
        <w:tc>
          <w:tcPr>
            <w:tcW w:w="1418" w:type="dxa"/>
            <w:tcBorders>
              <w:top w:val="nil"/>
              <w:left w:val="nil"/>
              <w:bottom w:val="nil"/>
              <w:right w:val="nil"/>
            </w:tcBorders>
          </w:tcPr>
          <w:p w14:paraId="6DDC76AC" w14:textId="77777777" w:rsidR="00357AA5" w:rsidRPr="00FD4EE9" w:rsidRDefault="00357AA5"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2018</w:t>
            </w:r>
          </w:p>
        </w:tc>
      </w:tr>
      <w:tr w:rsidR="00357AA5" w:rsidRPr="00FD4EE9" w14:paraId="3AC12C91" w14:textId="77777777" w:rsidTr="00132C6A">
        <w:tc>
          <w:tcPr>
            <w:tcW w:w="2269" w:type="dxa"/>
            <w:tcBorders>
              <w:top w:val="nil"/>
              <w:left w:val="single" w:sz="4" w:space="0" w:color="auto"/>
              <w:bottom w:val="nil"/>
              <w:right w:val="nil"/>
            </w:tcBorders>
          </w:tcPr>
          <w:p w14:paraId="5A212D32" w14:textId="77777777" w:rsidR="00357AA5" w:rsidRPr="00FD4EE9" w:rsidRDefault="00357AA5"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Nick Vink</w:t>
            </w:r>
          </w:p>
        </w:tc>
        <w:tc>
          <w:tcPr>
            <w:tcW w:w="3827" w:type="dxa"/>
            <w:tcBorders>
              <w:top w:val="nil"/>
              <w:left w:val="nil"/>
              <w:bottom w:val="nil"/>
              <w:right w:val="nil"/>
            </w:tcBorders>
          </w:tcPr>
          <w:p w14:paraId="45CFD006" w14:textId="77777777" w:rsidR="00357AA5" w:rsidRPr="00FD4EE9" w:rsidRDefault="00357AA5"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University of Stellenbosch</w:t>
            </w:r>
          </w:p>
        </w:tc>
        <w:tc>
          <w:tcPr>
            <w:tcW w:w="1417" w:type="dxa"/>
            <w:tcBorders>
              <w:top w:val="nil"/>
              <w:left w:val="nil"/>
              <w:bottom w:val="nil"/>
              <w:right w:val="nil"/>
            </w:tcBorders>
          </w:tcPr>
          <w:p w14:paraId="506C4F7E" w14:textId="77777777" w:rsidR="00357AA5" w:rsidRPr="00FD4EE9" w:rsidRDefault="00357AA5"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South Africa</w:t>
            </w:r>
          </w:p>
        </w:tc>
        <w:tc>
          <w:tcPr>
            <w:tcW w:w="1418" w:type="dxa"/>
            <w:tcBorders>
              <w:top w:val="nil"/>
              <w:left w:val="nil"/>
              <w:bottom w:val="nil"/>
              <w:right w:val="nil"/>
            </w:tcBorders>
          </w:tcPr>
          <w:p w14:paraId="66328264" w14:textId="77777777" w:rsidR="00357AA5" w:rsidRPr="00FD4EE9" w:rsidRDefault="00357AA5"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2018</w:t>
            </w:r>
          </w:p>
        </w:tc>
      </w:tr>
      <w:tr w:rsidR="00357AA5" w:rsidRPr="00FD4EE9" w14:paraId="17B882CE" w14:textId="77777777" w:rsidTr="00132C6A">
        <w:tc>
          <w:tcPr>
            <w:tcW w:w="2269" w:type="dxa"/>
            <w:tcBorders>
              <w:top w:val="nil"/>
              <w:left w:val="single" w:sz="4" w:space="0" w:color="auto"/>
              <w:bottom w:val="nil"/>
              <w:right w:val="nil"/>
            </w:tcBorders>
          </w:tcPr>
          <w:p w14:paraId="27E006FC" w14:textId="77777777" w:rsidR="00357AA5" w:rsidRPr="00FD4EE9" w:rsidRDefault="00357AA5"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Suat Yilmaz</w:t>
            </w:r>
          </w:p>
        </w:tc>
        <w:tc>
          <w:tcPr>
            <w:tcW w:w="3827" w:type="dxa"/>
            <w:tcBorders>
              <w:top w:val="nil"/>
              <w:left w:val="nil"/>
              <w:bottom w:val="nil"/>
              <w:right w:val="nil"/>
            </w:tcBorders>
          </w:tcPr>
          <w:p w14:paraId="5878C7CA" w14:textId="77777777" w:rsidR="00357AA5" w:rsidRPr="00FD4EE9" w:rsidRDefault="00357AA5"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 xml:space="preserve">Min. of Food, Agriculture and Livestock </w:t>
            </w:r>
          </w:p>
        </w:tc>
        <w:tc>
          <w:tcPr>
            <w:tcW w:w="1417" w:type="dxa"/>
            <w:tcBorders>
              <w:top w:val="nil"/>
              <w:left w:val="nil"/>
              <w:bottom w:val="nil"/>
              <w:right w:val="nil"/>
            </w:tcBorders>
          </w:tcPr>
          <w:p w14:paraId="2C956CD9" w14:textId="77777777" w:rsidR="00357AA5" w:rsidRPr="00FD4EE9" w:rsidRDefault="00357AA5"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Turkey</w:t>
            </w:r>
          </w:p>
        </w:tc>
        <w:tc>
          <w:tcPr>
            <w:tcW w:w="1418" w:type="dxa"/>
            <w:tcBorders>
              <w:top w:val="nil"/>
              <w:left w:val="nil"/>
              <w:bottom w:val="nil"/>
              <w:right w:val="nil"/>
            </w:tcBorders>
          </w:tcPr>
          <w:p w14:paraId="7B7D79D9" w14:textId="003DA48E" w:rsidR="00357AA5" w:rsidRPr="00FD4EE9" w:rsidRDefault="00357AA5" w:rsidP="00B2021F">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w:t>
            </w:r>
            <w:r w:rsidR="00B2021F">
              <w:rPr>
                <w:sz w:val="20"/>
              </w:rPr>
              <w:t>8</w:t>
            </w:r>
          </w:p>
        </w:tc>
      </w:tr>
    </w:tbl>
    <w:p w14:paraId="1C7ECDD0" w14:textId="77777777" w:rsidR="00E77979" w:rsidRPr="00807C7E" w:rsidRDefault="0040537B" w:rsidP="009159BE">
      <w:pPr>
        <w:rPr>
          <w:sz w:val="20"/>
        </w:rPr>
      </w:pPr>
      <w:r w:rsidRPr="00807C7E">
        <w:rPr>
          <w:i/>
          <w:sz w:val="20"/>
        </w:rPr>
        <w:t>* Indicates members whose terms expire at the end of the current year</w:t>
      </w:r>
    </w:p>
    <w:p w14:paraId="47AA6826" w14:textId="77777777" w:rsidR="00E77979" w:rsidRPr="00FD4EE9" w:rsidRDefault="00E77979">
      <w:pPr>
        <w:spacing w:after="0"/>
      </w:pPr>
      <w:r w:rsidRPr="00FD4EE9">
        <w:br w:type="page"/>
      </w:r>
    </w:p>
    <w:p w14:paraId="6F6A4D7F" w14:textId="77777777" w:rsidR="004A3A81" w:rsidRPr="00FD4EE9" w:rsidRDefault="005B3245" w:rsidP="00413E4A">
      <w:pPr>
        <w:pStyle w:val="Heading2"/>
      </w:pPr>
      <w:bookmarkStart w:id="284" w:name="_Toc484164413"/>
      <w:r w:rsidRPr="00FD4EE9">
        <w:lastRenderedPageBreak/>
        <w:t>6.</w:t>
      </w:r>
      <w:r w:rsidRPr="00FD4EE9">
        <w:tab/>
      </w:r>
      <w:r w:rsidR="00863544" w:rsidRPr="00FD4EE9">
        <w:t xml:space="preserve">TEAP </w:t>
      </w:r>
      <w:r w:rsidR="004A3A81" w:rsidRPr="00FD4EE9">
        <w:t>Refrigeration, Air Conditioning and Heat Pumps Technical Options Committee</w:t>
      </w:r>
      <w:r w:rsidR="00863544" w:rsidRPr="00FD4EE9">
        <w:t xml:space="preserve"> (RTOC)</w:t>
      </w:r>
      <w:bookmarkEnd w:id="284"/>
      <w:r w:rsidR="004A3A81" w:rsidRPr="00FD4EE9">
        <w:t xml:space="preserve"> </w:t>
      </w:r>
    </w:p>
    <w:tbl>
      <w:tblPr>
        <w:tblW w:w="8931" w:type="dxa"/>
        <w:tblInd w:w="-34" w:type="dxa"/>
        <w:tblLayout w:type="fixed"/>
        <w:tblLook w:val="0000" w:firstRow="0" w:lastRow="0" w:firstColumn="0" w:lastColumn="0" w:noHBand="0" w:noVBand="0"/>
      </w:tblPr>
      <w:tblGrid>
        <w:gridCol w:w="2269"/>
        <w:gridCol w:w="3827"/>
        <w:gridCol w:w="1417"/>
        <w:gridCol w:w="1418"/>
      </w:tblGrid>
      <w:tr w:rsidR="00357AA5" w:rsidRPr="00FD4EE9" w14:paraId="269D226F" w14:textId="77777777" w:rsidTr="00E77979">
        <w:tc>
          <w:tcPr>
            <w:tcW w:w="2269" w:type="dxa"/>
            <w:tcBorders>
              <w:top w:val="nil"/>
              <w:left w:val="single" w:sz="4" w:space="0" w:color="auto"/>
              <w:bottom w:val="nil"/>
              <w:right w:val="nil"/>
            </w:tcBorders>
          </w:tcPr>
          <w:p w14:paraId="5C2BFD37" w14:textId="77777777" w:rsidR="00357AA5" w:rsidRPr="00FD4EE9" w:rsidRDefault="00357AA5"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b/>
                <w:sz w:val="20"/>
              </w:rPr>
            </w:pPr>
            <w:bookmarkStart w:id="285" w:name="_Toc295406185"/>
            <w:r w:rsidRPr="00FD4EE9">
              <w:rPr>
                <w:b/>
                <w:sz w:val="20"/>
              </w:rPr>
              <w:t>Co-chairs</w:t>
            </w:r>
          </w:p>
        </w:tc>
        <w:tc>
          <w:tcPr>
            <w:tcW w:w="3827" w:type="dxa"/>
            <w:tcBorders>
              <w:top w:val="nil"/>
              <w:left w:val="nil"/>
              <w:bottom w:val="nil"/>
              <w:right w:val="nil"/>
            </w:tcBorders>
          </w:tcPr>
          <w:p w14:paraId="1E9E1F65" w14:textId="77777777" w:rsidR="00357AA5" w:rsidRPr="00FD4EE9" w:rsidRDefault="00357AA5"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b/>
                <w:sz w:val="20"/>
              </w:rPr>
            </w:pPr>
            <w:r w:rsidRPr="00FD4EE9">
              <w:rPr>
                <w:b/>
                <w:sz w:val="20"/>
              </w:rPr>
              <w:t>Affiliation</w:t>
            </w:r>
          </w:p>
        </w:tc>
        <w:tc>
          <w:tcPr>
            <w:tcW w:w="1417" w:type="dxa"/>
            <w:tcBorders>
              <w:top w:val="nil"/>
              <w:left w:val="nil"/>
              <w:bottom w:val="nil"/>
              <w:right w:val="nil"/>
            </w:tcBorders>
          </w:tcPr>
          <w:p w14:paraId="33271532" w14:textId="77777777" w:rsidR="00357AA5" w:rsidRPr="00FD4EE9" w:rsidRDefault="00357AA5"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b/>
                <w:sz w:val="20"/>
              </w:rPr>
            </w:pPr>
            <w:r w:rsidRPr="00FD4EE9">
              <w:rPr>
                <w:b/>
                <w:sz w:val="20"/>
              </w:rPr>
              <w:t>Country</w:t>
            </w:r>
          </w:p>
        </w:tc>
        <w:tc>
          <w:tcPr>
            <w:tcW w:w="1418" w:type="dxa"/>
            <w:tcBorders>
              <w:top w:val="nil"/>
              <w:left w:val="nil"/>
              <w:bottom w:val="nil"/>
              <w:right w:val="nil"/>
            </w:tcBorders>
          </w:tcPr>
          <w:p w14:paraId="7D64FF25" w14:textId="77777777" w:rsidR="00357AA5" w:rsidRPr="00FD4EE9" w:rsidRDefault="00357AA5"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b/>
                <w:sz w:val="20"/>
              </w:rPr>
            </w:pPr>
            <w:r w:rsidRPr="00FD4EE9">
              <w:rPr>
                <w:b/>
                <w:sz w:val="20"/>
              </w:rPr>
              <w:t>Appointed through</w:t>
            </w:r>
          </w:p>
        </w:tc>
      </w:tr>
      <w:tr w:rsidR="00357AA5" w:rsidRPr="00FD4EE9" w14:paraId="67B7A0DE" w14:textId="77777777" w:rsidTr="00E77979">
        <w:tc>
          <w:tcPr>
            <w:tcW w:w="2269" w:type="dxa"/>
            <w:tcBorders>
              <w:top w:val="nil"/>
              <w:left w:val="single" w:sz="4" w:space="0" w:color="auto"/>
              <w:bottom w:val="nil"/>
              <w:right w:val="nil"/>
            </w:tcBorders>
          </w:tcPr>
          <w:p w14:paraId="753EB6B1" w14:textId="77777777" w:rsidR="00357AA5" w:rsidRPr="00FD4EE9" w:rsidRDefault="00357AA5"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 xml:space="preserve">Roberto de A. Peixoto </w:t>
            </w:r>
          </w:p>
        </w:tc>
        <w:tc>
          <w:tcPr>
            <w:tcW w:w="3827" w:type="dxa"/>
            <w:tcBorders>
              <w:top w:val="nil"/>
              <w:left w:val="nil"/>
              <w:bottom w:val="nil"/>
              <w:right w:val="nil"/>
            </w:tcBorders>
          </w:tcPr>
          <w:p w14:paraId="01F39140" w14:textId="77777777" w:rsidR="00357AA5" w:rsidRPr="00FD4EE9" w:rsidRDefault="00357AA5"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Maua Institute, IMT, Sao Paulo</w:t>
            </w:r>
          </w:p>
        </w:tc>
        <w:tc>
          <w:tcPr>
            <w:tcW w:w="1417" w:type="dxa"/>
            <w:tcBorders>
              <w:top w:val="nil"/>
              <w:left w:val="nil"/>
              <w:bottom w:val="nil"/>
              <w:right w:val="nil"/>
            </w:tcBorders>
          </w:tcPr>
          <w:p w14:paraId="7817FBEB" w14:textId="77777777" w:rsidR="00357AA5" w:rsidRPr="00FD4EE9" w:rsidRDefault="00357AA5"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Brazil</w:t>
            </w:r>
          </w:p>
        </w:tc>
        <w:tc>
          <w:tcPr>
            <w:tcW w:w="1418" w:type="dxa"/>
            <w:tcBorders>
              <w:top w:val="nil"/>
              <w:left w:val="nil"/>
              <w:bottom w:val="nil"/>
              <w:right w:val="nil"/>
            </w:tcBorders>
          </w:tcPr>
          <w:p w14:paraId="4B286500" w14:textId="10621A96" w:rsidR="00357AA5" w:rsidRPr="00FD4EE9" w:rsidRDefault="00357AA5"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2017</w:t>
            </w:r>
            <w:r w:rsidR="001F5725">
              <w:rPr>
                <w:sz w:val="20"/>
              </w:rPr>
              <w:t>*</w:t>
            </w:r>
          </w:p>
        </w:tc>
      </w:tr>
      <w:tr w:rsidR="00357AA5" w:rsidRPr="00FD4EE9" w14:paraId="46D0388B" w14:textId="77777777" w:rsidTr="00E77979">
        <w:tc>
          <w:tcPr>
            <w:tcW w:w="2269" w:type="dxa"/>
            <w:tcBorders>
              <w:top w:val="nil"/>
              <w:left w:val="single" w:sz="4" w:space="0" w:color="auto"/>
              <w:bottom w:val="nil"/>
              <w:right w:val="nil"/>
            </w:tcBorders>
          </w:tcPr>
          <w:p w14:paraId="0AA345C2" w14:textId="77777777" w:rsidR="00357AA5" w:rsidRPr="00FD4EE9" w:rsidRDefault="00357AA5"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16"/>
              </w:rPr>
            </w:pPr>
            <w:r w:rsidRPr="00FD4EE9">
              <w:rPr>
                <w:sz w:val="20"/>
              </w:rPr>
              <w:t>Fabio Polonara</w:t>
            </w:r>
          </w:p>
        </w:tc>
        <w:tc>
          <w:tcPr>
            <w:tcW w:w="3827" w:type="dxa"/>
            <w:tcBorders>
              <w:top w:val="nil"/>
              <w:left w:val="nil"/>
              <w:bottom w:val="nil"/>
              <w:right w:val="nil"/>
            </w:tcBorders>
          </w:tcPr>
          <w:p w14:paraId="34B7E68A" w14:textId="77777777" w:rsidR="00357AA5" w:rsidRPr="00FD4EE9" w:rsidRDefault="00357AA5"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b/>
                <w:sz w:val="20"/>
              </w:rPr>
            </w:pPr>
            <w:r w:rsidRPr="00FD4EE9">
              <w:rPr>
                <w:sz w:val="20"/>
              </w:rPr>
              <w:t>Universita' Politecnica delle Marche</w:t>
            </w:r>
          </w:p>
        </w:tc>
        <w:tc>
          <w:tcPr>
            <w:tcW w:w="1417" w:type="dxa"/>
            <w:tcBorders>
              <w:top w:val="nil"/>
              <w:left w:val="nil"/>
              <w:bottom w:val="nil"/>
              <w:right w:val="nil"/>
            </w:tcBorders>
          </w:tcPr>
          <w:p w14:paraId="0E14056B" w14:textId="77777777" w:rsidR="00357AA5" w:rsidRPr="00FD4EE9" w:rsidRDefault="00357AA5"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b/>
                <w:sz w:val="20"/>
              </w:rPr>
            </w:pPr>
            <w:r w:rsidRPr="00FD4EE9">
              <w:rPr>
                <w:sz w:val="20"/>
              </w:rPr>
              <w:t>Italy</w:t>
            </w:r>
          </w:p>
        </w:tc>
        <w:tc>
          <w:tcPr>
            <w:tcW w:w="1418" w:type="dxa"/>
            <w:tcBorders>
              <w:top w:val="nil"/>
              <w:left w:val="nil"/>
              <w:bottom w:val="nil"/>
              <w:right w:val="nil"/>
            </w:tcBorders>
          </w:tcPr>
          <w:p w14:paraId="31207FB6" w14:textId="77777777" w:rsidR="00357AA5" w:rsidRPr="00FD4EE9" w:rsidRDefault="00357AA5" w:rsidP="00545DFA">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b/>
                <w:i/>
                <w:sz w:val="20"/>
              </w:rPr>
            </w:pPr>
            <w:r w:rsidRPr="00FD4EE9">
              <w:rPr>
                <w:sz w:val="20"/>
              </w:rPr>
              <w:t>2018</w:t>
            </w:r>
          </w:p>
        </w:tc>
      </w:tr>
      <w:tr w:rsidR="00357AA5" w:rsidRPr="00FD4EE9" w14:paraId="455589D3" w14:textId="77777777" w:rsidTr="00E77979">
        <w:tc>
          <w:tcPr>
            <w:tcW w:w="2269" w:type="dxa"/>
            <w:tcBorders>
              <w:top w:val="nil"/>
              <w:left w:val="single" w:sz="4" w:space="0" w:color="auto"/>
              <w:bottom w:val="nil"/>
              <w:right w:val="nil"/>
            </w:tcBorders>
          </w:tcPr>
          <w:p w14:paraId="3D15F4A7" w14:textId="77777777" w:rsidR="00357AA5" w:rsidRPr="00FD4EE9" w:rsidRDefault="00357AA5"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b/>
                <w:sz w:val="20"/>
              </w:rPr>
            </w:pPr>
            <w:r w:rsidRPr="00FD4EE9">
              <w:rPr>
                <w:b/>
                <w:sz w:val="20"/>
              </w:rPr>
              <w:t>Members</w:t>
            </w:r>
          </w:p>
        </w:tc>
        <w:tc>
          <w:tcPr>
            <w:tcW w:w="3827" w:type="dxa"/>
            <w:tcBorders>
              <w:top w:val="nil"/>
              <w:left w:val="nil"/>
              <w:bottom w:val="nil"/>
              <w:right w:val="nil"/>
            </w:tcBorders>
          </w:tcPr>
          <w:p w14:paraId="0E578170" w14:textId="77777777" w:rsidR="00357AA5" w:rsidRPr="00FD4EE9" w:rsidRDefault="00357AA5"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b/>
                <w:sz w:val="20"/>
              </w:rPr>
            </w:pPr>
            <w:r w:rsidRPr="00FD4EE9">
              <w:rPr>
                <w:b/>
                <w:sz w:val="20"/>
              </w:rPr>
              <w:t>Affiliation</w:t>
            </w:r>
          </w:p>
        </w:tc>
        <w:tc>
          <w:tcPr>
            <w:tcW w:w="1417" w:type="dxa"/>
            <w:tcBorders>
              <w:top w:val="nil"/>
              <w:left w:val="nil"/>
              <w:bottom w:val="nil"/>
              <w:right w:val="nil"/>
            </w:tcBorders>
          </w:tcPr>
          <w:p w14:paraId="4E0D6633" w14:textId="77777777" w:rsidR="00357AA5" w:rsidRPr="00FD4EE9" w:rsidRDefault="00357AA5"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b/>
                <w:sz w:val="20"/>
              </w:rPr>
            </w:pPr>
            <w:r w:rsidRPr="00FD4EE9">
              <w:rPr>
                <w:b/>
                <w:sz w:val="20"/>
              </w:rPr>
              <w:t>Country</w:t>
            </w:r>
          </w:p>
        </w:tc>
        <w:tc>
          <w:tcPr>
            <w:tcW w:w="1418" w:type="dxa"/>
            <w:tcBorders>
              <w:top w:val="nil"/>
              <w:left w:val="nil"/>
              <w:bottom w:val="nil"/>
              <w:right w:val="nil"/>
            </w:tcBorders>
          </w:tcPr>
          <w:p w14:paraId="73169B6D" w14:textId="77777777" w:rsidR="00357AA5" w:rsidRPr="00FD4EE9" w:rsidRDefault="00357AA5"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b/>
                <w:sz w:val="20"/>
              </w:rPr>
            </w:pPr>
            <w:r w:rsidRPr="00FD4EE9">
              <w:rPr>
                <w:b/>
                <w:sz w:val="20"/>
              </w:rPr>
              <w:t>Appointed through</w:t>
            </w:r>
          </w:p>
        </w:tc>
      </w:tr>
      <w:tr w:rsidR="00E77979" w:rsidRPr="00FD4EE9" w14:paraId="1661A7A0" w14:textId="77777777" w:rsidTr="00E77979">
        <w:trPr>
          <w:trHeight w:val="115"/>
        </w:trPr>
        <w:tc>
          <w:tcPr>
            <w:tcW w:w="2269" w:type="dxa"/>
            <w:tcBorders>
              <w:top w:val="nil"/>
              <w:left w:val="single" w:sz="4" w:space="0" w:color="auto"/>
              <w:bottom w:val="nil"/>
              <w:right w:val="nil"/>
            </w:tcBorders>
          </w:tcPr>
          <w:p w14:paraId="7D954CC6"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James M. Calm</w:t>
            </w:r>
          </w:p>
        </w:tc>
        <w:tc>
          <w:tcPr>
            <w:tcW w:w="3827" w:type="dxa"/>
            <w:tcBorders>
              <w:top w:val="nil"/>
              <w:left w:val="nil"/>
              <w:bottom w:val="nil"/>
              <w:right w:val="nil"/>
            </w:tcBorders>
          </w:tcPr>
          <w:p w14:paraId="63AF4210"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Engineering Consultant</w:t>
            </w:r>
          </w:p>
        </w:tc>
        <w:tc>
          <w:tcPr>
            <w:tcW w:w="1417" w:type="dxa"/>
            <w:tcBorders>
              <w:top w:val="nil"/>
              <w:left w:val="nil"/>
              <w:bottom w:val="nil"/>
              <w:right w:val="nil"/>
            </w:tcBorders>
          </w:tcPr>
          <w:p w14:paraId="55863CA6" w14:textId="26C36642" w:rsidR="00E77979" w:rsidRPr="00FD4EE9" w:rsidRDefault="0070607D"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Pr>
                <w:sz w:val="20"/>
              </w:rPr>
              <w:t>US</w:t>
            </w:r>
          </w:p>
        </w:tc>
        <w:tc>
          <w:tcPr>
            <w:tcW w:w="1418" w:type="dxa"/>
            <w:tcBorders>
              <w:top w:val="nil"/>
              <w:left w:val="nil"/>
              <w:bottom w:val="nil"/>
              <w:right w:val="nil"/>
            </w:tcBorders>
          </w:tcPr>
          <w:p w14:paraId="19D1882B"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2018</w:t>
            </w:r>
          </w:p>
        </w:tc>
      </w:tr>
      <w:tr w:rsidR="00E77979" w:rsidRPr="00FD4EE9" w14:paraId="16B07608" w14:textId="77777777" w:rsidTr="00E77979">
        <w:tc>
          <w:tcPr>
            <w:tcW w:w="2269" w:type="dxa"/>
            <w:tcBorders>
              <w:top w:val="nil"/>
              <w:left w:val="single" w:sz="4" w:space="0" w:color="auto"/>
              <w:bottom w:val="nil"/>
              <w:right w:val="nil"/>
            </w:tcBorders>
          </w:tcPr>
          <w:p w14:paraId="3B685BF9"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Radim Cermak</w:t>
            </w:r>
          </w:p>
        </w:tc>
        <w:tc>
          <w:tcPr>
            <w:tcW w:w="3827" w:type="dxa"/>
            <w:tcBorders>
              <w:top w:val="nil"/>
              <w:left w:val="nil"/>
              <w:bottom w:val="nil"/>
              <w:right w:val="nil"/>
            </w:tcBorders>
          </w:tcPr>
          <w:p w14:paraId="2D9D37CD"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Ingersoll Rand</w:t>
            </w:r>
          </w:p>
        </w:tc>
        <w:tc>
          <w:tcPr>
            <w:tcW w:w="1417" w:type="dxa"/>
            <w:tcBorders>
              <w:top w:val="nil"/>
              <w:left w:val="nil"/>
              <w:bottom w:val="nil"/>
              <w:right w:val="nil"/>
            </w:tcBorders>
          </w:tcPr>
          <w:p w14:paraId="03726CDF" w14:textId="77777777" w:rsidR="00E77979" w:rsidRPr="00FD4EE9" w:rsidRDefault="00E77979" w:rsidP="004334B7">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Czech Rep</w:t>
            </w:r>
          </w:p>
        </w:tc>
        <w:tc>
          <w:tcPr>
            <w:tcW w:w="1418" w:type="dxa"/>
            <w:tcBorders>
              <w:top w:val="nil"/>
              <w:left w:val="nil"/>
              <w:bottom w:val="nil"/>
              <w:right w:val="nil"/>
            </w:tcBorders>
          </w:tcPr>
          <w:p w14:paraId="57C75FBB"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2018</w:t>
            </w:r>
          </w:p>
        </w:tc>
      </w:tr>
      <w:tr w:rsidR="00E77979" w:rsidRPr="00FD4EE9" w14:paraId="7E6DF943" w14:textId="77777777" w:rsidTr="00E77979">
        <w:tc>
          <w:tcPr>
            <w:tcW w:w="2269" w:type="dxa"/>
            <w:tcBorders>
              <w:top w:val="nil"/>
              <w:left w:val="single" w:sz="4" w:space="0" w:color="auto"/>
              <w:bottom w:val="nil"/>
              <w:right w:val="nil"/>
            </w:tcBorders>
          </w:tcPr>
          <w:p w14:paraId="0AACD65E"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Guangming Chen</w:t>
            </w:r>
          </w:p>
        </w:tc>
        <w:tc>
          <w:tcPr>
            <w:tcW w:w="3827" w:type="dxa"/>
            <w:tcBorders>
              <w:top w:val="nil"/>
              <w:left w:val="nil"/>
              <w:bottom w:val="nil"/>
              <w:right w:val="nil"/>
            </w:tcBorders>
          </w:tcPr>
          <w:p w14:paraId="23A8963D"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 xml:space="preserve">Zhejiang University, Hangzhou </w:t>
            </w:r>
          </w:p>
        </w:tc>
        <w:tc>
          <w:tcPr>
            <w:tcW w:w="1417" w:type="dxa"/>
            <w:tcBorders>
              <w:top w:val="nil"/>
              <w:left w:val="nil"/>
              <w:bottom w:val="nil"/>
              <w:right w:val="nil"/>
            </w:tcBorders>
          </w:tcPr>
          <w:p w14:paraId="15985D95"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China</w:t>
            </w:r>
          </w:p>
        </w:tc>
        <w:tc>
          <w:tcPr>
            <w:tcW w:w="1418" w:type="dxa"/>
            <w:tcBorders>
              <w:top w:val="nil"/>
              <w:left w:val="nil"/>
              <w:bottom w:val="nil"/>
              <w:right w:val="nil"/>
            </w:tcBorders>
          </w:tcPr>
          <w:p w14:paraId="114AD22E"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2018</w:t>
            </w:r>
          </w:p>
        </w:tc>
      </w:tr>
      <w:tr w:rsidR="00E77979" w:rsidRPr="00FD4EE9" w14:paraId="2972BB08" w14:textId="77777777" w:rsidTr="00E77979">
        <w:tc>
          <w:tcPr>
            <w:tcW w:w="2269" w:type="dxa"/>
            <w:tcBorders>
              <w:top w:val="nil"/>
              <w:left w:val="single" w:sz="4" w:space="0" w:color="auto"/>
              <w:bottom w:val="nil"/>
              <w:right w:val="nil"/>
            </w:tcBorders>
          </w:tcPr>
          <w:p w14:paraId="5C007547"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Jiangpin Chen</w:t>
            </w:r>
          </w:p>
        </w:tc>
        <w:tc>
          <w:tcPr>
            <w:tcW w:w="3827" w:type="dxa"/>
            <w:tcBorders>
              <w:top w:val="nil"/>
              <w:left w:val="nil"/>
              <w:bottom w:val="nil"/>
              <w:right w:val="nil"/>
            </w:tcBorders>
          </w:tcPr>
          <w:p w14:paraId="189FFB0A" w14:textId="102E0956"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23"/>
              <w:rPr>
                <w:sz w:val="20"/>
              </w:rPr>
            </w:pPr>
            <w:r w:rsidRPr="00FD4EE9">
              <w:rPr>
                <w:sz w:val="20"/>
              </w:rPr>
              <w:t xml:space="preserve">Shanghai </w:t>
            </w:r>
            <w:r w:rsidR="00A66B22" w:rsidRPr="00A66B22">
              <w:rPr>
                <w:sz w:val="20"/>
              </w:rPr>
              <w:t xml:space="preserve">Jiao Tong </w:t>
            </w:r>
            <w:r w:rsidRPr="00FD4EE9">
              <w:rPr>
                <w:sz w:val="20"/>
              </w:rPr>
              <w:t>University</w:t>
            </w:r>
          </w:p>
        </w:tc>
        <w:tc>
          <w:tcPr>
            <w:tcW w:w="1417" w:type="dxa"/>
            <w:tcBorders>
              <w:top w:val="nil"/>
              <w:left w:val="nil"/>
              <w:bottom w:val="nil"/>
              <w:right w:val="nil"/>
            </w:tcBorders>
          </w:tcPr>
          <w:p w14:paraId="4C6E64BB"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China</w:t>
            </w:r>
          </w:p>
        </w:tc>
        <w:tc>
          <w:tcPr>
            <w:tcW w:w="1418" w:type="dxa"/>
            <w:tcBorders>
              <w:top w:val="nil"/>
              <w:left w:val="nil"/>
              <w:bottom w:val="nil"/>
              <w:right w:val="nil"/>
            </w:tcBorders>
          </w:tcPr>
          <w:p w14:paraId="421B3951"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2018</w:t>
            </w:r>
          </w:p>
        </w:tc>
      </w:tr>
      <w:tr w:rsidR="00E77979" w:rsidRPr="00FD4EE9" w14:paraId="7C698202" w14:textId="77777777" w:rsidTr="00E77979">
        <w:tc>
          <w:tcPr>
            <w:tcW w:w="2269" w:type="dxa"/>
            <w:tcBorders>
              <w:top w:val="nil"/>
              <w:left w:val="single" w:sz="4" w:space="0" w:color="auto"/>
              <w:bottom w:val="nil"/>
              <w:right w:val="nil"/>
            </w:tcBorders>
          </w:tcPr>
          <w:p w14:paraId="317DFD3F"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Daniel Colbourne</w:t>
            </w:r>
          </w:p>
        </w:tc>
        <w:tc>
          <w:tcPr>
            <w:tcW w:w="3827" w:type="dxa"/>
            <w:tcBorders>
              <w:top w:val="nil"/>
              <w:left w:val="nil"/>
              <w:bottom w:val="nil"/>
              <w:right w:val="nil"/>
            </w:tcBorders>
          </w:tcPr>
          <w:p w14:paraId="49691D79"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23"/>
              <w:rPr>
                <w:sz w:val="20"/>
              </w:rPr>
            </w:pPr>
            <w:r w:rsidRPr="00FD4EE9">
              <w:rPr>
                <w:sz w:val="20"/>
              </w:rPr>
              <w:t>Re-phridge Consultancy</w:t>
            </w:r>
          </w:p>
        </w:tc>
        <w:tc>
          <w:tcPr>
            <w:tcW w:w="1417" w:type="dxa"/>
            <w:tcBorders>
              <w:top w:val="nil"/>
              <w:left w:val="nil"/>
              <w:bottom w:val="nil"/>
              <w:right w:val="nil"/>
            </w:tcBorders>
          </w:tcPr>
          <w:p w14:paraId="609C7EA6"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UK</w:t>
            </w:r>
          </w:p>
        </w:tc>
        <w:tc>
          <w:tcPr>
            <w:tcW w:w="1418" w:type="dxa"/>
            <w:tcBorders>
              <w:top w:val="nil"/>
              <w:left w:val="nil"/>
              <w:bottom w:val="nil"/>
              <w:right w:val="nil"/>
            </w:tcBorders>
          </w:tcPr>
          <w:p w14:paraId="6EB3A262"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2018</w:t>
            </w:r>
          </w:p>
        </w:tc>
      </w:tr>
      <w:tr w:rsidR="00E77979" w:rsidRPr="00FD4EE9" w14:paraId="12F313C8" w14:textId="77777777" w:rsidTr="00E77979">
        <w:tc>
          <w:tcPr>
            <w:tcW w:w="2269" w:type="dxa"/>
            <w:tcBorders>
              <w:top w:val="nil"/>
              <w:left w:val="single" w:sz="4" w:space="0" w:color="auto"/>
              <w:bottom w:val="nil"/>
              <w:right w:val="nil"/>
            </w:tcBorders>
          </w:tcPr>
          <w:p w14:paraId="76AD8308"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Richard DeVos</w:t>
            </w:r>
          </w:p>
        </w:tc>
        <w:tc>
          <w:tcPr>
            <w:tcW w:w="3827" w:type="dxa"/>
            <w:tcBorders>
              <w:top w:val="nil"/>
              <w:left w:val="nil"/>
              <w:bottom w:val="nil"/>
              <w:right w:val="nil"/>
            </w:tcBorders>
          </w:tcPr>
          <w:p w14:paraId="7988B0EE"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23"/>
              <w:rPr>
                <w:sz w:val="20"/>
              </w:rPr>
            </w:pPr>
            <w:r w:rsidRPr="00FD4EE9">
              <w:rPr>
                <w:sz w:val="20"/>
              </w:rPr>
              <w:t>General Electric</w:t>
            </w:r>
          </w:p>
        </w:tc>
        <w:tc>
          <w:tcPr>
            <w:tcW w:w="1417" w:type="dxa"/>
            <w:tcBorders>
              <w:top w:val="nil"/>
              <w:left w:val="nil"/>
              <w:bottom w:val="nil"/>
              <w:right w:val="nil"/>
            </w:tcBorders>
          </w:tcPr>
          <w:p w14:paraId="0BF89160" w14:textId="1BE89D1D" w:rsidR="00E77979" w:rsidRPr="00FD4EE9" w:rsidRDefault="0070607D"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Pr>
                <w:sz w:val="20"/>
              </w:rPr>
              <w:t>US</w:t>
            </w:r>
          </w:p>
        </w:tc>
        <w:tc>
          <w:tcPr>
            <w:tcW w:w="1418" w:type="dxa"/>
            <w:tcBorders>
              <w:top w:val="nil"/>
              <w:left w:val="nil"/>
              <w:bottom w:val="nil"/>
              <w:right w:val="nil"/>
            </w:tcBorders>
          </w:tcPr>
          <w:p w14:paraId="59EDCD8A"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2018</w:t>
            </w:r>
          </w:p>
        </w:tc>
      </w:tr>
      <w:tr w:rsidR="00E77979" w:rsidRPr="00FD4EE9" w14:paraId="3B8C510B" w14:textId="77777777" w:rsidTr="00E77979">
        <w:tc>
          <w:tcPr>
            <w:tcW w:w="2269" w:type="dxa"/>
            <w:tcBorders>
              <w:top w:val="nil"/>
              <w:left w:val="single" w:sz="4" w:space="0" w:color="auto"/>
              <w:bottom w:val="nil"/>
              <w:right w:val="nil"/>
            </w:tcBorders>
          </w:tcPr>
          <w:p w14:paraId="124AA1AC"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Sukumar Devotta</w:t>
            </w:r>
          </w:p>
        </w:tc>
        <w:tc>
          <w:tcPr>
            <w:tcW w:w="3827" w:type="dxa"/>
            <w:tcBorders>
              <w:top w:val="nil"/>
              <w:left w:val="nil"/>
              <w:bottom w:val="nil"/>
              <w:right w:val="nil"/>
            </w:tcBorders>
          </w:tcPr>
          <w:p w14:paraId="5428F7EF"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23"/>
              <w:rPr>
                <w:sz w:val="20"/>
              </w:rPr>
            </w:pPr>
            <w:r w:rsidRPr="00FD4EE9">
              <w:rPr>
                <w:sz w:val="20"/>
              </w:rPr>
              <w:t>Consultant</w:t>
            </w:r>
          </w:p>
        </w:tc>
        <w:tc>
          <w:tcPr>
            <w:tcW w:w="1417" w:type="dxa"/>
            <w:tcBorders>
              <w:top w:val="nil"/>
              <w:left w:val="nil"/>
              <w:bottom w:val="nil"/>
              <w:right w:val="nil"/>
            </w:tcBorders>
          </w:tcPr>
          <w:p w14:paraId="42BC6B5C"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India</w:t>
            </w:r>
          </w:p>
        </w:tc>
        <w:tc>
          <w:tcPr>
            <w:tcW w:w="1418" w:type="dxa"/>
            <w:tcBorders>
              <w:top w:val="nil"/>
              <w:left w:val="nil"/>
              <w:bottom w:val="nil"/>
              <w:right w:val="nil"/>
            </w:tcBorders>
          </w:tcPr>
          <w:p w14:paraId="516F729A"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2018</w:t>
            </w:r>
          </w:p>
        </w:tc>
      </w:tr>
      <w:tr w:rsidR="00E77979" w:rsidRPr="00FD4EE9" w14:paraId="4E6B5082" w14:textId="77777777" w:rsidTr="00E77979">
        <w:tc>
          <w:tcPr>
            <w:tcW w:w="2269" w:type="dxa"/>
            <w:tcBorders>
              <w:top w:val="nil"/>
              <w:left w:val="single" w:sz="4" w:space="0" w:color="auto"/>
              <w:bottom w:val="nil"/>
              <w:right w:val="nil"/>
            </w:tcBorders>
          </w:tcPr>
          <w:p w14:paraId="110DD755"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Martin Dieryckx</w:t>
            </w:r>
          </w:p>
        </w:tc>
        <w:tc>
          <w:tcPr>
            <w:tcW w:w="3827" w:type="dxa"/>
            <w:tcBorders>
              <w:top w:val="nil"/>
              <w:left w:val="nil"/>
              <w:bottom w:val="nil"/>
              <w:right w:val="nil"/>
            </w:tcBorders>
          </w:tcPr>
          <w:p w14:paraId="5B0AA487"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23"/>
              <w:rPr>
                <w:sz w:val="20"/>
              </w:rPr>
            </w:pPr>
            <w:r w:rsidRPr="00FD4EE9">
              <w:rPr>
                <w:sz w:val="20"/>
              </w:rPr>
              <w:t>Daikin Europe</w:t>
            </w:r>
          </w:p>
        </w:tc>
        <w:tc>
          <w:tcPr>
            <w:tcW w:w="1417" w:type="dxa"/>
            <w:tcBorders>
              <w:top w:val="nil"/>
              <w:left w:val="nil"/>
              <w:bottom w:val="nil"/>
              <w:right w:val="nil"/>
            </w:tcBorders>
          </w:tcPr>
          <w:p w14:paraId="4256C847"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Belgium</w:t>
            </w:r>
          </w:p>
        </w:tc>
        <w:tc>
          <w:tcPr>
            <w:tcW w:w="1418" w:type="dxa"/>
            <w:tcBorders>
              <w:top w:val="nil"/>
              <w:left w:val="nil"/>
              <w:bottom w:val="nil"/>
              <w:right w:val="nil"/>
            </w:tcBorders>
          </w:tcPr>
          <w:p w14:paraId="164E2197"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2018</w:t>
            </w:r>
          </w:p>
        </w:tc>
      </w:tr>
      <w:tr w:rsidR="00E77979" w:rsidRPr="00FD4EE9" w14:paraId="06D1CCBB" w14:textId="77777777" w:rsidTr="00E77979">
        <w:tc>
          <w:tcPr>
            <w:tcW w:w="2269" w:type="dxa"/>
            <w:tcBorders>
              <w:top w:val="nil"/>
              <w:left w:val="single" w:sz="4" w:space="0" w:color="auto"/>
              <w:bottom w:val="nil"/>
              <w:right w:val="nil"/>
            </w:tcBorders>
          </w:tcPr>
          <w:p w14:paraId="05FC5CFA"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Dennis Dorman</w:t>
            </w:r>
          </w:p>
        </w:tc>
        <w:tc>
          <w:tcPr>
            <w:tcW w:w="3827" w:type="dxa"/>
            <w:tcBorders>
              <w:top w:val="nil"/>
              <w:left w:val="nil"/>
              <w:bottom w:val="nil"/>
              <w:right w:val="nil"/>
            </w:tcBorders>
          </w:tcPr>
          <w:p w14:paraId="3D879CD1"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Trane</w:t>
            </w:r>
          </w:p>
        </w:tc>
        <w:tc>
          <w:tcPr>
            <w:tcW w:w="1417" w:type="dxa"/>
            <w:tcBorders>
              <w:top w:val="nil"/>
              <w:left w:val="nil"/>
              <w:bottom w:val="nil"/>
              <w:right w:val="nil"/>
            </w:tcBorders>
          </w:tcPr>
          <w:p w14:paraId="1697C808" w14:textId="40A1451E" w:rsidR="00E77979" w:rsidRPr="00FD4EE9" w:rsidRDefault="0070607D"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Pr>
                <w:sz w:val="20"/>
              </w:rPr>
              <w:t>US</w:t>
            </w:r>
          </w:p>
        </w:tc>
        <w:tc>
          <w:tcPr>
            <w:tcW w:w="1418" w:type="dxa"/>
            <w:tcBorders>
              <w:top w:val="nil"/>
              <w:left w:val="nil"/>
              <w:bottom w:val="nil"/>
              <w:right w:val="nil"/>
            </w:tcBorders>
          </w:tcPr>
          <w:p w14:paraId="57E1A708"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2018</w:t>
            </w:r>
          </w:p>
        </w:tc>
      </w:tr>
      <w:tr w:rsidR="00E77979" w:rsidRPr="00FD4EE9" w14:paraId="431E82A2" w14:textId="77777777" w:rsidTr="00E77979">
        <w:tc>
          <w:tcPr>
            <w:tcW w:w="2269" w:type="dxa"/>
            <w:tcBorders>
              <w:top w:val="nil"/>
              <w:left w:val="single" w:sz="4" w:space="0" w:color="auto"/>
              <w:bottom w:val="nil"/>
              <w:right w:val="nil"/>
            </w:tcBorders>
          </w:tcPr>
          <w:p w14:paraId="39A7C7D9"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Bassam Elassaad</w:t>
            </w:r>
          </w:p>
        </w:tc>
        <w:tc>
          <w:tcPr>
            <w:tcW w:w="3827" w:type="dxa"/>
            <w:tcBorders>
              <w:top w:val="nil"/>
              <w:left w:val="nil"/>
              <w:bottom w:val="nil"/>
              <w:right w:val="nil"/>
            </w:tcBorders>
          </w:tcPr>
          <w:p w14:paraId="74AAA639"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Consultant</w:t>
            </w:r>
          </w:p>
        </w:tc>
        <w:tc>
          <w:tcPr>
            <w:tcW w:w="1417" w:type="dxa"/>
            <w:tcBorders>
              <w:top w:val="nil"/>
              <w:left w:val="nil"/>
              <w:bottom w:val="nil"/>
              <w:right w:val="nil"/>
            </w:tcBorders>
          </w:tcPr>
          <w:p w14:paraId="51B7C31B"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Lebanon</w:t>
            </w:r>
          </w:p>
        </w:tc>
        <w:tc>
          <w:tcPr>
            <w:tcW w:w="1418" w:type="dxa"/>
            <w:tcBorders>
              <w:top w:val="nil"/>
              <w:left w:val="nil"/>
              <w:bottom w:val="nil"/>
              <w:right w:val="nil"/>
            </w:tcBorders>
          </w:tcPr>
          <w:p w14:paraId="11C4B9F4"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2018</w:t>
            </w:r>
          </w:p>
        </w:tc>
      </w:tr>
      <w:tr w:rsidR="0013442A" w:rsidRPr="00FD4EE9" w14:paraId="47950A05" w14:textId="77777777" w:rsidTr="00E77979">
        <w:tc>
          <w:tcPr>
            <w:tcW w:w="2269" w:type="dxa"/>
            <w:tcBorders>
              <w:top w:val="nil"/>
              <w:left w:val="single" w:sz="4" w:space="0" w:color="auto"/>
              <w:bottom w:val="nil"/>
              <w:right w:val="nil"/>
            </w:tcBorders>
          </w:tcPr>
          <w:p w14:paraId="612EA3BB" w14:textId="3BAE4313" w:rsidR="0013442A" w:rsidRPr="00FD4EE9" w:rsidRDefault="0013442A"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Pr>
                <w:sz w:val="20"/>
              </w:rPr>
              <w:t>Ray Gluckman</w:t>
            </w:r>
          </w:p>
        </w:tc>
        <w:tc>
          <w:tcPr>
            <w:tcW w:w="3827" w:type="dxa"/>
            <w:tcBorders>
              <w:top w:val="nil"/>
              <w:left w:val="nil"/>
              <w:bottom w:val="nil"/>
              <w:right w:val="nil"/>
            </w:tcBorders>
          </w:tcPr>
          <w:p w14:paraId="554C157F" w14:textId="275000E7" w:rsidR="0013442A" w:rsidRPr="00FD4EE9" w:rsidRDefault="0013442A"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Pr>
                <w:sz w:val="20"/>
              </w:rPr>
              <w:t>Gluckman Consulting</w:t>
            </w:r>
          </w:p>
        </w:tc>
        <w:tc>
          <w:tcPr>
            <w:tcW w:w="1417" w:type="dxa"/>
            <w:tcBorders>
              <w:top w:val="nil"/>
              <w:left w:val="nil"/>
              <w:bottom w:val="nil"/>
              <w:right w:val="nil"/>
            </w:tcBorders>
          </w:tcPr>
          <w:p w14:paraId="62E19DCC" w14:textId="433F5EF5" w:rsidR="0013442A" w:rsidRPr="00FD4EE9" w:rsidRDefault="0013442A"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Pr>
                <w:sz w:val="20"/>
              </w:rPr>
              <w:t>UK</w:t>
            </w:r>
          </w:p>
        </w:tc>
        <w:tc>
          <w:tcPr>
            <w:tcW w:w="1418" w:type="dxa"/>
            <w:tcBorders>
              <w:top w:val="nil"/>
              <w:left w:val="nil"/>
              <w:bottom w:val="nil"/>
              <w:right w:val="nil"/>
            </w:tcBorders>
          </w:tcPr>
          <w:p w14:paraId="046F9433" w14:textId="712AA9F4" w:rsidR="0013442A" w:rsidRPr="00FD4EE9" w:rsidRDefault="0013442A"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Pr>
                <w:sz w:val="20"/>
              </w:rPr>
              <w:t>2020</w:t>
            </w:r>
          </w:p>
        </w:tc>
      </w:tr>
      <w:tr w:rsidR="00E77979" w:rsidRPr="00FD4EE9" w14:paraId="3CA34EE6" w14:textId="77777777" w:rsidTr="00E77979">
        <w:tc>
          <w:tcPr>
            <w:tcW w:w="2269" w:type="dxa"/>
            <w:tcBorders>
              <w:top w:val="nil"/>
              <w:left w:val="single" w:sz="4" w:space="0" w:color="auto"/>
              <w:bottom w:val="nil"/>
              <w:right w:val="nil"/>
            </w:tcBorders>
          </w:tcPr>
          <w:p w14:paraId="04865526"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Dave Godwin</w:t>
            </w:r>
          </w:p>
        </w:tc>
        <w:tc>
          <w:tcPr>
            <w:tcW w:w="3827" w:type="dxa"/>
            <w:tcBorders>
              <w:top w:val="nil"/>
              <w:left w:val="nil"/>
              <w:bottom w:val="nil"/>
              <w:right w:val="nil"/>
            </w:tcBorders>
          </w:tcPr>
          <w:p w14:paraId="307D538B"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U.S. EPA</w:t>
            </w:r>
          </w:p>
        </w:tc>
        <w:tc>
          <w:tcPr>
            <w:tcW w:w="1417" w:type="dxa"/>
            <w:tcBorders>
              <w:top w:val="nil"/>
              <w:left w:val="nil"/>
              <w:bottom w:val="nil"/>
              <w:right w:val="nil"/>
            </w:tcBorders>
          </w:tcPr>
          <w:p w14:paraId="52FAD2F0" w14:textId="49EE8DAC" w:rsidR="00E77979" w:rsidRPr="00FD4EE9" w:rsidRDefault="0070607D"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Pr>
                <w:sz w:val="20"/>
              </w:rPr>
              <w:t>US</w:t>
            </w:r>
          </w:p>
        </w:tc>
        <w:tc>
          <w:tcPr>
            <w:tcW w:w="1418" w:type="dxa"/>
            <w:tcBorders>
              <w:top w:val="nil"/>
              <w:left w:val="nil"/>
              <w:bottom w:val="nil"/>
              <w:right w:val="nil"/>
            </w:tcBorders>
          </w:tcPr>
          <w:p w14:paraId="7B7B1A0D"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2018</w:t>
            </w:r>
          </w:p>
        </w:tc>
      </w:tr>
      <w:tr w:rsidR="00E77979" w:rsidRPr="00FD4EE9" w14:paraId="2604714B" w14:textId="77777777" w:rsidTr="00E77979">
        <w:tc>
          <w:tcPr>
            <w:tcW w:w="2269" w:type="dxa"/>
            <w:tcBorders>
              <w:top w:val="nil"/>
              <w:left w:val="single" w:sz="4" w:space="0" w:color="auto"/>
              <w:bottom w:val="nil"/>
              <w:right w:val="nil"/>
            </w:tcBorders>
          </w:tcPr>
          <w:p w14:paraId="60168FDD"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Marino Grozdek</w:t>
            </w:r>
          </w:p>
        </w:tc>
        <w:tc>
          <w:tcPr>
            <w:tcW w:w="3827" w:type="dxa"/>
            <w:tcBorders>
              <w:top w:val="nil"/>
              <w:left w:val="nil"/>
              <w:bottom w:val="nil"/>
              <w:right w:val="nil"/>
            </w:tcBorders>
          </w:tcPr>
          <w:p w14:paraId="5C9A07F8"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University of Zagreb</w:t>
            </w:r>
          </w:p>
        </w:tc>
        <w:tc>
          <w:tcPr>
            <w:tcW w:w="1417" w:type="dxa"/>
            <w:tcBorders>
              <w:top w:val="nil"/>
              <w:left w:val="nil"/>
              <w:bottom w:val="nil"/>
              <w:right w:val="nil"/>
            </w:tcBorders>
          </w:tcPr>
          <w:p w14:paraId="1C30AA82"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Croatia</w:t>
            </w:r>
          </w:p>
        </w:tc>
        <w:tc>
          <w:tcPr>
            <w:tcW w:w="1418" w:type="dxa"/>
            <w:tcBorders>
              <w:top w:val="nil"/>
              <w:left w:val="nil"/>
              <w:bottom w:val="nil"/>
              <w:right w:val="nil"/>
            </w:tcBorders>
          </w:tcPr>
          <w:p w14:paraId="120A08E8"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2018</w:t>
            </w:r>
          </w:p>
        </w:tc>
      </w:tr>
      <w:tr w:rsidR="00E77979" w:rsidRPr="00FD4EE9" w14:paraId="4B15FB74" w14:textId="77777777" w:rsidTr="00E77979">
        <w:tc>
          <w:tcPr>
            <w:tcW w:w="2269" w:type="dxa"/>
            <w:tcBorders>
              <w:top w:val="nil"/>
              <w:left w:val="single" w:sz="4" w:space="0" w:color="auto"/>
              <w:bottom w:val="nil"/>
              <w:right w:val="nil"/>
            </w:tcBorders>
          </w:tcPr>
          <w:p w14:paraId="137B08E4"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Samir Hamed</w:t>
            </w:r>
          </w:p>
        </w:tc>
        <w:tc>
          <w:tcPr>
            <w:tcW w:w="3827" w:type="dxa"/>
            <w:tcBorders>
              <w:top w:val="nil"/>
              <w:left w:val="nil"/>
              <w:bottom w:val="nil"/>
              <w:right w:val="nil"/>
            </w:tcBorders>
          </w:tcPr>
          <w:p w14:paraId="7210C09B"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Petra Industries</w:t>
            </w:r>
          </w:p>
        </w:tc>
        <w:tc>
          <w:tcPr>
            <w:tcW w:w="1417" w:type="dxa"/>
            <w:tcBorders>
              <w:top w:val="nil"/>
              <w:left w:val="nil"/>
              <w:bottom w:val="nil"/>
              <w:right w:val="nil"/>
            </w:tcBorders>
          </w:tcPr>
          <w:p w14:paraId="07B9F9D7"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Jordan</w:t>
            </w:r>
          </w:p>
        </w:tc>
        <w:tc>
          <w:tcPr>
            <w:tcW w:w="1418" w:type="dxa"/>
            <w:tcBorders>
              <w:top w:val="nil"/>
              <w:left w:val="nil"/>
              <w:bottom w:val="nil"/>
              <w:right w:val="nil"/>
            </w:tcBorders>
          </w:tcPr>
          <w:p w14:paraId="04B26694"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2018</w:t>
            </w:r>
          </w:p>
        </w:tc>
      </w:tr>
      <w:tr w:rsidR="00E77979" w:rsidRPr="00FD4EE9" w14:paraId="6F9C9326" w14:textId="77777777" w:rsidTr="00E77979">
        <w:tc>
          <w:tcPr>
            <w:tcW w:w="2269" w:type="dxa"/>
            <w:tcBorders>
              <w:top w:val="nil"/>
              <w:left w:val="single" w:sz="4" w:space="0" w:color="auto"/>
              <w:bottom w:val="nil"/>
              <w:right w:val="nil"/>
            </w:tcBorders>
          </w:tcPr>
          <w:p w14:paraId="255C7A1E"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Martien Janssen</w:t>
            </w:r>
          </w:p>
        </w:tc>
        <w:tc>
          <w:tcPr>
            <w:tcW w:w="3827" w:type="dxa"/>
            <w:tcBorders>
              <w:top w:val="nil"/>
              <w:left w:val="nil"/>
              <w:bottom w:val="nil"/>
              <w:right w:val="nil"/>
            </w:tcBorders>
          </w:tcPr>
          <w:p w14:paraId="67C596BB"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Re/genT</w:t>
            </w:r>
          </w:p>
        </w:tc>
        <w:tc>
          <w:tcPr>
            <w:tcW w:w="1417" w:type="dxa"/>
            <w:tcBorders>
              <w:top w:val="nil"/>
              <w:left w:val="nil"/>
              <w:bottom w:val="nil"/>
              <w:right w:val="nil"/>
            </w:tcBorders>
          </w:tcPr>
          <w:p w14:paraId="223468DD"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Netherlands</w:t>
            </w:r>
          </w:p>
        </w:tc>
        <w:tc>
          <w:tcPr>
            <w:tcW w:w="1418" w:type="dxa"/>
            <w:tcBorders>
              <w:top w:val="nil"/>
              <w:left w:val="nil"/>
              <w:bottom w:val="nil"/>
              <w:right w:val="nil"/>
            </w:tcBorders>
          </w:tcPr>
          <w:p w14:paraId="4FA7B376"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2018</w:t>
            </w:r>
          </w:p>
        </w:tc>
      </w:tr>
      <w:tr w:rsidR="00E77979" w:rsidRPr="00FD4EE9" w14:paraId="01F5095D" w14:textId="77777777" w:rsidTr="00E77979">
        <w:tc>
          <w:tcPr>
            <w:tcW w:w="2269" w:type="dxa"/>
            <w:tcBorders>
              <w:top w:val="nil"/>
              <w:left w:val="single" w:sz="4" w:space="0" w:color="auto"/>
              <w:bottom w:val="nil"/>
              <w:right w:val="nil"/>
            </w:tcBorders>
          </w:tcPr>
          <w:p w14:paraId="49A3A807"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Michael Kauffeld</w:t>
            </w:r>
          </w:p>
        </w:tc>
        <w:tc>
          <w:tcPr>
            <w:tcW w:w="3827" w:type="dxa"/>
            <w:tcBorders>
              <w:top w:val="nil"/>
              <w:left w:val="nil"/>
              <w:bottom w:val="nil"/>
              <w:right w:val="nil"/>
            </w:tcBorders>
          </w:tcPr>
          <w:p w14:paraId="2671E4B8"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Fachhochschule Karlsruhe</w:t>
            </w:r>
          </w:p>
        </w:tc>
        <w:tc>
          <w:tcPr>
            <w:tcW w:w="1417" w:type="dxa"/>
            <w:tcBorders>
              <w:top w:val="nil"/>
              <w:left w:val="nil"/>
              <w:bottom w:val="nil"/>
              <w:right w:val="nil"/>
            </w:tcBorders>
          </w:tcPr>
          <w:p w14:paraId="7A6027F4"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Germany</w:t>
            </w:r>
          </w:p>
        </w:tc>
        <w:tc>
          <w:tcPr>
            <w:tcW w:w="1418" w:type="dxa"/>
            <w:tcBorders>
              <w:top w:val="nil"/>
              <w:left w:val="nil"/>
              <w:bottom w:val="nil"/>
              <w:right w:val="nil"/>
            </w:tcBorders>
          </w:tcPr>
          <w:p w14:paraId="55E9B5EC"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2018</w:t>
            </w:r>
          </w:p>
        </w:tc>
      </w:tr>
      <w:tr w:rsidR="00E77979" w:rsidRPr="00FD4EE9" w14:paraId="72879091" w14:textId="77777777" w:rsidTr="00E77979">
        <w:tc>
          <w:tcPr>
            <w:tcW w:w="2269" w:type="dxa"/>
            <w:tcBorders>
              <w:top w:val="nil"/>
              <w:left w:val="single" w:sz="4" w:space="0" w:color="auto"/>
              <w:bottom w:val="nil"/>
              <w:right w:val="nil"/>
            </w:tcBorders>
          </w:tcPr>
          <w:p w14:paraId="3074D41B"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Jürgen Köhler</w:t>
            </w:r>
          </w:p>
        </w:tc>
        <w:tc>
          <w:tcPr>
            <w:tcW w:w="3827" w:type="dxa"/>
            <w:tcBorders>
              <w:top w:val="nil"/>
              <w:left w:val="nil"/>
              <w:bottom w:val="nil"/>
              <w:right w:val="nil"/>
            </w:tcBorders>
          </w:tcPr>
          <w:p w14:paraId="0CF9E6CE"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University of Braunschweig</w:t>
            </w:r>
          </w:p>
        </w:tc>
        <w:tc>
          <w:tcPr>
            <w:tcW w:w="1417" w:type="dxa"/>
            <w:tcBorders>
              <w:top w:val="nil"/>
              <w:left w:val="nil"/>
              <w:bottom w:val="nil"/>
              <w:right w:val="nil"/>
            </w:tcBorders>
          </w:tcPr>
          <w:p w14:paraId="6A1832E4"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Germany</w:t>
            </w:r>
          </w:p>
        </w:tc>
        <w:tc>
          <w:tcPr>
            <w:tcW w:w="1418" w:type="dxa"/>
            <w:tcBorders>
              <w:top w:val="nil"/>
              <w:left w:val="nil"/>
              <w:bottom w:val="nil"/>
              <w:right w:val="nil"/>
            </w:tcBorders>
          </w:tcPr>
          <w:p w14:paraId="3D654EA9"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2018</w:t>
            </w:r>
          </w:p>
        </w:tc>
      </w:tr>
      <w:tr w:rsidR="00E77979" w:rsidRPr="00FD4EE9" w14:paraId="2F1308E6" w14:textId="77777777" w:rsidTr="00E77979">
        <w:tc>
          <w:tcPr>
            <w:tcW w:w="2269" w:type="dxa"/>
            <w:tcBorders>
              <w:top w:val="nil"/>
              <w:left w:val="single" w:sz="4" w:space="0" w:color="auto"/>
              <w:bottom w:val="nil"/>
              <w:right w:val="nil"/>
            </w:tcBorders>
          </w:tcPr>
          <w:p w14:paraId="55C20F73"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Holger König</w:t>
            </w:r>
          </w:p>
        </w:tc>
        <w:tc>
          <w:tcPr>
            <w:tcW w:w="3827" w:type="dxa"/>
            <w:tcBorders>
              <w:top w:val="nil"/>
              <w:left w:val="nil"/>
              <w:bottom w:val="nil"/>
              <w:right w:val="nil"/>
            </w:tcBorders>
          </w:tcPr>
          <w:p w14:paraId="10D78386"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Ref-tech Consultancy</w:t>
            </w:r>
          </w:p>
        </w:tc>
        <w:tc>
          <w:tcPr>
            <w:tcW w:w="1417" w:type="dxa"/>
            <w:tcBorders>
              <w:top w:val="nil"/>
              <w:left w:val="nil"/>
              <w:bottom w:val="nil"/>
              <w:right w:val="nil"/>
            </w:tcBorders>
          </w:tcPr>
          <w:p w14:paraId="36DD6FDE"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Germany</w:t>
            </w:r>
          </w:p>
        </w:tc>
        <w:tc>
          <w:tcPr>
            <w:tcW w:w="1418" w:type="dxa"/>
            <w:tcBorders>
              <w:top w:val="nil"/>
              <w:left w:val="nil"/>
              <w:bottom w:val="nil"/>
              <w:right w:val="nil"/>
            </w:tcBorders>
          </w:tcPr>
          <w:p w14:paraId="6819565C"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2018</w:t>
            </w:r>
          </w:p>
        </w:tc>
      </w:tr>
      <w:tr w:rsidR="00E77979" w:rsidRPr="00FD4EE9" w14:paraId="0920D56A" w14:textId="77777777" w:rsidTr="00E77979">
        <w:tc>
          <w:tcPr>
            <w:tcW w:w="2269" w:type="dxa"/>
            <w:tcBorders>
              <w:top w:val="nil"/>
              <w:left w:val="single" w:sz="4" w:space="0" w:color="auto"/>
              <w:bottom w:val="nil"/>
              <w:right w:val="nil"/>
            </w:tcBorders>
          </w:tcPr>
          <w:p w14:paraId="0849349A"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Lambert Kuijpers</w:t>
            </w:r>
          </w:p>
        </w:tc>
        <w:tc>
          <w:tcPr>
            <w:tcW w:w="3827" w:type="dxa"/>
            <w:tcBorders>
              <w:top w:val="nil"/>
              <w:left w:val="nil"/>
              <w:bottom w:val="nil"/>
              <w:right w:val="nil"/>
            </w:tcBorders>
          </w:tcPr>
          <w:p w14:paraId="7B73B1A3"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A/genT Consultancy (TUE Eindhoven)</w:t>
            </w:r>
          </w:p>
        </w:tc>
        <w:tc>
          <w:tcPr>
            <w:tcW w:w="1417" w:type="dxa"/>
            <w:tcBorders>
              <w:top w:val="nil"/>
              <w:left w:val="nil"/>
              <w:bottom w:val="nil"/>
              <w:right w:val="nil"/>
            </w:tcBorders>
          </w:tcPr>
          <w:p w14:paraId="2072B52D"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Netherlands</w:t>
            </w:r>
          </w:p>
        </w:tc>
        <w:tc>
          <w:tcPr>
            <w:tcW w:w="1418" w:type="dxa"/>
            <w:tcBorders>
              <w:top w:val="nil"/>
              <w:left w:val="nil"/>
              <w:bottom w:val="nil"/>
              <w:right w:val="nil"/>
            </w:tcBorders>
          </w:tcPr>
          <w:p w14:paraId="6B9D35AB" w14:textId="23409D5C" w:rsidR="00E77979" w:rsidRPr="00FD4EE9" w:rsidRDefault="00E77979" w:rsidP="0013442A">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w:t>
            </w:r>
            <w:r w:rsidR="0013442A">
              <w:rPr>
                <w:sz w:val="20"/>
              </w:rPr>
              <w:t>20</w:t>
            </w:r>
          </w:p>
        </w:tc>
      </w:tr>
      <w:tr w:rsidR="00E77979" w:rsidRPr="00FD4EE9" w14:paraId="382BF4B9" w14:textId="77777777" w:rsidTr="00E77979">
        <w:tc>
          <w:tcPr>
            <w:tcW w:w="2269" w:type="dxa"/>
            <w:tcBorders>
              <w:top w:val="nil"/>
              <w:left w:val="single" w:sz="4" w:space="0" w:color="auto"/>
              <w:bottom w:val="nil"/>
              <w:right w:val="nil"/>
            </w:tcBorders>
          </w:tcPr>
          <w:p w14:paraId="4BA7F363"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Richard Lawton</w:t>
            </w:r>
          </w:p>
        </w:tc>
        <w:tc>
          <w:tcPr>
            <w:tcW w:w="3827" w:type="dxa"/>
            <w:tcBorders>
              <w:top w:val="nil"/>
              <w:left w:val="nil"/>
              <w:bottom w:val="nil"/>
              <w:right w:val="nil"/>
            </w:tcBorders>
          </w:tcPr>
          <w:p w14:paraId="0530F96E"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CRT Cambridge</w:t>
            </w:r>
          </w:p>
        </w:tc>
        <w:tc>
          <w:tcPr>
            <w:tcW w:w="1417" w:type="dxa"/>
            <w:tcBorders>
              <w:top w:val="nil"/>
              <w:left w:val="nil"/>
              <w:bottom w:val="nil"/>
              <w:right w:val="nil"/>
            </w:tcBorders>
          </w:tcPr>
          <w:p w14:paraId="42DDA9FB"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UK</w:t>
            </w:r>
          </w:p>
        </w:tc>
        <w:tc>
          <w:tcPr>
            <w:tcW w:w="1418" w:type="dxa"/>
            <w:tcBorders>
              <w:top w:val="nil"/>
              <w:left w:val="nil"/>
              <w:bottom w:val="nil"/>
              <w:right w:val="nil"/>
            </w:tcBorders>
          </w:tcPr>
          <w:p w14:paraId="4CCEE4CA"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2018</w:t>
            </w:r>
          </w:p>
        </w:tc>
      </w:tr>
      <w:tr w:rsidR="00E77979" w:rsidRPr="00FD4EE9" w14:paraId="166536E8" w14:textId="77777777" w:rsidTr="00E77979">
        <w:tc>
          <w:tcPr>
            <w:tcW w:w="2269" w:type="dxa"/>
            <w:tcBorders>
              <w:top w:val="nil"/>
              <w:left w:val="single" w:sz="4" w:space="0" w:color="auto"/>
              <w:bottom w:val="nil"/>
              <w:right w:val="nil"/>
            </w:tcBorders>
          </w:tcPr>
          <w:p w14:paraId="095820CC"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Tingxun Li</w:t>
            </w:r>
          </w:p>
        </w:tc>
        <w:tc>
          <w:tcPr>
            <w:tcW w:w="3827" w:type="dxa"/>
            <w:tcBorders>
              <w:top w:val="nil"/>
              <w:left w:val="nil"/>
              <w:bottom w:val="nil"/>
              <w:right w:val="nil"/>
            </w:tcBorders>
          </w:tcPr>
          <w:p w14:paraId="14EEDF72"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Guangzhou University</w:t>
            </w:r>
          </w:p>
        </w:tc>
        <w:tc>
          <w:tcPr>
            <w:tcW w:w="1417" w:type="dxa"/>
            <w:tcBorders>
              <w:top w:val="nil"/>
              <w:left w:val="nil"/>
              <w:bottom w:val="nil"/>
              <w:right w:val="nil"/>
            </w:tcBorders>
          </w:tcPr>
          <w:p w14:paraId="2AFEC7C5"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China</w:t>
            </w:r>
          </w:p>
        </w:tc>
        <w:tc>
          <w:tcPr>
            <w:tcW w:w="1418" w:type="dxa"/>
            <w:tcBorders>
              <w:top w:val="nil"/>
              <w:left w:val="nil"/>
              <w:bottom w:val="nil"/>
              <w:right w:val="nil"/>
            </w:tcBorders>
          </w:tcPr>
          <w:p w14:paraId="0B42A29E"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2018</w:t>
            </w:r>
          </w:p>
        </w:tc>
      </w:tr>
      <w:tr w:rsidR="00E77979" w:rsidRPr="00FD4EE9" w14:paraId="57641C56" w14:textId="77777777" w:rsidTr="00E77979">
        <w:tc>
          <w:tcPr>
            <w:tcW w:w="2269" w:type="dxa"/>
            <w:tcBorders>
              <w:top w:val="nil"/>
              <w:left w:val="single" w:sz="4" w:space="0" w:color="auto"/>
              <w:bottom w:val="nil"/>
              <w:right w:val="nil"/>
            </w:tcBorders>
          </w:tcPr>
          <w:p w14:paraId="43F81BE7"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Dhasan Mohan Lal</w:t>
            </w:r>
          </w:p>
        </w:tc>
        <w:tc>
          <w:tcPr>
            <w:tcW w:w="3827" w:type="dxa"/>
            <w:tcBorders>
              <w:top w:val="nil"/>
              <w:left w:val="nil"/>
              <w:bottom w:val="nil"/>
              <w:right w:val="nil"/>
            </w:tcBorders>
          </w:tcPr>
          <w:p w14:paraId="20533A8C"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Anna University</w:t>
            </w:r>
          </w:p>
        </w:tc>
        <w:tc>
          <w:tcPr>
            <w:tcW w:w="1417" w:type="dxa"/>
            <w:tcBorders>
              <w:top w:val="nil"/>
              <w:left w:val="nil"/>
              <w:bottom w:val="nil"/>
              <w:right w:val="nil"/>
            </w:tcBorders>
          </w:tcPr>
          <w:p w14:paraId="33F9C73B"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India</w:t>
            </w:r>
          </w:p>
        </w:tc>
        <w:tc>
          <w:tcPr>
            <w:tcW w:w="1418" w:type="dxa"/>
            <w:tcBorders>
              <w:top w:val="nil"/>
              <w:left w:val="nil"/>
              <w:bottom w:val="nil"/>
              <w:right w:val="nil"/>
            </w:tcBorders>
          </w:tcPr>
          <w:p w14:paraId="105CE905"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2018</w:t>
            </w:r>
          </w:p>
        </w:tc>
      </w:tr>
      <w:tr w:rsidR="00E77979" w:rsidRPr="00FD4EE9" w14:paraId="1A69A377" w14:textId="77777777" w:rsidTr="00E77979">
        <w:tc>
          <w:tcPr>
            <w:tcW w:w="2269" w:type="dxa"/>
            <w:tcBorders>
              <w:top w:val="nil"/>
              <w:left w:val="single" w:sz="4" w:space="0" w:color="auto"/>
              <w:bottom w:val="nil"/>
              <w:right w:val="nil"/>
            </w:tcBorders>
          </w:tcPr>
          <w:p w14:paraId="369FFFEF"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Maher Mousa</w:t>
            </w:r>
          </w:p>
        </w:tc>
        <w:tc>
          <w:tcPr>
            <w:tcW w:w="3827" w:type="dxa"/>
            <w:tcBorders>
              <w:top w:val="nil"/>
              <w:left w:val="nil"/>
              <w:bottom w:val="nil"/>
              <w:right w:val="nil"/>
            </w:tcBorders>
          </w:tcPr>
          <w:p w14:paraId="332A54DC" w14:textId="6CCED2B2" w:rsidR="00E77979" w:rsidRPr="00FD4EE9" w:rsidRDefault="00E77979" w:rsidP="00A66B22">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MHM</w:t>
            </w:r>
            <w:r w:rsidR="008D06EA">
              <w:rPr>
                <w:sz w:val="20"/>
              </w:rPr>
              <w:t xml:space="preserve"> </w:t>
            </w:r>
            <w:r w:rsidRPr="00FD4EE9">
              <w:rPr>
                <w:sz w:val="20"/>
              </w:rPr>
              <w:t>Consultancy</w:t>
            </w:r>
          </w:p>
        </w:tc>
        <w:tc>
          <w:tcPr>
            <w:tcW w:w="1417" w:type="dxa"/>
            <w:tcBorders>
              <w:top w:val="nil"/>
              <w:left w:val="nil"/>
              <w:bottom w:val="nil"/>
              <w:right w:val="nil"/>
            </w:tcBorders>
          </w:tcPr>
          <w:p w14:paraId="7A063803"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Saudi Arabia</w:t>
            </w:r>
          </w:p>
        </w:tc>
        <w:tc>
          <w:tcPr>
            <w:tcW w:w="1418" w:type="dxa"/>
            <w:tcBorders>
              <w:top w:val="nil"/>
              <w:left w:val="nil"/>
              <w:bottom w:val="nil"/>
              <w:right w:val="nil"/>
            </w:tcBorders>
          </w:tcPr>
          <w:p w14:paraId="5B9FBEDA"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2018</w:t>
            </w:r>
          </w:p>
        </w:tc>
      </w:tr>
      <w:tr w:rsidR="00E77979" w:rsidRPr="00FD4EE9" w14:paraId="4E837BD6" w14:textId="77777777" w:rsidTr="00E77979">
        <w:tc>
          <w:tcPr>
            <w:tcW w:w="2269" w:type="dxa"/>
            <w:tcBorders>
              <w:top w:val="nil"/>
              <w:left w:val="single" w:sz="4" w:space="0" w:color="auto"/>
              <w:bottom w:val="nil"/>
              <w:right w:val="nil"/>
            </w:tcBorders>
          </w:tcPr>
          <w:p w14:paraId="61B0BFC8"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Petter Nekså</w:t>
            </w:r>
          </w:p>
        </w:tc>
        <w:tc>
          <w:tcPr>
            <w:tcW w:w="3827" w:type="dxa"/>
            <w:tcBorders>
              <w:top w:val="nil"/>
              <w:left w:val="nil"/>
              <w:bottom w:val="nil"/>
              <w:right w:val="nil"/>
            </w:tcBorders>
          </w:tcPr>
          <w:p w14:paraId="54BA344C"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SINTEF Energy Research</w:t>
            </w:r>
          </w:p>
        </w:tc>
        <w:tc>
          <w:tcPr>
            <w:tcW w:w="1417" w:type="dxa"/>
            <w:tcBorders>
              <w:top w:val="nil"/>
              <w:left w:val="nil"/>
              <w:bottom w:val="nil"/>
              <w:right w:val="nil"/>
            </w:tcBorders>
          </w:tcPr>
          <w:p w14:paraId="06751CE2"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Norway</w:t>
            </w:r>
          </w:p>
        </w:tc>
        <w:tc>
          <w:tcPr>
            <w:tcW w:w="1418" w:type="dxa"/>
            <w:tcBorders>
              <w:top w:val="nil"/>
              <w:left w:val="nil"/>
              <w:bottom w:val="nil"/>
              <w:right w:val="nil"/>
            </w:tcBorders>
          </w:tcPr>
          <w:p w14:paraId="55E1B256"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2018</w:t>
            </w:r>
          </w:p>
        </w:tc>
      </w:tr>
      <w:tr w:rsidR="00E77979" w:rsidRPr="00FD4EE9" w14:paraId="48A23488" w14:textId="77777777" w:rsidTr="00E77979">
        <w:tc>
          <w:tcPr>
            <w:tcW w:w="2269" w:type="dxa"/>
            <w:tcBorders>
              <w:top w:val="nil"/>
              <w:left w:val="single" w:sz="4" w:space="0" w:color="auto"/>
              <w:bottom w:val="nil"/>
              <w:right w:val="nil"/>
            </w:tcBorders>
          </w:tcPr>
          <w:p w14:paraId="25329E7B"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Horace Nelson</w:t>
            </w:r>
          </w:p>
        </w:tc>
        <w:tc>
          <w:tcPr>
            <w:tcW w:w="3827" w:type="dxa"/>
            <w:tcBorders>
              <w:top w:val="nil"/>
              <w:left w:val="nil"/>
              <w:bottom w:val="nil"/>
              <w:right w:val="nil"/>
            </w:tcBorders>
          </w:tcPr>
          <w:p w14:paraId="21F69114"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Consultant</w:t>
            </w:r>
          </w:p>
        </w:tc>
        <w:tc>
          <w:tcPr>
            <w:tcW w:w="1417" w:type="dxa"/>
            <w:tcBorders>
              <w:top w:val="nil"/>
              <w:left w:val="nil"/>
              <w:bottom w:val="nil"/>
              <w:right w:val="nil"/>
            </w:tcBorders>
          </w:tcPr>
          <w:p w14:paraId="0B286F2E"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Jamaica</w:t>
            </w:r>
          </w:p>
        </w:tc>
        <w:tc>
          <w:tcPr>
            <w:tcW w:w="1418" w:type="dxa"/>
            <w:tcBorders>
              <w:top w:val="nil"/>
              <w:left w:val="nil"/>
              <w:bottom w:val="nil"/>
              <w:right w:val="nil"/>
            </w:tcBorders>
          </w:tcPr>
          <w:p w14:paraId="293DF30E"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2018</w:t>
            </w:r>
          </w:p>
        </w:tc>
      </w:tr>
      <w:tr w:rsidR="00E77979" w:rsidRPr="00FD4EE9" w14:paraId="6D68D039" w14:textId="77777777" w:rsidTr="00E77979">
        <w:tc>
          <w:tcPr>
            <w:tcW w:w="2269" w:type="dxa"/>
            <w:tcBorders>
              <w:top w:val="nil"/>
              <w:left w:val="single" w:sz="4" w:space="0" w:color="auto"/>
              <w:bottom w:val="nil"/>
              <w:right w:val="nil"/>
            </w:tcBorders>
          </w:tcPr>
          <w:p w14:paraId="11C61416"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Carloandrea Malvicino</w:t>
            </w:r>
          </w:p>
        </w:tc>
        <w:tc>
          <w:tcPr>
            <w:tcW w:w="3827" w:type="dxa"/>
            <w:tcBorders>
              <w:top w:val="nil"/>
              <w:left w:val="nil"/>
              <w:bottom w:val="nil"/>
              <w:right w:val="nil"/>
            </w:tcBorders>
          </w:tcPr>
          <w:p w14:paraId="76FD38D3"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Fiat Ricerche</w:t>
            </w:r>
          </w:p>
        </w:tc>
        <w:tc>
          <w:tcPr>
            <w:tcW w:w="1417" w:type="dxa"/>
            <w:tcBorders>
              <w:top w:val="nil"/>
              <w:left w:val="nil"/>
              <w:bottom w:val="nil"/>
              <w:right w:val="nil"/>
            </w:tcBorders>
          </w:tcPr>
          <w:p w14:paraId="6B79F6A1"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Italy</w:t>
            </w:r>
          </w:p>
        </w:tc>
        <w:tc>
          <w:tcPr>
            <w:tcW w:w="1418" w:type="dxa"/>
            <w:tcBorders>
              <w:top w:val="nil"/>
              <w:left w:val="nil"/>
              <w:bottom w:val="nil"/>
              <w:right w:val="nil"/>
            </w:tcBorders>
          </w:tcPr>
          <w:p w14:paraId="40F7619E"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2018</w:t>
            </w:r>
          </w:p>
        </w:tc>
      </w:tr>
      <w:tr w:rsidR="00E77979" w:rsidRPr="00FD4EE9" w14:paraId="3C6EDEFD" w14:textId="77777777" w:rsidTr="00E77979">
        <w:tc>
          <w:tcPr>
            <w:tcW w:w="2269" w:type="dxa"/>
            <w:tcBorders>
              <w:top w:val="nil"/>
              <w:left w:val="single" w:sz="4" w:space="0" w:color="auto"/>
              <w:bottom w:val="nil"/>
              <w:right w:val="nil"/>
            </w:tcBorders>
          </w:tcPr>
          <w:p w14:paraId="69091523"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Tetsuji Okada</w:t>
            </w:r>
          </w:p>
        </w:tc>
        <w:tc>
          <w:tcPr>
            <w:tcW w:w="3827" w:type="dxa"/>
            <w:tcBorders>
              <w:top w:val="nil"/>
              <w:left w:val="nil"/>
              <w:bottom w:val="nil"/>
              <w:right w:val="nil"/>
            </w:tcBorders>
          </w:tcPr>
          <w:p w14:paraId="1C7CD86D"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JRAIA</w:t>
            </w:r>
          </w:p>
        </w:tc>
        <w:tc>
          <w:tcPr>
            <w:tcW w:w="1417" w:type="dxa"/>
            <w:tcBorders>
              <w:top w:val="nil"/>
              <w:left w:val="nil"/>
              <w:bottom w:val="nil"/>
              <w:right w:val="nil"/>
            </w:tcBorders>
          </w:tcPr>
          <w:p w14:paraId="7C8798F9"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Japan</w:t>
            </w:r>
          </w:p>
        </w:tc>
        <w:tc>
          <w:tcPr>
            <w:tcW w:w="1418" w:type="dxa"/>
            <w:tcBorders>
              <w:top w:val="nil"/>
              <w:left w:val="nil"/>
              <w:bottom w:val="nil"/>
              <w:right w:val="nil"/>
            </w:tcBorders>
          </w:tcPr>
          <w:p w14:paraId="79047E51" w14:textId="11E5BF65"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w:t>
            </w:r>
            <w:r w:rsidR="00420C18">
              <w:rPr>
                <w:sz w:val="20"/>
              </w:rPr>
              <w:t>8</w:t>
            </w:r>
          </w:p>
        </w:tc>
      </w:tr>
      <w:tr w:rsidR="00E77979" w:rsidRPr="00FD4EE9" w14:paraId="4DF51594" w14:textId="77777777" w:rsidTr="00E77979">
        <w:tc>
          <w:tcPr>
            <w:tcW w:w="2269" w:type="dxa"/>
            <w:tcBorders>
              <w:top w:val="nil"/>
              <w:left w:val="single" w:sz="4" w:space="0" w:color="auto"/>
              <w:bottom w:val="nil"/>
              <w:right w:val="nil"/>
            </w:tcBorders>
          </w:tcPr>
          <w:p w14:paraId="046D699A"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Alaa A. Olama</w:t>
            </w:r>
          </w:p>
        </w:tc>
        <w:tc>
          <w:tcPr>
            <w:tcW w:w="3827" w:type="dxa"/>
            <w:tcBorders>
              <w:top w:val="nil"/>
              <w:left w:val="nil"/>
              <w:bottom w:val="nil"/>
              <w:right w:val="nil"/>
            </w:tcBorders>
          </w:tcPr>
          <w:p w14:paraId="7478FCAD"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Consultant</w:t>
            </w:r>
          </w:p>
        </w:tc>
        <w:tc>
          <w:tcPr>
            <w:tcW w:w="1417" w:type="dxa"/>
            <w:tcBorders>
              <w:top w:val="nil"/>
              <w:left w:val="nil"/>
              <w:bottom w:val="nil"/>
              <w:right w:val="nil"/>
            </w:tcBorders>
          </w:tcPr>
          <w:p w14:paraId="608280D7"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Egypt</w:t>
            </w:r>
          </w:p>
        </w:tc>
        <w:tc>
          <w:tcPr>
            <w:tcW w:w="1418" w:type="dxa"/>
            <w:tcBorders>
              <w:top w:val="nil"/>
              <w:left w:val="nil"/>
              <w:bottom w:val="nil"/>
              <w:right w:val="nil"/>
            </w:tcBorders>
          </w:tcPr>
          <w:p w14:paraId="0995AC06"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2018</w:t>
            </w:r>
          </w:p>
        </w:tc>
      </w:tr>
      <w:tr w:rsidR="00E77979" w:rsidRPr="00FD4EE9" w14:paraId="1CF4FE81" w14:textId="77777777" w:rsidTr="00E77979">
        <w:tc>
          <w:tcPr>
            <w:tcW w:w="2269" w:type="dxa"/>
            <w:tcBorders>
              <w:top w:val="nil"/>
              <w:left w:val="single" w:sz="4" w:space="0" w:color="auto"/>
              <w:bottom w:val="nil"/>
              <w:right w:val="nil"/>
            </w:tcBorders>
          </w:tcPr>
          <w:p w14:paraId="4E49BFD5"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Alexander C. Pachai</w:t>
            </w:r>
          </w:p>
        </w:tc>
        <w:tc>
          <w:tcPr>
            <w:tcW w:w="3827" w:type="dxa"/>
            <w:tcBorders>
              <w:top w:val="nil"/>
              <w:left w:val="nil"/>
              <w:bottom w:val="nil"/>
              <w:right w:val="nil"/>
            </w:tcBorders>
          </w:tcPr>
          <w:p w14:paraId="7E512BE3"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Johnson Controls</w:t>
            </w:r>
          </w:p>
        </w:tc>
        <w:tc>
          <w:tcPr>
            <w:tcW w:w="1417" w:type="dxa"/>
            <w:tcBorders>
              <w:top w:val="nil"/>
              <w:left w:val="nil"/>
              <w:bottom w:val="nil"/>
              <w:right w:val="nil"/>
            </w:tcBorders>
          </w:tcPr>
          <w:p w14:paraId="0B0D97AF"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Denmark</w:t>
            </w:r>
          </w:p>
        </w:tc>
        <w:tc>
          <w:tcPr>
            <w:tcW w:w="1418" w:type="dxa"/>
            <w:tcBorders>
              <w:top w:val="nil"/>
              <w:left w:val="nil"/>
              <w:bottom w:val="nil"/>
              <w:right w:val="nil"/>
            </w:tcBorders>
          </w:tcPr>
          <w:p w14:paraId="2380BD90"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2018</w:t>
            </w:r>
          </w:p>
        </w:tc>
      </w:tr>
      <w:tr w:rsidR="00E77979" w:rsidRPr="00FD4EE9" w14:paraId="41590BE4" w14:textId="77777777" w:rsidTr="00E77979">
        <w:tc>
          <w:tcPr>
            <w:tcW w:w="2269" w:type="dxa"/>
            <w:tcBorders>
              <w:top w:val="nil"/>
              <w:left w:val="single" w:sz="4" w:space="0" w:color="auto"/>
              <w:bottom w:val="nil"/>
              <w:right w:val="nil"/>
            </w:tcBorders>
          </w:tcPr>
          <w:p w14:paraId="7DD44F62"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Per Henrik Pedersen</w:t>
            </w:r>
          </w:p>
        </w:tc>
        <w:tc>
          <w:tcPr>
            <w:tcW w:w="3827" w:type="dxa"/>
            <w:tcBorders>
              <w:top w:val="nil"/>
              <w:left w:val="nil"/>
              <w:bottom w:val="nil"/>
              <w:right w:val="nil"/>
            </w:tcBorders>
          </w:tcPr>
          <w:p w14:paraId="54F66F77"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Danish Technological Institute</w:t>
            </w:r>
          </w:p>
        </w:tc>
        <w:tc>
          <w:tcPr>
            <w:tcW w:w="1417" w:type="dxa"/>
            <w:tcBorders>
              <w:top w:val="nil"/>
              <w:left w:val="nil"/>
              <w:bottom w:val="nil"/>
              <w:right w:val="nil"/>
            </w:tcBorders>
          </w:tcPr>
          <w:p w14:paraId="0D1F14A8"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Denmark</w:t>
            </w:r>
          </w:p>
        </w:tc>
        <w:tc>
          <w:tcPr>
            <w:tcW w:w="1418" w:type="dxa"/>
            <w:tcBorders>
              <w:top w:val="nil"/>
              <w:left w:val="nil"/>
              <w:bottom w:val="nil"/>
              <w:right w:val="nil"/>
            </w:tcBorders>
          </w:tcPr>
          <w:p w14:paraId="7C681E22"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2018</w:t>
            </w:r>
          </w:p>
        </w:tc>
      </w:tr>
      <w:tr w:rsidR="00E77979" w:rsidRPr="00FD4EE9" w14:paraId="27EF432F" w14:textId="77777777" w:rsidTr="00E77979">
        <w:tc>
          <w:tcPr>
            <w:tcW w:w="2269" w:type="dxa"/>
            <w:tcBorders>
              <w:top w:val="nil"/>
              <w:left w:val="single" w:sz="4" w:space="0" w:color="auto"/>
              <w:bottom w:val="nil"/>
              <w:right w:val="nil"/>
            </w:tcBorders>
          </w:tcPr>
          <w:p w14:paraId="102A0851"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Rajan Rajendran</w:t>
            </w:r>
          </w:p>
        </w:tc>
        <w:tc>
          <w:tcPr>
            <w:tcW w:w="3827" w:type="dxa"/>
            <w:tcBorders>
              <w:top w:val="nil"/>
              <w:left w:val="nil"/>
              <w:bottom w:val="nil"/>
              <w:right w:val="nil"/>
            </w:tcBorders>
          </w:tcPr>
          <w:p w14:paraId="378DC0C7"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Emerson Climate Technologies</w:t>
            </w:r>
          </w:p>
        </w:tc>
        <w:tc>
          <w:tcPr>
            <w:tcW w:w="1417" w:type="dxa"/>
            <w:tcBorders>
              <w:top w:val="nil"/>
              <w:left w:val="nil"/>
              <w:bottom w:val="nil"/>
              <w:right w:val="nil"/>
            </w:tcBorders>
          </w:tcPr>
          <w:p w14:paraId="5429525B" w14:textId="1246EB51" w:rsidR="00E77979" w:rsidRPr="00FD4EE9" w:rsidRDefault="0070607D"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Pr>
                <w:sz w:val="20"/>
              </w:rPr>
              <w:t>US</w:t>
            </w:r>
          </w:p>
        </w:tc>
        <w:tc>
          <w:tcPr>
            <w:tcW w:w="1418" w:type="dxa"/>
            <w:tcBorders>
              <w:top w:val="nil"/>
              <w:left w:val="nil"/>
              <w:bottom w:val="nil"/>
              <w:right w:val="nil"/>
            </w:tcBorders>
          </w:tcPr>
          <w:p w14:paraId="50495283"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2018</w:t>
            </w:r>
          </w:p>
        </w:tc>
      </w:tr>
      <w:tr w:rsidR="00E77979" w:rsidRPr="00FD4EE9" w14:paraId="2FA42CA6" w14:textId="77777777" w:rsidTr="00E77979">
        <w:tc>
          <w:tcPr>
            <w:tcW w:w="2269" w:type="dxa"/>
            <w:tcBorders>
              <w:top w:val="nil"/>
              <w:left w:val="single" w:sz="4" w:space="0" w:color="auto"/>
              <w:bottom w:val="nil"/>
              <w:right w:val="nil"/>
            </w:tcBorders>
          </w:tcPr>
          <w:p w14:paraId="20F12284"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Giorgio Rusignuolo</w:t>
            </w:r>
          </w:p>
        </w:tc>
        <w:tc>
          <w:tcPr>
            <w:tcW w:w="3827" w:type="dxa"/>
            <w:tcBorders>
              <w:top w:val="nil"/>
              <w:left w:val="nil"/>
              <w:bottom w:val="nil"/>
              <w:right w:val="nil"/>
            </w:tcBorders>
          </w:tcPr>
          <w:p w14:paraId="5DC5DD85" w14:textId="5575EF86"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Carrier Transcold</w:t>
            </w:r>
          </w:p>
        </w:tc>
        <w:tc>
          <w:tcPr>
            <w:tcW w:w="1417" w:type="dxa"/>
            <w:tcBorders>
              <w:top w:val="nil"/>
              <w:left w:val="nil"/>
              <w:bottom w:val="nil"/>
              <w:right w:val="nil"/>
            </w:tcBorders>
          </w:tcPr>
          <w:p w14:paraId="0AD020AB" w14:textId="2F9C3445" w:rsidR="00E77979" w:rsidRPr="00FD4EE9" w:rsidRDefault="0070607D"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Pr>
                <w:sz w:val="20"/>
              </w:rPr>
              <w:t>US</w:t>
            </w:r>
          </w:p>
        </w:tc>
        <w:tc>
          <w:tcPr>
            <w:tcW w:w="1418" w:type="dxa"/>
            <w:tcBorders>
              <w:top w:val="nil"/>
              <w:left w:val="nil"/>
              <w:bottom w:val="nil"/>
              <w:right w:val="nil"/>
            </w:tcBorders>
          </w:tcPr>
          <w:p w14:paraId="6D82026E"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2018</w:t>
            </w:r>
          </w:p>
        </w:tc>
      </w:tr>
      <w:tr w:rsidR="00E77979" w:rsidRPr="00FD4EE9" w14:paraId="1FF9CF26" w14:textId="77777777" w:rsidTr="00E77979">
        <w:tc>
          <w:tcPr>
            <w:tcW w:w="2269" w:type="dxa"/>
            <w:tcBorders>
              <w:top w:val="nil"/>
              <w:left w:val="single" w:sz="4" w:space="0" w:color="auto"/>
              <w:bottom w:val="nil"/>
              <w:right w:val="nil"/>
            </w:tcBorders>
          </w:tcPr>
          <w:p w14:paraId="4851AB5B"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Paulo Vodianitskaia</w:t>
            </w:r>
          </w:p>
        </w:tc>
        <w:tc>
          <w:tcPr>
            <w:tcW w:w="3827" w:type="dxa"/>
            <w:tcBorders>
              <w:top w:val="nil"/>
              <w:left w:val="nil"/>
              <w:bottom w:val="nil"/>
              <w:right w:val="nil"/>
            </w:tcBorders>
          </w:tcPr>
          <w:p w14:paraId="00278DBE"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Consultant</w:t>
            </w:r>
          </w:p>
        </w:tc>
        <w:tc>
          <w:tcPr>
            <w:tcW w:w="1417" w:type="dxa"/>
            <w:tcBorders>
              <w:top w:val="nil"/>
              <w:left w:val="nil"/>
              <w:bottom w:val="nil"/>
              <w:right w:val="nil"/>
            </w:tcBorders>
          </w:tcPr>
          <w:p w14:paraId="087550AC"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Brazil</w:t>
            </w:r>
          </w:p>
        </w:tc>
        <w:tc>
          <w:tcPr>
            <w:tcW w:w="1418" w:type="dxa"/>
            <w:tcBorders>
              <w:top w:val="nil"/>
              <w:left w:val="nil"/>
              <w:bottom w:val="nil"/>
              <w:right w:val="nil"/>
            </w:tcBorders>
          </w:tcPr>
          <w:p w14:paraId="17A49521"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2018</w:t>
            </w:r>
          </w:p>
        </w:tc>
      </w:tr>
      <w:tr w:rsidR="00E77979" w:rsidRPr="00FD4EE9" w14:paraId="50348402" w14:textId="77777777" w:rsidTr="00E77979">
        <w:tc>
          <w:tcPr>
            <w:tcW w:w="2269" w:type="dxa"/>
            <w:tcBorders>
              <w:top w:val="nil"/>
              <w:left w:val="single" w:sz="4" w:space="0" w:color="auto"/>
              <w:bottom w:val="nil"/>
              <w:right w:val="nil"/>
            </w:tcBorders>
          </w:tcPr>
          <w:p w14:paraId="4D8CA9ED"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Asbjorn Vonsild</w:t>
            </w:r>
          </w:p>
        </w:tc>
        <w:tc>
          <w:tcPr>
            <w:tcW w:w="3827" w:type="dxa"/>
            <w:tcBorders>
              <w:top w:val="nil"/>
              <w:left w:val="nil"/>
              <w:bottom w:val="nil"/>
              <w:right w:val="nil"/>
            </w:tcBorders>
          </w:tcPr>
          <w:p w14:paraId="285FC560" w14:textId="2872C112" w:rsidR="00E77979" w:rsidRPr="00FD4EE9" w:rsidRDefault="00A66B22"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Pr>
                <w:sz w:val="20"/>
              </w:rPr>
              <w:t>Vonsild Consulting</w:t>
            </w:r>
          </w:p>
        </w:tc>
        <w:tc>
          <w:tcPr>
            <w:tcW w:w="1417" w:type="dxa"/>
            <w:tcBorders>
              <w:top w:val="nil"/>
              <w:left w:val="nil"/>
              <w:bottom w:val="nil"/>
              <w:right w:val="nil"/>
            </w:tcBorders>
          </w:tcPr>
          <w:p w14:paraId="7D23AE9E"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Denmark</w:t>
            </w:r>
          </w:p>
        </w:tc>
        <w:tc>
          <w:tcPr>
            <w:tcW w:w="1418" w:type="dxa"/>
            <w:tcBorders>
              <w:top w:val="nil"/>
              <w:left w:val="nil"/>
              <w:bottom w:val="nil"/>
              <w:right w:val="nil"/>
            </w:tcBorders>
          </w:tcPr>
          <w:p w14:paraId="5CEECCD2"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2018</w:t>
            </w:r>
          </w:p>
        </w:tc>
      </w:tr>
      <w:tr w:rsidR="00A66B22" w:rsidRPr="00FD4EE9" w14:paraId="01DE4B49" w14:textId="77777777" w:rsidTr="003F378F">
        <w:tc>
          <w:tcPr>
            <w:tcW w:w="2269" w:type="dxa"/>
            <w:tcBorders>
              <w:top w:val="nil"/>
              <w:left w:val="single" w:sz="4" w:space="0" w:color="auto"/>
              <w:bottom w:val="nil"/>
              <w:right w:val="nil"/>
            </w:tcBorders>
          </w:tcPr>
          <w:p w14:paraId="663287C1" w14:textId="77777777" w:rsidR="00A66B22" w:rsidRPr="00FD4EE9" w:rsidRDefault="00A66B22" w:rsidP="003F378F">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Pr>
                <w:sz w:val="20"/>
              </w:rPr>
              <w:t>Yiroichi Yamaguchi</w:t>
            </w:r>
          </w:p>
        </w:tc>
        <w:tc>
          <w:tcPr>
            <w:tcW w:w="3827" w:type="dxa"/>
            <w:tcBorders>
              <w:top w:val="nil"/>
              <w:left w:val="nil"/>
              <w:bottom w:val="nil"/>
              <w:right w:val="nil"/>
            </w:tcBorders>
          </w:tcPr>
          <w:p w14:paraId="3B8EF285" w14:textId="77777777" w:rsidR="00A66B22" w:rsidRPr="00FD4EE9" w:rsidRDefault="00A66B22" w:rsidP="003F378F">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Pr>
                <w:sz w:val="20"/>
              </w:rPr>
              <w:t>Toshiba Carrier</w:t>
            </w:r>
          </w:p>
        </w:tc>
        <w:tc>
          <w:tcPr>
            <w:tcW w:w="1417" w:type="dxa"/>
            <w:tcBorders>
              <w:top w:val="nil"/>
              <w:left w:val="nil"/>
              <w:bottom w:val="nil"/>
              <w:right w:val="nil"/>
            </w:tcBorders>
          </w:tcPr>
          <w:p w14:paraId="75FAB85F" w14:textId="77777777" w:rsidR="00A66B22" w:rsidRPr="00FD4EE9" w:rsidRDefault="00A66B22" w:rsidP="003F378F">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Pr>
                <w:sz w:val="20"/>
              </w:rPr>
              <w:t>Japan</w:t>
            </w:r>
          </w:p>
        </w:tc>
        <w:tc>
          <w:tcPr>
            <w:tcW w:w="1418" w:type="dxa"/>
            <w:tcBorders>
              <w:top w:val="nil"/>
              <w:left w:val="nil"/>
              <w:bottom w:val="nil"/>
              <w:right w:val="nil"/>
            </w:tcBorders>
          </w:tcPr>
          <w:p w14:paraId="2E800F78" w14:textId="77777777" w:rsidR="00A66B22" w:rsidRPr="00FD4EE9" w:rsidRDefault="00A66B22" w:rsidP="003F378F">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Pr>
                <w:sz w:val="20"/>
              </w:rPr>
              <w:t>2018</w:t>
            </w:r>
          </w:p>
        </w:tc>
      </w:tr>
      <w:tr w:rsidR="00E77979" w:rsidRPr="00FD4EE9" w14:paraId="6ED8764F" w14:textId="77777777" w:rsidTr="00E77979">
        <w:tc>
          <w:tcPr>
            <w:tcW w:w="2269" w:type="dxa"/>
            <w:tcBorders>
              <w:top w:val="nil"/>
              <w:left w:val="single" w:sz="4" w:space="0" w:color="auto"/>
              <w:bottom w:val="nil"/>
              <w:right w:val="nil"/>
            </w:tcBorders>
          </w:tcPr>
          <w:p w14:paraId="09B913E7" w14:textId="77777777" w:rsidR="00E77979" w:rsidRPr="00FD4EE9" w:rsidRDefault="003954A6"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rPr>
                <w:sz w:val="20"/>
              </w:rPr>
            </w:pPr>
            <w:r w:rsidRPr="00FD4EE9">
              <w:rPr>
                <w:sz w:val="20"/>
              </w:rPr>
              <w:t>Sa</w:t>
            </w:r>
            <w:r w:rsidR="00E77979" w:rsidRPr="00FD4EE9">
              <w:rPr>
                <w:sz w:val="20"/>
              </w:rPr>
              <w:t>uel Yana Motta</w:t>
            </w:r>
          </w:p>
        </w:tc>
        <w:tc>
          <w:tcPr>
            <w:tcW w:w="3827" w:type="dxa"/>
            <w:tcBorders>
              <w:top w:val="nil"/>
              <w:left w:val="nil"/>
              <w:bottom w:val="nil"/>
              <w:right w:val="nil"/>
            </w:tcBorders>
          </w:tcPr>
          <w:p w14:paraId="1C3D29DC"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Honeywell</w:t>
            </w:r>
          </w:p>
        </w:tc>
        <w:tc>
          <w:tcPr>
            <w:tcW w:w="1417" w:type="dxa"/>
            <w:tcBorders>
              <w:top w:val="nil"/>
              <w:left w:val="nil"/>
              <w:bottom w:val="nil"/>
              <w:right w:val="nil"/>
            </w:tcBorders>
          </w:tcPr>
          <w:p w14:paraId="717BA573"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sz w:val="20"/>
              </w:rPr>
            </w:pPr>
            <w:r w:rsidRPr="00FD4EE9">
              <w:rPr>
                <w:sz w:val="20"/>
              </w:rPr>
              <w:t>Peru</w:t>
            </w:r>
          </w:p>
        </w:tc>
        <w:tc>
          <w:tcPr>
            <w:tcW w:w="1418" w:type="dxa"/>
            <w:tcBorders>
              <w:top w:val="nil"/>
              <w:left w:val="nil"/>
              <w:bottom w:val="nil"/>
              <w:right w:val="nil"/>
            </w:tcBorders>
          </w:tcPr>
          <w:p w14:paraId="2F872663" w14:textId="77777777" w:rsidR="00E77979" w:rsidRPr="00FD4EE9" w:rsidRDefault="00E77979" w:rsidP="00357AA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jc w:val="right"/>
              <w:rPr>
                <w:sz w:val="20"/>
              </w:rPr>
            </w:pPr>
            <w:r w:rsidRPr="00FD4EE9">
              <w:rPr>
                <w:sz w:val="20"/>
              </w:rPr>
              <w:t>2018</w:t>
            </w:r>
          </w:p>
        </w:tc>
      </w:tr>
      <w:tr w:rsidR="004334B7" w:rsidRPr="00FD4EE9" w14:paraId="01E10CB4" w14:textId="77777777" w:rsidTr="00F65B85">
        <w:tc>
          <w:tcPr>
            <w:tcW w:w="8931" w:type="dxa"/>
            <w:gridSpan w:val="4"/>
            <w:tcBorders>
              <w:top w:val="nil"/>
              <w:left w:val="single" w:sz="4" w:space="0" w:color="auto"/>
              <w:bottom w:val="nil"/>
              <w:right w:val="nil"/>
            </w:tcBorders>
          </w:tcPr>
          <w:p w14:paraId="013FA672" w14:textId="77777777" w:rsidR="004334B7" w:rsidRPr="00807C7E" w:rsidRDefault="004334B7" w:rsidP="004334B7">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rPr>
                <w:i/>
                <w:sz w:val="20"/>
              </w:rPr>
            </w:pPr>
            <w:r w:rsidRPr="00807C7E">
              <w:rPr>
                <w:i/>
                <w:sz w:val="20"/>
              </w:rPr>
              <w:t>* Indicates members whose terms expire at the end of the current year</w:t>
            </w:r>
          </w:p>
        </w:tc>
      </w:tr>
    </w:tbl>
    <w:p w14:paraId="31B10C17" w14:textId="058877F8" w:rsidR="00AD4B2A" w:rsidRPr="0015746F" w:rsidRDefault="007C3101" w:rsidP="00413E4A">
      <w:pPr>
        <w:pStyle w:val="Heading2"/>
      </w:pPr>
      <w:bookmarkStart w:id="286" w:name="_Toc484164414"/>
      <w:r w:rsidRPr="0015746F">
        <w:lastRenderedPageBreak/>
        <w:t>A</w:t>
      </w:r>
      <w:r>
        <w:t>nnex</w:t>
      </w:r>
      <w:r w:rsidRPr="0015746F">
        <w:t xml:space="preserve"> </w:t>
      </w:r>
      <w:r w:rsidR="0062091A" w:rsidRPr="0015746F">
        <w:t>4</w:t>
      </w:r>
      <w:r w:rsidR="00AA1A8F" w:rsidRPr="0015746F">
        <w:t>:</w:t>
      </w:r>
      <w:r w:rsidR="005B3245" w:rsidRPr="0015746F">
        <w:tab/>
      </w:r>
      <w:r w:rsidR="00203E52" w:rsidRPr="0015746F">
        <w:t xml:space="preserve"> Matrix of </w:t>
      </w:r>
      <w:r w:rsidR="00610FED" w:rsidRPr="0015746F">
        <w:t>n</w:t>
      </w:r>
      <w:r w:rsidR="00664765" w:rsidRPr="0015746F">
        <w:t xml:space="preserve">eeded </w:t>
      </w:r>
      <w:r w:rsidR="00610FED" w:rsidRPr="0015746F">
        <w:t>e</w:t>
      </w:r>
      <w:r w:rsidR="00203E52" w:rsidRPr="0015746F">
        <w:t>xpertise</w:t>
      </w:r>
      <w:bookmarkEnd w:id="285"/>
      <w:bookmarkEnd w:id="286"/>
    </w:p>
    <w:p w14:paraId="7029A441" w14:textId="362265A5" w:rsidR="00203E52" w:rsidRDefault="00203E52">
      <w:r w:rsidRPr="00FD4EE9">
        <w:t xml:space="preserve">As required by the TEAP TOR an update of the matrix of </w:t>
      </w:r>
      <w:r w:rsidR="00664765" w:rsidRPr="00FD4EE9">
        <w:t xml:space="preserve">needed </w:t>
      </w:r>
      <w:r w:rsidRPr="00FD4EE9">
        <w:t xml:space="preserve">expertise </w:t>
      </w:r>
      <w:r w:rsidR="00664765" w:rsidRPr="00FD4EE9">
        <w:t xml:space="preserve">on the TEAP and its TOCs </w:t>
      </w:r>
      <w:r w:rsidRPr="00FD4EE9">
        <w:t>is provided below</w:t>
      </w:r>
      <w:r w:rsidR="00664765" w:rsidRPr="00FD4EE9">
        <w:t xml:space="preserve"> valid as of </w:t>
      </w:r>
      <w:r w:rsidR="00452299">
        <w:t>May</w:t>
      </w:r>
      <w:r w:rsidR="00664765" w:rsidRPr="00FD4EE9">
        <w:t xml:space="preserve"> 201</w:t>
      </w:r>
      <w:r w:rsidR="00452299">
        <w:t>7</w:t>
      </w:r>
      <w:r w:rsidRPr="00FD4EE9">
        <w:t>.</w:t>
      </w:r>
    </w:p>
    <w:tbl>
      <w:tblPr>
        <w:tblW w:w="84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4689"/>
        <w:gridCol w:w="2241"/>
      </w:tblGrid>
      <w:tr w:rsidR="00BC1D91" w:rsidRPr="00FD4EE9" w14:paraId="192C0363" w14:textId="77777777" w:rsidTr="0015746F">
        <w:trPr>
          <w:trHeight w:val="458"/>
        </w:trPr>
        <w:tc>
          <w:tcPr>
            <w:tcW w:w="1548" w:type="dxa"/>
            <w:tcBorders>
              <w:top w:val="double" w:sz="4" w:space="0" w:color="auto"/>
              <w:bottom w:val="double" w:sz="4" w:space="0" w:color="auto"/>
            </w:tcBorders>
            <w:vAlign w:val="center"/>
          </w:tcPr>
          <w:p w14:paraId="088F57A0" w14:textId="77777777" w:rsidR="00BC1D91" w:rsidRPr="00FD4EE9" w:rsidRDefault="00BC1D91">
            <w:pPr>
              <w:widowControl w:val="0"/>
              <w:autoSpaceDE w:val="0"/>
              <w:autoSpaceDN w:val="0"/>
              <w:adjustRightInd w:val="0"/>
              <w:spacing w:after="220"/>
            </w:pPr>
            <w:r w:rsidRPr="00FD4EE9">
              <w:rPr>
                <w:b/>
                <w:bCs/>
              </w:rPr>
              <w:t>Body</w:t>
            </w:r>
          </w:p>
        </w:tc>
        <w:tc>
          <w:tcPr>
            <w:tcW w:w="4689" w:type="dxa"/>
            <w:tcBorders>
              <w:top w:val="double" w:sz="4" w:space="0" w:color="auto"/>
              <w:bottom w:val="double" w:sz="4" w:space="0" w:color="auto"/>
            </w:tcBorders>
            <w:vAlign w:val="center"/>
          </w:tcPr>
          <w:p w14:paraId="7E2156AF" w14:textId="77777777" w:rsidR="00BC1D91" w:rsidRPr="00FD4EE9" w:rsidRDefault="00BC1D91">
            <w:pPr>
              <w:widowControl w:val="0"/>
              <w:autoSpaceDE w:val="0"/>
              <w:autoSpaceDN w:val="0"/>
              <w:adjustRightInd w:val="0"/>
              <w:spacing w:after="220"/>
            </w:pPr>
            <w:r w:rsidRPr="00FD4EE9">
              <w:rPr>
                <w:b/>
                <w:bCs/>
              </w:rPr>
              <w:t>Required Expertise</w:t>
            </w:r>
          </w:p>
        </w:tc>
        <w:tc>
          <w:tcPr>
            <w:tcW w:w="2241" w:type="dxa"/>
            <w:tcBorders>
              <w:top w:val="double" w:sz="4" w:space="0" w:color="auto"/>
              <w:bottom w:val="double" w:sz="4" w:space="0" w:color="auto"/>
            </w:tcBorders>
            <w:vAlign w:val="center"/>
          </w:tcPr>
          <w:p w14:paraId="6007754D" w14:textId="77777777" w:rsidR="00BC1D91" w:rsidRPr="00FD4EE9" w:rsidRDefault="00BC1D91">
            <w:pPr>
              <w:widowControl w:val="0"/>
              <w:autoSpaceDE w:val="0"/>
              <w:autoSpaceDN w:val="0"/>
              <w:adjustRightInd w:val="0"/>
              <w:spacing w:after="220"/>
            </w:pPr>
            <w:r w:rsidRPr="00FD4EE9">
              <w:rPr>
                <w:b/>
                <w:bCs/>
              </w:rPr>
              <w:t>A5/ Non-A5</w:t>
            </w:r>
          </w:p>
        </w:tc>
      </w:tr>
      <w:tr w:rsidR="00302856" w:rsidRPr="00FD4EE9" w14:paraId="5C1368C0" w14:textId="77777777" w:rsidTr="0015746F">
        <w:trPr>
          <w:trHeight w:val="402"/>
        </w:trPr>
        <w:tc>
          <w:tcPr>
            <w:tcW w:w="1548" w:type="dxa"/>
            <w:tcBorders>
              <w:top w:val="double" w:sz="4" w:space="0" w:color="auto"/>
            </w:tcBorders>
          </w:tcPr>
          <w:p w14:paraId="488A9C78" w14:textId="77777777" w:rsidR="00302856" w:rsidRPr="00FD4EE9" w:rsidRDefault="00302856" w:rsidP="00BC1D91">
            <w:pPr>
              <w:widowControl w:val="0"/>
              <w:autoSpaceDE w:val="0"/>
              <w:autoSpaceDN w:val="0"/>
              <w:adjustRightInd w:val="0"/>
              <w:spacing w:after="220"/>
              <w:rPr>
                <w:b/>
                <w:sz w:val="20"/>
              </w:rPr>
            </w:pPr>
            <w:r w:rsidRPr="00FD4EE9">
              <w:rPr>
                <w:b/>
                <w:sz w:val="20"/>
              </w:rPr>
              <w:t>Foams TOC</w:t>
            </w:r>
          </w:p>
        </w:tc>
        <w:tc>
          <w:tcPr>
            <w:tcW w:w="4689" w:type="dxa"/>
            <w:tcBorders>
              <w:top w:val="double" w:sz="4" w:space="0" w:color="auto"/>
            </w:tcBorders>
          </w:tcPr>
          <w:p w14:paraId="68910B0F" w14:textId="6CD6AD64" w:rsidR="002A4A87" w:rsidRPr="00FD4EE9" w:rsidRDefault="00A20F61" w:rsidP="000740FC">
            <w:pPr>
              <w:widowControl w:val="0"/>
              <w:tabs>
                <w:tab w:val="left" w:pos="3465"/>
              </w:tabs>
              <w:autoSpaceDE w:val="0"/>
              <w:autoSpaceDN w:val="0"/>
              <w:adjustRightInd w:val="0"/>
              <w:spacing w:after="220"/>
              <w:rPr>
                <w:sz w:val="20"/>
                <w:lang w:eastAsia="ja-JP"/>
              </w:rPr>
            </w:pPr>
            <w:r>
              <w:rPr>
                <w:sz w:val="20"/>
                <w:lang w:eastAsia="ja-JP"/>
              </w:rPr>
              <w:t>Additives</w:t>
            </w:r>
          </w:p>
        </w:tc>
        <w:tc>
          <w:tcPr>
            <w:tcW w:w="2241" w:type="dxa"/>
            <w:tcBorders>
              <w:top w:val="double" w:sz="4" w:space="0" w:color="auto"/>
            </w:tcBorders>
          </w:tcPr>
          <w:p w14:paraId="4F21BB18" w14:textId="5F6F1FE9" w:rsidR="002A4A87" w:rsidRPr="00FD4EE9" w:rsidRDefault="00302856">
            <w:pPr>
              <w:widowControl w:val="0"/>
              <w:autoSpaceDE w:val="0"/>
              <w:autoSpaceDN w:val="0"/>
              <w:adjustRightInd w:val="0"/>
              <w:spacing w:after="220"/>
              <w:rPr>
                <w:sz w:val="20"/>
              </w:rPr>
            </w:pPr>
            <w:r w:rsidRPr="00FD4EE9">
              <w:rPr>
                <w:sz w:val="20"/>
              </w:rPr>
              <w:t xml:space="preserve"> </w:t>
            </w:r>
            <w:r w:rsidR="00A20F61">
              <w:rPr>
                <w:sz w:val="20"/>
              </w:rPr>
              <w:t>A5 or non-A5</w:t>
            </w:r>
          </w:p>
        </w:tc>
      </w:tr>
      <w:tr w:rsidR="00A66F2B" w:rsidRPr="00FD4EE9" w14:paraId="45C5A0BF" w14:textId="77777777" w:rsidTr="00452299">
        <w:trPr>
          <w:trHeight w:val="1670"/>
        </w:trPr>
        <w:tc>
          <w:tcPr>
            <w:tcW w:w="1548" w:type="dxa"/>
          </w:tcPr>
          <w:p w14:paraId="6FA67034" w14:textId="77777777" w:rsidR="00A66F2B" w:rsidRPr="00FD4EE9" w:rsidRDefault="00A66F2B" w:rsidP="00BC1D91">
            <w:pPr>
              <w:widowControl w:val="0"/>
              <w:autoSpaceDE w:val="0"/>
              <w:autoSpaceDN w:val="0"/>
              <w:adjustRightInd w:val="0"/>
              <w:spacing w:after="220"/>
              <w:rPr>
                <w:b/>
                <w:sz w:val="20"/>
              </w:rPr>
            </w:pPr>
            <w:r w:rsidRPr="00FD4EE9">
              <w:rPr>
                <w:b/>
                <w:sz w:val="20"/>
              </w:rPr>
              <w:t>Halons TOC</w:t>
            </w:r>
          </w:p>
        </w:tc>
        <w:tc>
          <w:tcPr>
            <w:tcW w:w="4689" w:type="dxa"/>
          </w:tcPr>
          <w:p w14:paraId="19E0DD3D" w14:textId="77777777" w:rsidR="00452299" w:rsidRPr="002350D0" w:rsidRDefault="00452299" w:rsidP="00452299">
            <w:pPr>
              <w:spacing w:after="120"/>
              <w:rPr>
                <w:szCs w:val="22"/>
              </w:rPr>
            </w:pPr>
            <w:r w:rsidRPr="002350D0">
              <w:rPr>
                <w:szCs w:val="22"/>
              </w:rPr>
              <w:t xml:space="preserve">Civil aviation </w:t>
            </w:r>
          </w:p>
          <w:p w14:paraId="62941DDD" w14:textId="77777777" w:rsidR="00452299" w:rsidRPr="002350D0" w:rsidRDefault="00452299" w:rsidP="00452299">
            <w:pPr>
              <w:spacing w:after="120"/>
              <w:rPr>
                <w:color w:val="auto"/>
                <w:szCs w:val="22"/>
                <w:lang w:val="en-US" w:eastAsia="en-US"/>
              </w:rPr>
            </w:pPr>
            <w:r w:rsidRPr="002350D0">
              <w:rPr>
                <w:color w:val="auto"/>
                <w:szCs w:val="22"/>
                <w:lang w:val="en-US" w:eastAsia="en-US"/>
              </w:rPr>
              <w:t>Knowledge of halon alternatives and their market penetration</w:t>
            </w:r>
          </w:p>
          <w:p w14:paraId="761B20BC" w14:textId="674A83AB" w:rsidR="00A66F2B" w:rsidRPr="00FD4EE9" w:rsidRDefault="00452299" w:rsidP="00452299">
            <w:pPr>
              <w:rPr>
                <w:sz w:val="20"/>
              </w:rPr>
            </w:pPr>
            <w:r w:rsidRPr="002350D0">
              <w:rPr>
                <w:color w:val="auto"/>
                <w:szCs w:val="22"/>
                <w:lang w:val="en-US" w:eastAsia="en-US"/>
              </w:rPr>
              <w:t>Knowledge of banking and halon supplies</w:t>
            </w:r>
          </w:p>
        </w:tc>
        <w:tc>
          <w:tcPr>
            <w:tcW w:w="2241" w:type="dxa"/>
          </w:tcPr>
          <w:p w14:paraId="2584E9EB" w14:textId="77777777" w:rsidR="00452299" w:rsidRPr="002350D0" w:rsidRDefault="00452299" w:rsidP="00452299">
            <w:pPr>
              <w:widowControl w:val="0"/>
              <w:autoSpaceDE w:val="0"/>
              <w:autoSpaceDN w:val="0"/>
              <w:adjustRightInd w:val="0"/>
              <w:spacing w:after="120"/>
              <w:rPr>
                <w:szCs w:val="22"/>
                <w:lang w:eastAsia="ja-JP"/>
              </w:rPr>
            </w:pPr>
            <w:r w:rsidRPr="002350D0">
              <w:rPr>
                <w:szCs w:val="22"/>
              </w:rPr>
              <w:t>A5, South East Asia</w:t>
            </w:r>
          </w:p>
          <w:p w14:paraId="770EAF50" w14:textId="77777777" w:rsidR="00452299" w:rsidRPr="002350D0" w:rsidRDefault="00452299" w:rsidP="00452299">
            <w:pPr>
              <w:widowControl w:val="0"/>
              <w:autoSpaceDE w:val="0"/>
              <w:autoSpaceDN w:val="0"/>
              <w:adjustRightInd w:val="0"/>
              <w:spacing w:after="120"/>
              <w:rPr>
                <w:szCs w:val="22"/>
                <w:lang w:eastAsia="ja-JP"/>
              </w:rPr>
            </w:pPr>
            <w:r w:rsidRPr="002350D0">
              <w:rPr>
                <w:szCs w:val="22"/>
                <w:lang w:eastAsia="ja-JP"/>
              </w:rPr>
              <w:t>A5, Africa, A5, South America, and A5, South Asia</w:t>
            </w:r>
          </w:p>
          <w:p w14:paraId="3DA6DEFF" w14:textId="09689331" w:rsidR="00A66F2B" w:rsidRPr="00FD4EE9" w:rsidRDefault="00452299" w:rsidP="00452299">
            <w:pPr>
              <w:widowControl w:val="0"/>
              <w:autoSpaceDE w:val="0"/>
              <w:autoSpaceDN w:val="0"/>
              <w:adjustRightInd w:val="0"/>
              <w:spacing w:after="220"/>
              <w:rPr>
                <w:sz w:val="20"/>
                <w:lang w:eastAsia="ja-JP"/>
              </w:rPr>
            </w:pPr>
            <w:r w:rsidRPr="002350D0">
              <w:rPr>
                <w:szCs w:val="22"/>
                <w:lang w:eastAsia="ja-JP"/>
              </w:rPr>
              <w:t>A5, Africa, A5, South America</w:t>
            </w:r>
          </w:p>
        </w:tc>
      </w:tr>
      <w:tr w:rsidR="00413BE5" w:rsidRPr="00FD4EE9" w14:paraId="3E4DBC21" w14:textId="77777777" w:rsidTr="0015746F">
        <w:trPr>
          <w:trHeight w:val="1916"/>
        </w:trPr>
        <w:tc>
          <w:tcPr>
            <w:tcW w:w="1548" w:type="dxa"/>
          </w:tcPr>
          <w:p w14:paraId="49B49D7F" w14:textId="77777777" w:rsidR="00413BE5" w:rsidRPr="00FD4EE9" w:rsidRDefault="00413BE5" w:rsidP="004463D8">
            <w:pPr>
              <w:widowControl w:val="0"/>
              <w:autoSpaceDE w:val="0"/>
              <w:autoSpaceDN w:val="0"/>
              <w:adjustRightInd w:val="0"/>
              <w:spacing w:after="220"/>
              <w:rPr>
                <w:b/>
                <w:sz w:val="20"/>
              </w:rPr>
            </w:pPr>
          </w:p>
          <w:p w14:paraId="310AF05F" w14:textId="77777777" w:rsidR="00413BE5" w:rsidRPr="00FD4EE9" w:rsidRDefault="00413BE5" w:rsidP="00BC1D91">
            <w:pPr>
              <w:widowControl w:val="0"/>
              <w:autoSpaceDE w:val="0"/>
              <w:autoSpaceDN w:val="0"/>
              <w:adjustRightInd w:val="0"/>
              <w:spacing w:after="220"/>
              <w:rPr>
                <w:b/>
                <w:sz w:val="20"/>
              </w:rPr>
            </w:pPr>
            <w:r w:rsidRPr="00FD4EE9">
              <w:rPr>
                <w:b/>
                <w:sz w:val="20"/>
              </w:rPr>
              <w:t>Methyl Bromide TOC</w:t>
            </w:r>
          </w:p>
        </w:tc>
        <w:tc>
          <w:tcPr>
            <w:tcW w:w="4689" w:type="dxa"/>
          </w:tcPr>
          <w:p w14:paraId="1AD49668" w14:textId="77777777" w:rsidR="001E0ED6" w:rsidRPr="001E0ED6" w:rsidRDefault="001E0ED6" w:rsidP="001E0ED6">
            <w:pPr>
              <w:widowControl w:val="0"/>
              <w:autoSpaceDE w:val="0"/>
              <w:autoSpaceDN w:val="0"/>
              <w:adjustRightInd w:val="0"/>
              <w:spacing w:after="0"/>
              <w:rPr>
                <w:color w:val="auto"/>
                <w:szCs w:val="22"/>
                <w:lang w:val="en-US" w:eastAsia="en-US"/>
              </w:rPr>
            </w:pPr>
            <w:r w:rsidRPr="001E0ED6">
              <w:rPr>
                <w:color w:val="auto"/>
                <w:szCs w:val="22"/>
                <w:lang w:val="en-US" w:eastAsia="en-US"/>
              </w:rPr>
              <w:t>Issues related to the validation of alternatives to MB for certification of nursery plant materials related to movement across state and international boundaries and related risk assessment</w:t>
            </w:r>
          </w:p>
          <w:p w14:paraId="38454D5E" w14:textId="1633F122" w:rsidR="00413BE5" w:rsidRPr="00FD4EE9" w:rsidRDefault="001E0ED6" w:rsidP="001E0ED6">
            <w:pPr>
              <w:widowControl w:val="0"/>
              <w:autoSpaceDE w:val="0"/>
              <w:autoSpaceDN w:val="0"/>
              <w:adjustRightInd w:val="0"/>
              <w:spacing w:after="220"/>
              <w:rPr>
                <w:sz w:val="20"/>
              </w:rPr>
            </w:pPr>
            <w:r w:rsidRPr="001E0ED6">
              <w:rPr>
                <w:color w:val="auto"/>
                <w:szCs w:val="22"/>
                <w:lang w:val="en-US" w:eastAsia="en-US"/>
              </w:rPr>
              <w:br/>
              <w:t>Expert in economic assessment of alternatives to MB</w:t>
            </w:r>
          </w:p>
        </w:tc>
        <w:tc>
          <w:tcPr>
            <w:tcW w:w="2241" w:type="dxa"/>
          </w:tcPr>
          <w:p w14:paraId="2C0A4839" w14:textId="77777777" w:rsidR="00413BE5" w:rsidRDefault="00413BE5" w:rsidP="00BC1D91">
            <w:pPr>
              <w:widowControl w:val="0"/>
              <w:autoSpaceDE w:val="0"/>
              <w:autoSpaceDN w:val="0"/>
              <w:adjustRightInd w:val="0"/>
              <w:spacing w:after="220"/>
              <w:rPr>
                <w:sz w:val="20"/>
              </w:rPr>
            </w:pPr>
          </w:p>
          <w:p w14:paraId="21817DDD" w14:textId="77777777" w:rsidR="001E0ED6" w:rsidRDefault="001E0ED6" w:rsidP="00BC1D91">
            <w:pPr>
              <w:widowControl w:val="0"/>
              <w:autoSpaceDE w:val="0"/>
              <w:autoSpaceDN w:val="0"/>
              <w:adjustRightInd w:val="0"/>
              <w:spacing w:after="220"/>
              <w:rPr>
                <w:sz w:val="20"/>
              </w:rPr>
            </w:pPr>
            <w:r>
              <w:rPr>
                <w:sz w:val="20"/>
              </w:rPr>
              <w:t>A5 or non-A5</w:t>
            </w:r>
          </w:p>
          <w:p w14:paraId="73DA3039" w14:textId="77777777" w:rsidR="001E0ED6" w:rsidRDefault="001E0ED6" w:rsidP="00BC1D91">
            <w:pPr>
              <w:widowControl w:val="0"/>
              <w:autoSpaceDE w:val="0"/>
              <w:autoSpaceDN w:val="0"/>
              <w:adjustRightInd w:val="0"/>
              <w:spacing w:after="220"/>
              <w:rPr>
                <w:sz w:val="20"/>
              </w:rPr>
            </w:pPr>
          </w:p>
          <w:p w14:paraId="56D180F9" w14:textId="18A7F2B7" w:rsidR="001E0ED6" w:rsidRPr="00FD4EE9" w:rsidRDefault="001E0ED6" w:rsidP="00BC1D91">
            <w:pPr>
              <w:widowControl w:val="0"/>
              <w:autoSpaceDE w:val="0"/>
              <w:autoSpaceDN w:val="0"/>
              <w:adjustRightInd w:val="0"/>
              <w:spacing w:after="220"/>
              <w:rPr>
                <w:sz w:val="20"/>
              </w:rPr>
            </w:pPr>
            <w:r>
              <w:rPr>
                <w:sz w:val="20"/>
              </w:rPr>
              <w:t>Non-A5</w:t>
            </w:r>
          </w:p>
        </w:tc>
      </w:tr>
      <w:tr w:rsidR="00BC12BF" w:rsidRPr="00FD4EE9" w14:paraId="086F5D6B" w14:textId="77777777" w:rsidTr="005B0DF4">
        <w:trPr>
          <w:trHeight w:val="1131"/>
        </w:trPr>
        <w:tc>
          <w:tcPr>
            <w:tcW w:w="1548" w:type="dxa"/>
          </w:tcPr>
          <w:p w14:paraId="47371880" w14:textId="7FC641E0" w:rsidR="00BC12BF" w:rsidRPr="00FD4EE9" w:rsidRDefault="00BC12BF" w:rsidP="00BC1D91">
            <w:pPr>
              <w:widowControl w:val="0"/>
              <w:autoSpaceDE w:val="0"/>
              <w:autoSpaceDN w:val="0"/>
              <w:adjustRightInd w:val="0"/>
              <w:spacing w:after="220"/>
              <w:rPr>
                <w:b/>
                <w:sz w:val="20"/>
              </w:rPr>
            </w:pPr>
            <w:r w:rsidRPr="00FD4EE9">
              <w:rPr>
                <w:b/>
                <w:sz w:val="20"/>
              </w:rPr>
              <w:t>Medical and Chemical TOC</w:t>
            </w:r>
          </w:p>
        </w:tc>
        <w:tc>
          <w:tcPr>
            <w:tcW w:w="4689" w:type="dxa"/>
          </w:tcPr>
          <w:p w14:paraId="27B3D086" w14:textId="32665699" w:rsidR="00BC12BF" w:rsidRPr="005B0DF4" w:rsidRDefault="005B0DF4" w:rsidP="005B0DF4">
            <w:pPr>
              <w:rPr>
                <w:sz w:val="20"/>
                <w:lang w:val="en-US"/>
              </w:rPr>
            </w:pPr>
            <w:r w:rsidRPr="001B58A2">
              <w:rPr>
                <w:sz w:val="20"/>
                <w:lang w:val="en-US"/>
              </w:rPr>
              <w:t>Aerosols</w:t>
            </w:r>
            <w:r>
              <w:rPr>
                <w:sz w:val="20"/>
                <w:lang w:val="en-US"/>
              </w:rPr>
              <w:br/>
            </w:r>
            <w:r w:rsidRPr="001B58A2">
              <w:rPr>
                <w:sz w:val="20"/>
                <w:lang w:val="en-US"/>
              </w:rPr>
              <w:t>Destruction technologies</w:t>
            </w:r>
            <w:r>
              <w:rPr>
                <w:sz w:val="20"/>
                <w:lang w:val="en-US"/>
              </w:rPr>
              <w:br/>
            </w:r>
            <w:r w:rsidRPr="001B58A2">
              <w:rPr>
                <w:sz w:val="20"/>
                <w:lang w:val="en-US"/>
              </w:rPr>
              <w:t>Inhalers, including industry or clinical</w:t>
            </w:r>
            <w:r>
              <w:rPr>
                <w:sz w:val="20"/>
                <w:lang w:val="en-US"/>
              </w:rPr>
              <w:br/>
            </w:r>
            <w:r w:rsidRPr="001B58A2">
              <w:rPr>
                <w:sz w:val="20"/>
                <w:lang w:val="en-US"/>
              </w:rPr>
              <w:t>Laboratory and analytical uses</w:t>
            </w:r>
          </w:p>
        </w:tc>
        <w:tc>
          <w:tcPr>
            <w:tcW w:w="2241" w:type="dxa"/>
          </w:tcPr>
          <w:p w14:paraId="38537F58" w14:textId="77777777" w:rsidR="00D7239A" w:rsidRPr="00FD4EE9" w:rsidRDefault="00D7239A" w:rsidP="00BC12BF">
            <w:pPr>
              <w:widowControl w:val="0"/>
              <w:autoSpaceDE w:val="0"/>
              <w:autoSpaceDN w:val="0"/>
              <w:adjustRightInd w:val="0"/>
              <w:spacing w:after="220"/>
              <w:rPr>
                <w:sz w:val="20"/>
              </w:rPr>
            </w:pPr>
          </w:p>
          <w:p w14:paraId="528D0E6D" w14:textId="1B1502F3" w:rsidR="00BC12BF" w:rsidRPr="00FD4EE9" w:rsidRDefault="005B0DF4" w:rsidP="000121EB">
            <w:pPr>
              <w:widowControl w:val="0"/>
              <w:autoSpaceDE w:val="0"/>
              <w:autoSpaceDN w:val="0"/>
              <w:adjustRightInd w:val="0"/>
              <w:spacing w:after="220"/>
              <w:rPr>
                <w:sz w:val="20"/>
              </w:rPr>
            </w:pPr>
            <w:r>
              <w:rPr>
                <w:sz w:val="20"/>
              </w:rPr>
              <w:t>A5 or non-A5</w:t>
            </w:r>
          </w:p>
        </w:tc>
      </w:tr>
      <w:tr w:rsidR="0095076E" w:rsidRPr="00FD4EE9" w14:paraId="77294536" w14:textId="77777777" w:rsidTr="0015746F">
        <w:trPr>
          <w:trHeight w:val="548"/>
        </w:trPr>
        <w:tc>
          <w:tcPr>
            <w:tcW w:w="1548" w:type="dxa"/>
          </w:tcPr>
          <w:p w14:paraId="335F81FA" w14:textId="77777777" w:rsidR="0095076E" w:rsidRPr="00FD4EE9" w:rsidRDefault="0095076E" w:rsidP="00BC1D91">
            <w:pPr>
              <w:widowControl w:val="0"/>
              <w:autoSpaceDE w:val="0"/>
              <w:autoSpaceDN w:val="0"/>
              <w:adjustRightInd w:val="0"/>
              <w:spacing w:after="220"/>
              <w:rPr>
                <w:b/>
                <w:sz w:val="20"/>
              </w:rPr>
            </w:pPr>
            <w:r w:rsidRPr="00FD4EE9">
              <w:rPr>
                <w:b/>
                <w:sz w:val="20"/>
              </w:rPr>
              <w:t>Refrigeration TOC</w:t>
            </w:r>
          </w:p>
        </w:tc>
        <w:tc>
          <w:tcPr>
            <w:tcW w:w="4689" w:type="dxa"/>
          </w:tcPr>
          <w:p w14:paraId="720A1ED2" w14:textId="77777777" w:rsidR="0095076E" w:rsidRPr="00FD4EE9" w:rsidRDefault="0095076E" w:rsidP="00CE338D">
            <w:pPr>
              <w:widowControl w:val="0"/>
              <w:autoSpaceDE w:val="0"/>
              <w:autoSpaceDN w:val="0"/>
              <w:adjustRightInd w:val="0"/>
              <w:spacing w:after="220"/>
              <w:rPr>
                <w:sz w:val="20"/>
              </w:rPr>
            </w:pPr>
            <w:r w:rsidRPr="00FD4EE9">
              <w:rPr>
                <w:sz w:val="20"/>
              </w:rPr>
              <w:t xml:space="preserve">Additional experts not currently required </w:t>
            </w:r>
          </w:p>
        </w:tc>
        <w:tc>
          <w:tcPr>
            <w:tcW w:w="2241" w:type="dxa"/>
          </w:tcPr>
          <w:p w14:paraId="094D57AD" w14:textId="77777777" w:rsidR="0095076E" w:rsidRPr="00FD4EE9" w:rsidRDefault="00CE338D" w:rsidP="00CE338D">
            <w:pPr>
              <w:widowControl w:val="0"/>
              <w:autoSpaceDE w:val="0"/>
              <w:autoSpaceDN w:val="0"/>
              <w:adjustRightInd w:val="0"/>
              <w:spacing w:after="220"/>
              <w:jc w:val="center"/>
              <w:rPr>
                <w:sz w:val="20"/>
              </w:rPr>
            </w:pPr>
            <w:r w:rsidRPr="00FD4EE9">
              <w:rPr>
                <w:sz w:val="20"/>
              </w:rPr>
              <w:t>-</w:t>
            </w:r>
          </w:p>
        </w:tc>
      </w:tr>
      <w:tr w:rsidR="00D7239A" w:rsidRPr="00FD4EE9" w14:paraId="36D5F4E7" w14:textId="77777777" w:rsidTr="00452299">
        <w:tc>
          <w:tcPr>
            <w:tcW w:w="1548" w:type="dxa"/>
          </w:tcPr>
          <w:p w14:paraId="05511FC2" w14:textId="77777777" w:rsidR="00D7239A" w:rsidRPr="00FD4EE9" w:rsidRDefault="00D7239A" w:rsidP="00BC1D91">
            <w:pPr>
              <w:widowControl w:val="0"/>
              <w:autoSpaceDE w:val="0"/>
              <w:autoSpaceDN w:val="0"/>
              <w:adjustRightInd w:val="0"/>
              <w:spacing w:after="220"/>
              <w:rPr>
                <w:b/>
                <w:sz w:val="20"/>
              </w:rPr>
            </w:pPr>
            <w:r w:rsidRPr="00FD4EE9">
              <w:rPr>
                <w:b/>
                <w:sz w:val="20"/>
                <w:lang w:eastAsia="en-US"/>
              </w:rPr>
              <w:t>Senior Experts]</w:t>
            </w:r>
          </w:p>
        </w:tc>
        <w:tc>
          <w:tcPr>
            <w:tcW w:w="4689" w:type="dxa"/>
          </w:tcPr>
          <w:p w14:paraId="143C01C3" w14:textId="47AD7286" w:rsidR="00D7239A" w:rsidRPr="00FD4EE9" w:rsidRDefault="001E0ED6" w:rsidP="00762536">
            <w:pPr>
              <w:spacing w:after="120"/>
              <w:rPr>
                <w:sz w:val="20"/>
                <w:lang w:eastAsia="en-US"/>
              </w:rPr>
            </w:pPr>
            <w:r w:rsidRPr="00FD4EE9">
              <w:rPr>
                <w:sz w:val="20"/>
              </w:rPr>
              <w:t>Additional experts not currently required</w:t>
            </w:r>
          </w:p>
        </w:tc>
        <w:tc>
          <w:tcPr>
            <w:tcW w:w="2241" w:type="dxa"/>
          </w:tcPr>
          <w:p w14:paraId="233802F3" w14:textId="238B616E" w:rsidR="00D7239A" w:rsidRPr="00FD4EE9" w:rsidRDefault="00D7239A" w:rsidP="00BC1D91">
            <w:pPr>
              <w:widowControl w:val="0"/>
              <w:autoSpaceDE w:val="0"/>
              <w:autoSpaceDN w:val="0"/>
              <w:adjustRightInd w:val="0"/>
              <w:spacing w:after="220"/>
              <w:rPr>
                <w:sz w:val="20"/>
              </w:rPr>
            </w:pPr>
          </w:p>
        </w:tc>
      </w:tr>
    </w:tbl>
    <w:p w14:paraId="4921067A" w14:textId="311CFD42" w:rsidR="00767B1E" w:rsidRPr="00FD4EE9" w:rsidRDefault="00767B1E" w:rsidP="00B06D4E">
      <w:pPr>
        <w:rPr>
          <w:rStyle w:val="Heading1Char2"/>
          <w:rFonts w:ascii="Times New Roman" w:hAnsi="Times New Roman"/>
        </w:rPr>
      </w:pPr>
    </w:p>
    <w:sectPr w:rsidR="00767B1E" w:rsidRPr="00FD4EE9" w:rsidSect="00C271CA">
      <w:headerReference w:type="even" r:id="rId88"/>
      <w:headerReference w:type="default" r:id="rId89"/>
      <w:footerReference w:type="even" r:id="rId90"/>
      <w:headerReference w:type="first" r:id="rId91"/>
      <w:pgSz w:w="11907" w:h="16839" w:code="9"/>
      <w:pgMar w:top="1440" w:right="1797" w:bottom="1525" w:left="1797" w:header="720" w:footer="794"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5178859" w15:done="0"/>
  <w15:commentEx w15:paraId="0F30EB2C" w15:done="0"/>
  <w15:commentEx w15:paraId="4D0FA995" w15:done="0"/>
  <w15:commentEx w15:paraId="435BB523" w15:done="0"/>
  <w15:commentEx w15:paraId="6E09CEC9" w15:done="0"/>
  <w15:commentEx w15:paraId="247E67C0" w15:done="0"/>
  <w15:commentEx w15:paraId="233E4783" w15:done="0"/>
  <w15:commentEx w15:paraId="2392D49A" w15:done="0"/>
  <w15:commentEx w15:paraId="3DA85EAE" w15:done="0"/>
  <w15:commentEx w15:paraId="388EB7F0" w15:done="0"/>
  <w15:commentEx w15:paraId="1CE17A40" w15:done="0"/>
  <w15:commentEx w15:paraId="44BDC395" w15:done="0"/>
  <w15:commentEx w15:paraId="74CD18A3" w15:done="0"/>
  <w15:commentEx w15:paraId="643CD683" w15:done="0"/>
  <w15:commentEx w15:paraId="6872BF4E" w15:done="0"/>
  <w15:commentEx w15:paraId="6D81E34A" w15:done="0"/>
  <w15:commentEx w15:paraId="5C664D8F" w15:done="0"/>
  <w15:commentEx w15:paraId="27445DEB" w15:done="0"/>
  <w15:commentEx w15:paraId="0BEED0BB" w15:done="0"/>
  <w15:commentEx w15:paraId="57F61E7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00DB22" w14:textId="77777777" w:rsidR="0045350D" w:rsidRDefault="0045350D">
      <w:r>
        <w:separator/>
      </w:r>
    </w:p>
  </w:endnote>
  <w:endnote w:type="continuationSeparator" w:id="0">
    <w:p w14:paraId="1B164CFF" w14:textId="77777777" w:rsidR="0045350D" w:rsidRDefault="004535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00"/>
    <w:family w:val="modern"/>
    <w:pitch w:val="fixed"/>
    <w:sig w:usb0="E10002FF" w:usb1="4000FCFF" w:usb2="00000009" w:usb3="00000000" w:csb0="0000019F" w:csb1="00000000"/>
  </w:font>
  <w:font w:name="ArialUnicodeMS">
    <w:altName w:val="Arial Unicode MS"/>
    <w:panose1 w:val="00000000000000000000"/>
    <w:charset w:val="86"/>
    <w:family w:val="auto"/>
    <w:notTrueType/>
    <w:pitch w:val="default"/>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G Times">
    <w:charset w:val="EE"/>
    <w:family w:val="roman"/>
    <w:pitch w:val="variable"/>
    <w:sig w:usb0="00000005" w:usb1="00000000" w:usb2="00000000" w:usb3="00000000" w:csb0="00000002" w:csb1="00000000"/>
  </w:font>
  <w:font w:name="Roman">
    <w:altName w:val="Times New Roman"/>
    <w:panose1 w:val="00000000000000000000"/>
    <w:charset w:val="FF"/>
    <w:family w:val="roman"/>
    <w:notTrueType/>
    <w:pitch w:val="variable"/>
    <w:sig w:usb0="00000003"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Chicago">
    <w:altName w:val="Arial"/>
    <w:charset w:val="00"/>
    <w:family w:val="auto"/>
    <w:pitch w:val="variable"/>
    <w:sig w:usb0="03000000"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Futura">
    <w:charset w:val="00"/>
    <w:family w:val="auto"/>
    <w:pitch w:val="variable"/>
    <w:sig w:usb0="80000067" w:usb1="00000000" w:usb2="00000000" w:usb3="00000000" w:csb0="000001FB" w:csb1="00000000"/>
  </w:font>
  <w:font w:name="Galliard">
    <w:altName w:val="Cambria"/>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Bold">
    <w:panose1 w:val="02020803070505020304"/>
    <w:charset w:val="00"/>
    <w:family w:val="auto"/>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FrutigerLTStd-Light">
    <w:altName w:val="Times New Roman"/>
    <w:panose1 w:val="00000000000000000000"/>
    <w:charset w:val="00"/>
    <w:family w:val="auto"/>
    <w:notTrueType/>
    <w:pitch w:val="default"/>
    <w:sig w:usb0="00000003" w:usb1="00000000" w:usb2="00000000" w:usb3="00000000" w:csb0="00000001" w:csb1="00000000"/>
  </w:font>
  <w:font w:name="FrutigerLTStd-Bold">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Roman">
    <w:altName w:val="Times"/>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OJFKL G+ Melior">
    <w:altName w:val="Times New Roman"/>
    <w:panose1 w:val="00000000000000000000"/>
    <w:charset w:val="00"/>
    <w:family w:val="roman"/>
    <w:notTrueType/>
    <w:pitch w:val="default"/>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Helvetica Neue">
    <w:altName w:val="Malgun Gothic"/>
    <w:charset w:val="00"/>
    <w:family w:val="auto"/>
    <w:pitch w:val="variable"/>
    <w:sig w:usb0="00000003" w:usb1="500079DB" w:usb2="00000010" w:usb3="00000000" w:csb0="00000001" w:csb1="00000000"/>
  </w:font>
  <w:font w:name="MS ????">
    <w:altName w:val="MS Mincho"/>
    <w:panose1 w:val="00000000000000000000"/>
    <w:charset w:val="80"/>
    <w:family w:val="auto"/>
    <w:notTrueType/>
    <w:pitch w:val="variable"/>
    <w:sig w:usb0="00000000" w:usb1="08070000" w:usb2="00000010" w:usb3="00000000" w:csb0="00020000" w:csb1="00000000"/>
  </w:font>
  <w:font w:name="Minion-Regular">
    <w:altName w:val="Arial Unicode MS"/>
    <w:panose1 w:val="00000000000000000000"/>
    <w:charset w:val="81"/>
    <w:family w:val="auto"/>
    <w:notTrueType/>
    <w:pitch w:val="default"/>
    <w:sig w:usb0="00000001" w:usb1="09070000" w:usb2="00000010" w:usb3="00000000" w:csb0="000A0000" w:csb1="00000000"/>
  </w:font>
  <w:font w:name="Cambria Math">
    <w:panose1 w:val="02040503050406030204"/>
    <w:charset w:val="00"/>
    <w:family w:val="roman"/>
    <w:pitch w:val="variable"/>
    <w:sig w:usb0="E00002FF" w:usb1="420024FF" w:usb2="00000000" w:usb3="00000000" w:csb0="0000019F" w:csb1="00000000"/>
  </w:font>
  <w:font w:name="Roboto">
    <w:altName w:val="Times New Roman"/>
    <w:panose1 w:val="02000000000000000000"/>
    <w:charset w:val="00"/>
    <w:family w:val="auto"/>
    <w:pitch w:val="variable"/>
    <w:sig w:usb0="E00002EF" w:usb1="5000205B" w:usb2="00000020" w:usb3="00000000" w:csb0="0000019F" w:csb1="00000000"/>
  </w:font>
  <w:font w:name="FangSong_GB2312">
    <w:altName w:val="仿宋"/>
    <w:panose1 w:val="02010609060101010101"/>
    <w:charset w:val="86"/>
    <w:family w:val="modern"/>
    <w:pitch w:val="fixed"/>
    <w:sig w:usb0="800002BF" w:usb1="38CF7CFA" w:usb2="00000016" w:usb3="00000000" w:csb0="00040001" w:csb1="00000000"/>
  </w:font>
  <w:font w:name="Noteworthy Bold">
    <w:altName w:val="Arial Unicode MS"/>
    <w:charset w:val="00"/>
    <w:family w:val="auto"/>
    <w:pitch w:val="variable"/>
    <w:sig w:usb0="00000001" w:usb1="08000048" w:usb2="14600000" w:usb3="00000000" w:csb0="00000111" w:csb1="00000000"/>
  </w:font>
  <w:font w:name="Noteworthy Light">
    <w:altName w:val="Arial Unicode MS"/>
    <w:charset w:val="00"/>
    <w:family w:val="auto"/>
    <w:pitch w:val="variable"/>
    <w:sig w:usb0="00000001" w:usb1="08000048" w:usb2="146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7463AD" w14:textId="77777777" w:rsidR="00943D38" w:rsidRDefault="00943D38">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w:t>
    </w:r>
    <w:r>
      <w:rPr>
        <w:rStyle w:val="PageNumber"/>
      </w:rPr>
      <w:fldChar w:fldCharType="end"/>
    </w:r>
  </w:p>
  <w:p w14:paraId="72209886" w14:textId="77777777" w:rsidR="00943D38" w:rsidRDefault="00943D38">
    <w:pPr>
      <w:pStyle w:val="Footer"/>
      <w:spacing w:after="0"/>
      <w:ind w:right="993" w:firstLine="360"/>
      <w:rPr>
        <w:b/>
        <w:sz w:val="20"/>
      </w:rPr>
    </w:pPr>
    <w:r>
      <w:rPr>
        <w:rStyle w:val="PageNumber"/>
      </w:rPr>
      <w:tab/>
    </w:r>
    <w:r>
      <w:rPr>
        <w:rStyle w:val="PageNumber"/>
        <w:b/>
        <w:sz w:val="20"/>
      </w:rPr>
      <w:t>May 2004 TEAP Progress Report</w:t>
    </w:r>
    <w:r>
      <w:rPr>
        <w:rStyle w:val="PageNumber"/>
        <w:b/>
        <w:sz w:val="2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E9BAA9" w14:textId="77777777" w:rsidR="00943D38" w:rsidRDefault="00943D38">
    <w:pPr>
      <w:pStyle w:val="Foote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C273EF" w14:textId="77777777" w:rsidR="00943D38" w:rsidRDefault="00943D38">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cclxvii</w:t>
    </w:r>
    <w:r>
      <w:rPr>
        <w:rStyle w:val="PageNumber"/>
      </w:rPr>
      <w:fldChar w:fldCharType="end"/>
    </w:r>
  </w:p>
  <w:p w14:paraId="7BE688AA" w14:textId="77777777" w:rsidR="00943D38" w:rsidRDefault="00943D38">
    <w:pPr>
      <w:pStyle w:val="Footer"/>
      <w:spacing w:after="0"/>
      <w:ind w:right="360" w:firstLine="360"/>
      <w:rPr>
        <w:b/>
        <w:sz w:val="20"/>
      </w:rPr>
    </w:pPr>
    <w:r>
      <w:rPr>
        <w:rStyle w:val="PageNumber"/>
      </w:rPr>
      <w:tab/>
    </w:r>
    <w:r>
      <w:rPr>
        <w:rStyle w:val="PageNumber"/>
        <w:b/>
        <w:sz w:val="20"/>
      </w:rPr>
      <w:t>May 2004 TEAP Progress Report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F549DC" w14:textId="77777777" w:rsidR="00943D38" w:rsidRDefault="00943D38">
    <w:pPr>
      <w:pStyle w:val="Footer"/>
      <w:jc w:val="right"/>
    </w:pPr>
    <w:r>
      <w:fldChar w:fldCharType="begin"/>
    </w:r>
    <w:r>
      <w:instrText xml:space="preserve"> PAGE   \* MERGEFORMAT </w:instrText>
    </w:r>
    <w:r>
      <w:fldChar w:fldCharType="separate"/>
    </w:r>
    <w:r w:rsidR="00BC4FC5">
      <w:rPr>
        <w:noProof/>
      </w:rPr>
      <w:t>iii</w:t>
    </w:r>
    <w:r>
      <w:rPr>
        <w:noProof/>
      </w:rPr>
      <w:fldChar w:fldCharType="end"/>
    </w:r>
  </w:p>
  <w:p w14:paraId="661F520A" w14:textId="77777777" w:rsidR="00943D38" w:rsidRDefault="00943D38">
    <w:pPr>
      <w:pStyle w:val="Footer"/>
      <w:spacing w:after="0"/>
      <w:ind w:right="993"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29B9B0" w14:textId="77777777" w:rsidR="00943D38" w:rsidRDefault="00943D38">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C4FC5">
      <w:rPr>
        <w:rStyle w:val="PageNumber"/>
        <w:noProof/>
      </w:rPr>
      <w:t>iv</w:t>
    </w:r>
    <w:r>
      <w:rPr>
        <w:rStyle w:val="PageNumber"/>
      </w:rPr>
      <w:fldChar w:fldCharType="end"/>
    </w:r>
  </w:p>
  <w:p w14:paraId="0EC57825" w14:textId="77777777" w:rsidR="00943D38" w:rsidRDefault="00943D38">
    <w:pPr>
      <w:pStyle w:val="Footer"/>
      <w:spacing w:after="0"/>
      <w:ind w:right="993" w:firstLine="360"/>
      <w:jc w:val="center"/>
      <w:rPr>
        <w:b/>
        <w:sz w:val="20"/>
      </w:rPr>
    </w:pPr>
    <w:bookmarkStart w:id="3" w:name="OLE_LINK18"/>
    <w:bookmarkStart w:id="4" w:name="OLE_LINK20"/>
    <w:bookmarkStart w:id="5" w:name="_Hlk294606800"/>
    <w:r>
      <w:rPr>
        <w:rStyle w:val="PageNumber"/>
        <w:b/>
        <w:sz w:val="20"/>
      </w:rPr>
      <w:t>May 2017 TEAP Progress Report</w:t>
    </w:r>
    <w:bookmarkEnd w:id="3"/>
    <w:bookmarkEnd w:id="4"/>
    <w:bookmarkEnd w:id="5"/>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FF1539" w14:textId="77777777" w:rsidR="00943D38" w:rsidRDefault="00943D38">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1ADE1FC6" w14:textId="77777777" w:rsidR="00943D38" w:rsidRDefault="00943D38">
    <w:pPr>
      <w:pStyle w:val="Footer"/>
      <w:spacing w:before="120" w:after="120"/>
      <w:ind w:right="360" w:firstLine="360"/>
      <w:jc w:val="center"/>
      <w:rPr>
        <w:sz w:val="20"/>
      </w:rPr>
    </w:pPr>
    <w:r>
      <w:rPr>
        <w:rStyle w:val="PageNumber"/>
        <w:sz w:val="20"/>
      </w:rPr>
      <w:t xml:space="preserve">Page </w:t>
    </w:r>
  </w:p>
  <w:p w14:paraId="5675B057" w14:textId="77777777" w:rsidR="00943D38" w:rsidRDefault="00943D38">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87860D" w14:textId="77777777" w:rsidR="00943D38" w:rsidRPr="00656E7D" w:rsidRDefault="00943D38" w:rsidP="00656E7D">
    <w:r w:rsidRPr="00656E7D">
      <w:fldChar w:fldCharType="begin"/>
    </w:r>
    <w:r w:rsidRPr="00656E7D">
      <w:instrText xml:space="preserve">PAGE  </w:instrText>
    </w:r>
    <w:r w:rsidRPr="00656E7D">
      <w:fldChar w:fldCharType="end"/>
    </w:r>
  </w:p>
  <w:p w14:paraId="562E85E0" w14:textId="77777777" w:rsidR="00943D38" w:rsidRPr="00656E7D" w:rsidRDefault="00943D38" w:rsidP="00656E7D">
    <w:r w:rsidRPr="00656E7D">
      <w:t xml:space="preserve">Page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38668E" w14:textId="77777777" w:rsidR="00943D38" w:rsidRDefault="00943D38">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3DC351AB" w14:textId="77777777" w:rsidR="00943D38" w:rsidRDefault="00943D38">
    <w:pPr>
      <w:pStyle w:val="Footer"/>
      <w:spacing w:before="120" w:after="120"/>
      <w:ind w:right="360" w:firstLine="360"/>
      <w:jc w:val="center"/>
      <w:rPr>
        <w:sz w:val="20"/>
      </w:rPr>
    </w:pPr>
    <w:r>
      <w:rPr>
        <w:rStyle w:val="PageNumber"/>
        <w:sz w:val="20"/>
      </w:rPr>
      <w:t xml:space="preserve">Page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8479D2" w14:textId="77777777" w:rsidR="0045350D" w:rsidRDefault="0045350D">
      <w:r>
        <w:separator/>
      </w:r>
    </w:p>
  </w:footnote>
  <w:footnote w:type="continuationSeparator" w:id="0">
    <w:p w14:paraId="57AC57C5" w14:textId="77777777" w:rsidR="0045350D" w:rsidRDefault="0045350D">
      <w:r>
        <w:continuationSeparator/>
      </w:r>
    </w:p>
  </w:footnote>
  <w:footnote w:id="1">
    <w:p w14:paraId="1F56FF8D" w14:textId="77777777" w:rsidR="00943D38" w:rsidRPr="00861496" w:rsidRDefault="00943D38" w:rsidP="0010207A">
      <w:pPr>
        <w:pStyle w:val="FootnoteText"/>
        <w:rPr>
          <w:lang w:val="en-US"/>
        </w:rPr>
      </w:pPr>
      <w:r>
        <w:rPr>
          <w:rStyle w:val="FootnoteReference"/>
        </w:rPr>
        <w:footnoteRef/>
      </w:r>
      <w:r>
        <w:t xml:space="preserve"> </w:t>
      </w:r>
      <w:r>
        <w:rPr>
          <w:lang w:val="en-US"/>
        </w:rPr>
        <w:t>Estimates of HFC consumption for MDI manufacture in 2016 are thought to show higher than normal demand due to market anomalies.</w:t>
      </w:r>
    </w:p>
  </w:footnote>
  <w:footnote w:id="2">
    <w:p w14:paraId="67969093" w14:textId="77777777" w:rsidR="00943D38" w:rsidRPr="00BC7FEB" w:rsidRDefault="00943D38" w:rsidP="0010207A">
      <w:pPr>
        <w:pStyle w:val="FootnoteText"/>
        <w:rPr>
          <w:lang w:val="en-US"/>
        </w:rPr>
      </w:pPr>
      <w:r>
        <w:rPr>
          <w:rStyle w:val="FootnoteReference"/>
        </w:rPr>
        <w:footnoteRef/>
      </w:r>
      <w:r>
        <w:t xml:space="preserve"> </w:t>
      </w:r>
      <w:r w:rsidRPr="00EE5748">
        <w:t>https://www.honeywell-solstice-propellants.com/ResourceCenter/Whitepapers/Solstice®1234ze,%20HFO-1234ze,%201234ze%20Flammability%20Assessment.pdf</w:t>
      </w:r>
      <w:r>
        <w:t>, accessed May 2017.</w:t>
      </w:r>
    </w:p>
  </w:footnote>
  <w:footnote w:id="3">
    <w:p w14:paraId="072A823D" w14:textId="25D4370B" w:rsidR="00943D38" w:rsidRPr="00B70EF7" w:rsidRDefault="00943D38" w:rsidP="00351235">
      <w:pPr>
        <w:pStyle w:val="FootnoteText"/>
        <w:rPr>
          <w:lang w:val="en-US"/>
        </w:rPr>
      </w:pPr>
      <w:r>
        <w:rPr>
          <w:rStyle w:val="FootnoteReference"/>
        </w:rPr>
        <w:footnoteRef/>
      </w:r>
      <w:r>
        <w:t xml:space="preserve"> </w:t>
      </w:r>
      <w:r>
        <w:rPr>
          <w:bCs/>
          <w:lang w:val="en-US"/>
        </w:rPr>
        <w:t>Table</w:t>
      </w:r>
      <w:r w:rsidRPr="00B70EF7">
        <w:rPr>
          <w:bCs/>
          <w:lang w:val="en-US"/>
        </w:rPr>
        <w:t xml:space="preserve"> A </w:t>
      </w:r>
      <w:r>
        <w:rPr>
          <w:bCs/>
          <w:lang w:val="en-US"/>
        </w:rPr>
        <w:t>was</w:t>
      </w:r>
      <w:r w:rsidRPr="00B70EF7">
        <w:rPr>
          <w:bCs/>
          <w:lang w:val="en-US"/>
        </w:rPr>
        <w:t xml:space="preserve"> last updated in 2011</w:t>
      </w:r>
      <w:r>
        <w:rPr>
          <w:bCs/>
          <w:lang w:val="en-US"/>
        </w:rPr>
        <w:t xml:space="preserve"> </w:t>
      </w:r>
      <w:r w:rsidRPr="00B70EF7">
        <w:rPr>
          <w:bCs/>
          <w:lang w:val="en-US"/>
        </w:rPr>
        <w:t>with Decision XXIII/7: Use of controlled substanc</w:t>
      </w:r>
      <w:r>
        <w:rPr>
          <w:bCs/>
          <w:lang w:val="en-US"/>
        </w:rPr>
        <w:t>es as process agents. The table</w:t>
      </w:r>
      <w:r w:rsidRPr="00B70EF7">
        <w:rPr>
          <w:bCs/>
          <w:lang w:val="en-US"/>
        </w:rPr>
        <w:t xml:space="preserve"> show</w:t>
      </w:r>
      <w:r>
        <w:rPr>
          <w:bCs/>
          <w:lang w:val="en-US"/>
        </w:rPr>
        <w:t>s</w:t>
      </w:r>
      <w:r w:rsidRPr="00B70EF7">
        <w:rPr>
          <w:bCs/>
          <w:lang w:val="en-US"/>
        </w:rPr>
        <w:t xml:space="preserve"> Dec. XXIII/7 Tables A alongside the repo</w:t>
      </w:r>
      <w:r>
        <w:rPr>
          <w:bCs/>
          <w:lang w:val="en-US"/>
        </w:rPr>
        <w:t>rted information received from p</w:t>
      </w:r>
      <w:r w:rsidRPr="00B70EF7">
        <w:rPr>
          <w:bCs/>
          <w:lang w:val="en-US"/>
        </w:rPr>
        <w:t xml:space="preserve">arties for </w:t>
      </w:r>
      <w:r>
        <w:rPr>
          <w:bCs/>
          <w:lang w:val="en-US"/>
        </w:rPr>
        <w:t>the year 2015</w:t>
      </w:r>
      <w:r w:rsidRPr="00B70EF7">
        <w:rPr>
          <w:bCs/>
          <w:lang w:val="en-US"/>
        </w:rPr>
        <w:t>.</w:t>
      </w:r>
    </w:p>
  </w:footnote>
  <w:footnote w:id="4">
    <w:p w14:paraId="31B15C5E" w14:textId="7D23D0D4" w:rsidR="00943D38" w:rsidRPr="00CE2D77" w:rsidRDefault="00943D38" w:rsidP="00351235">
      <w:pPr>
        <w:pStyle w:val="FootnoteText"/>
        <w:rPr>
          <w:lang w:val="en-US"/>
        </w:rPr>
      </w:pPr>
      <w:r>
        <w:rPr>
          <w:rStyle w:val="FootnoteReference"/>
        </w:rPr>
        <w:footnoteRef/>
      </w:r>
      <w:r>
        <w:t xml:space="preserve"> </w:t>
      </w:r>
      <w:r>
        <w:rPr>
          <w:bCs/>
          <w:lang w:val="en-US"/>
        </w:rPr>
        <w:t>Table B</w:t>
      </w:r>
      <w:r w:rsidRPr="00B70EF7">
        <w:rPr>
          <w:bCs/>
          <w:lang w:val="en-US"/>
        </w:rPr>
        <w:t xml:space="preserve"> </w:t>
      </w:r>
      <w:r>
        <w:rPr>
          <w:bCs/>
          <w:lang w:val="en-US"/>
        </w:rPr>
        <w:t>was</w:t>
      </w:r>
      <w:r w:rsidRPr="00B70EF7">
        <w:rPr>
          <w:bCs/>
          <w:lang w:val="en-US"/>
        </w:rPr>
        <w:t xml:space="preserve"> last updated in 2011</w:t>
      </w:r>
      <w:r>
        <w:rPr>
          <w:bCs/>
          <w:lang w:val="en-US"/>
        </w:rPr>
        <w:t xml:space="preserve"> </w:t>
      </w:r>
      <w:r w:rsidRPr="00B70EF7">
        <w:rPr>
          <w:bCs/>
          <w:lang w:val="en-US"/>
        </w:rPr>
        <w:t>with Decision XXIII/7: Use of controlled substanc</w:t>
      </w:r>
      <w:r>
        <w:rPr>
          <w:bCs/>
          <w:lang w:val="en-US"/>
        </w:rPr>
        <w:t>es as process agents. The table</w:t>
      </w:r>
      <w:r w:rsidRPr="00B70EF7">
        <w:rPr>
          <w:bCs/>
          <w:lang w:val="en-US"/>
        </w:rPr>
        <w:t xml:space="preserve"> show</w:t>
      </w:r>
      <w:r>
        <w:rPr>
          <w:bCs/>
          <w:lang w:val="en-US"/>
        </w:rPr>
        <w:t>s Dec. XXIII/7 Tables B</w:t>
      </w:r>
      <w:r w:rsidRPr="00B70EF7">
        <w:rPr>
          <w:bCs/>
          <w:lang w:val="en-US"/>
        </w:rPr>
        <w:t xml:space="preserve"> alongside the repo</w:t>
      </w:r>
      <w:r>
        <w:rPr>
          <w:bCs/>
          <w:lang w:val="en-US"/>
        </w:rPr>
        <w:t>rted information received from p</w:t>
      </w:r>
      <w:r w:rsidRPr="00B70EF7">
        <w:rPr>
          <w:bCs/>
          <w:lang w:val="en-US"/>
        </w:rPr>
        <w:t xml:space="preserve">arties </w:t>
      </w:r>
      <w:r>
        <w:rPr>
          <w:bCs/>
          <w:lang w:val="en-US"/>
        </w:rPr>
        <w:t>f</w:t>
      </w:r>
      <w:r w:rsidRPr="00B70EF7">
        <w:rPr>
          <w:bCs/>
          <w:lang w:val="en-US"/>
        </w:rPr>
        <w:t xml:space="preserve">or </w:t>
      </w:r>
      <w:r>
        <w:rPr>
          <w:bCs/>
          <w:lang w:val="en-US"/>
        </w:rPr>
        <w:t>the year 2015</w:t>
      </w:r>
      <w:r w:rsidRPr="00B70EF7">
        <w:rPr>
          <w:bCs/>
          <w:lang w:val="en-US"/>
        </w:rPr>
        <w:t>.</w:t>
      </w:r>
    </w:p>
  </w:footnote>
  <w:footnote w:id="5">
    <w:p w14:paraId="49961273" w14:textId="77777777" w:rsidR="00943D38" w:rsidRPr="001C509F" w:rsidRDefault="00943D38" w:rsidP="00497F61">
      <w:pPr>
        <w:pStyle w:val="FootnoteText"/>
        <w:rPr>
          <w:lang w:val="en-US"/>
        </w:rPr>
      </w:pPr>
      <w:r>
        <w:rPr>
          <w:rStyle w:val="FootnoteReference"/>
        </w:rPr>
        <w:footnoteRef/>
      </w:r>
      <w:r>
        <w:t xml:space="preserve"> </w:t>
      </w:r>
      <w:r>
        <w:rPr>
          <w:lang w:val="en-US"/>
        </w:rPr>
        <w:t>Containment technologies used by the United States to minimize emissions of controlled substances: continuous air monitoring of stacks; fugitive emission monitoring and repair; vent emission recycling back into process; bio-treatment and carbon bed filtration; stack gas sent to vent incineration; nitrogen used to clear the transfer lines; used material sent to THROX incineration unit; solvent recovery system; carbon absorption system; wastewater treatment system; emergency discharge system routed through a blow-down collection tank; air sweep to a carbon absorption system from suspected leak areas; redundant process controls to minimize mis-operation; full system drainage and vapour purge prior to maintenance; refrigerated vent condensers to minimize BCM emissions; multi-disciplined conservation team overseeing leak detection technology and process optimization; mechanical seal pumps replaced by seal-less pumps for CTC transfer lines; compressor suction automation valves and heat exchangers to improve recovery control; recycling and recovery operations to maximize material re-use; internal mechanisms for rapid-response to threshold shifts in daily emission values.</w:t>
      </w:r>
    </w:p>
  </w:footnote>
  <w:footnote w:id="6">
    <w:p w14:paraId="3B5F84B9" w14:textId="77777777" w:rsidR="00943D38" w:rsidRPr="001C509F" w:rsidRDefault="00943D38" w:rsidP="00497F61">
      <w:pPr>
        <w:pStyle w:val="FootnoteText"/>
        <w:rPr>
          <w:lang w:val="en-US"/>
        </w:rPr>
      </w:pPr>
      <w:r>
        <w:rPr>
          <w:rStyle w:val="FootnoteReference"/>
        </w:rPr>
        <w:footnoteRef/>
      </w:r>
      <w:r>
        <w:t xml:space="preserve"> Annex </w:t>
      </w:r>
      <w:r>
        <w:rPr>
          <w:lang w:val="en-US"/>
        </w:rPr>
        <w:t>AI CFCs -11, -12, -113, -114, -115; Annex BII carbon tetrachloride; Annex BIII 1,1,1 trichloroethane; Annex CI HCFCs. “Other” includes Annex AII Halons -1211, -1301, -2402; Annex BI CFCs -13, -111, -112, -211, -212, -213, -214, -215, -216, -217; Annex CII HBFCs; Annex CIII bromochloromethane; and Annex EI methyl bromide.</w:t>
      </w:r>
    </w:p>
  </w:footnote>
  <w:footnote w:id="7">
    <w:p w14:paraId="0C622FE5" w14:textId="77777777" w:rsidR="00943D38" w:rsidRPr="005D7F3C" w:rsidRDefault="00943D38" w:rsidP="00314538">
      <w:pPr>
        <w:pStyle w:val="FootnoteText"/>
        <w:rPr>
          <w:lang w:val="en-US"/>
        </w:rPr>
      </w:pPr>
      <w:r>
        <w:rPr>
          <w:rStyle w:val="FootnoteReference"/>
        </w:rPr>
        <w:footnoteRef/>
      </w:r>
      <w:r>
        <w:t xml:space="preserve"> </w:t>
      </w:r>
      <w:r w:rsidRPr="005D7F3C">
        <w:rPr>
          <w:iCs/>
        </w:rPr>
        <w:t xml:space="preserve">This can be found in the 2006 IPCC Guidelines for National Greenhouse Gases Inventories Volume 3, </w:t>
      </w:r>
      <w:r>
        <w:rPr>
          <w:iCs/>
        </w:rPr>
        <w:t xml:space="preserve">Chapter 3.10, accessible at </w:t>
      </w:r>
      <w:hyperlink r:id="rId1" w:history="1">
        <w:r w:rsidRPr="006F6182">
          <w:rPr>
            <w:rStyle w:val="Hyperlink"/>
          </w:rPr>
          <w:t>http://www.ipcc-nggip.iges.or.jp/public/2006gl/pdf/3_Volume3/V3_3_Ch3_Chemical_Industry.pdf</w:t>
        </w:r>
      </w:hyperlink>
      <w:r>
        <w:t xml:space="preserve"> </w:t>
      </w:r>
      <w:r>
        <w:rPr>
          <w:iCs/>
        </w:rPr>
        <w:t>, accessed March 2016</w:t>
      </w:r>
      <w:r w:rsidRPr="00022226">
        <w:rPr>
          <w:iCs/>
        </w:rPr>
        <w:t>.</w:t>
      </w:r>
      <w:r>
        <w:rPr>
          <w:iCs/>
        </w:rPr>
        <w:t xml:space="preserve"> </w:t>
      </w:r>
      <w:r w:rsidRPr="00064074">
        <w:rPr>
          <w:iCs/>
        </w:rPr>
        <w:t xml:space="preserve">The </w:t>
      </w:r>
      <w:r>
        <w:rPr>
          <w:iCs/>
        </w:rPr>
        <w:t>Guidelines</w:t>
      </w:r>
      <w:r w:rsidRPr="00064074">
        <w:rPr>
          <w:iCs/>
        </w:rPr>
        <w:t xml:space="preserve"> </w:t>
      </w:r>
      <w:r>
        <w:rPr>
          <w:iCs/>
        </w:rPr>
        <w:t>state,</w:t>
      </w:r>
      <w:r w:rsidRPr="00064074">
        <w:rPr>
          <w:iCs/>
        </w:rPr>
        <w:t xml:space="preserve"> “</w:t>
      </w:r>
      <w:r w:rsidRPr="00210126">
        <w:rPr>
          <w:i/>
          <w:iCs/>
          <w:lang w:val="en-US"/>
        </w:rPr>
        <w:t>For Tier 1, in the absence of abatement measures, a default emission factor of 0.5 percent of production, not counting losses in transport and transfer of materials, is suggested for HFCs and PFCs, based on data supplied to AFEAS (2004).</w:t>
      </w:r>
      <w:r w:rsidRPr="00210126">
        <w:rPr>
          <w:iCs/>
        </w:rPr>
        <w:t>”</w:t>
      </w:r>
    </w:p>
  </w:footnote>
  <w:footnote w:id="8">
    <w:p w14:paraId="0F94C838" w14:textId="77777777" w:rsidR="00943D38" w:rsidRDefault="00943D38" w:rsidP="00314538">
      <w:pPr>
        <w:pStyle w:val="FootnoteText"/>
      </w:pPr>
      <w:r>
        <w:rPr>
          <w:rStyle w:val="FootnoteReference"/>
        </w:rPr>
        <w:footnoteRef/>
      </w:r>
      <w:r>
        <w:t xml:space="preserve"> Ozone-depleting substances 2015, Aggregated data reported by companies on the import, export, production, destruction, and feedstock and process agent use of ozone-depleting substances in the European Union, European Environment Agency Report No 19/2016, Luxembourg: Publications Office of the European Union, 2016, doi:10.2800/175145.</w:t>
      </w:r>
    </w:p>
  </w:footnote>
  <w:footnote w:id="9">
    <w:p w14:paraId="5FD82007" w14:textId="77777777" w:rsidR="00943D38" w:rsidRDefault="00943D38" w:rsidP="00314538">
      <w:pPr>
        <w:pStyle w:val="FootnoteText"/>
      </w:pPr>
      <w:r>
        <w:rPr>
          <w:rStyle w:val="FootnoteReference"/>
        </w:rPr>
        <w:footnoteRef/>
      </w:r>
      <w:r>
        <w:t xml:space="preserve"> </w:t>
      </w:r>
      <w:r w:rsidRPr="006E3BA1">
        <w:t>European Pollutant Release and Transfer Register (E-PRTR)</w:t>
      </w:r>
      <w:r>
        <w:t xml:space="preserve">, available at </w:t>
      </w:r>
      <w:r w:rsidRPr="009D1864">
        <w:t>http://prtr.ec.europa.eu/</w:t>
      </w:r>
      <w:r>
        <w:t>, accessed February 2017.</w:t>
      </w:r>
    </w:p>
  </w:footnote>
  <w:footnote w:id="10">
    <w:p w14:paraId="31075EFB" w14:textId="77777777" w:rsidR="00943D38" w:rsidRPr="00861496" w:rsidRDefault="00943D38" w:rsidP="00314538">
      <w:pPr>
        <w:pStyle w:val="FootnoteText"/>
        <w:rPr>
          <w:lang w:val="en-US"/>
        </w:rPr>
      </w:pPr>
      <w:r>
        <w:rPr>
          <w:rStyle w:val="FootnoteReference"/>
        </w:rPr>
        <w:footnoteRef/>
      </w:r>
      <w:r>
        <w:t xml:space="preserve"> </w:t>
      </w:r>
      <w:r w:rsidRPr="001E3108">
        <w:t>SPARC (2016), SPARC Report on the Mystery of Carbon Tetrachloride. Q. Liang, P.A. Newman, S. Reimann (Eds.), SPARC Report No. 7, WCRP-13/2016.</w:t>
      </w:r>
    </w:p>
  </w:footnote>
  <w:footnote w:id="11">
    <w:p w14:paraId="44078928" w14:textId="77777777" w:rsidR="00943D38" w:rsidRPr="00E94BBF" w:rsidRDefault="00943D38" w:rsidP="00314538">
      <w:pPr>
        <w:pStyle w:val="FootnoteText"/>
        <w:rPr>
          <w:lang w:val="en-US"/>
        </w:rPr>
      </w:pPr>
      <w:r>
        <w:rPr>
          <w:rStyle w:val="FootnoteReference"/>
        </w:rPr>
        <w:footnoteRef/>
      </w:r>
      <w:r>
        <w:t xml:space="preserve"> </w:t>
      </w:r>
      <w:r w:rsidRPr="005B4AF0">
        <w:rPr>
          <w:lang w:val="en-US"/>
        </w:rPr>
        <w:t xml:space="preserve">More information </w:t>
      </w:r>
      <w:r>
        <w:rPr>
          <w:lang w:val="en-US"/>
        </w:rPr>
        <w:t xml:space="preserve">on responsible use practices </w:t>
      </w:r>
      <w:r w:rsidRPr="005B4AF0">
        <w:rPr>
          <w:lang w:val="en-US"/>
        </w:rPr>
        <w:t xml:space="preserve">can be found </w:t>
      </w:r>
      <w:r>
        <w:rPr>
          <w:lang w:val="en-US"/>
        </w:rPr>
        <w:t>on</w:t>
      </w:r>
      <w:r w:rsidRPr="005B4AF0">
        <w:rPr>
          <w:lang w:val="en-US"/>
        </w:rPr>
        <w:t xml:space="preserve"> the website of the Alliance for Responsible Atmospheric Policy at </w:t>
      </w:r>
      <w:hyperlink r:id="rId2" w:history="1">
        <w:r w:rsidRPr="005B4AF0">
          <w:rPr>
            <w:rStyle w:val="Hyperlink"/>
            <w:lang w:val="en-US"/>
          </w:rPr>
          <w:t>www.arap.org</w:t>
        </w:r>
      </w:hyperlink>
      <w:r w:rsidRPr="005B4AF0">
        <w:rPr>
          <w:lang w:val="en-US"/>
        </w:rPr>
        <w:t xml:space="preserve"> under Responsible Use Principles and Best Practices.</w:t>
      </w:r>
    </w:p>
  </w:footnote>
  <w:footnote w:id="12">
    <w:p w14:paraId="5352EA56" w14:textId="77777777" w:rsidR="00943D38" w:rsidRPr="001C509F" w:rsidRDefault="00943D38" w:rsidP="00314538">
      <w:pPr>
        <w:pStyle w:val="FootnoteText"/>
        <w:rPr>
          <w:lang w:val="en-US"/>
        </w:rPr>
      </w:pPr>
      <w:r>
        <w:rPr>
          <w:rStyle w:val="FootnoteReference"/>
        </w:rPr>
        <w:footnoteRef/>
      </w:r>
      <w:r>
        <w:t xml:space="preserve"> </w:t>
      </w:r>
      <w:r w:rsidRPr="001C509F">
        <w:rPr>
          <w:bCs/>
          <w:lang w:val="en-US"/>
        </w:rPr>
        <w:t>Wuebbles</w:t>
      </w:r>
      <w:r>
        <w:rPr>
          <w:bCs/>
          <w:lang w:val="en-US"/>
        </w:rPr>
        <w:t>,</w:t>
      </w:r>
      <w:r w:rsidRPr="006B3EA3">
        <w:rPr>
          <w:bCs/>
          <w:lang w:val="en-US"/>
        </w:rPr>
        <w:t xml:space="preserve"> </w:t>
      </w:r>
      <w:r w:rsidRPr="001655A8">
        <w:rPr>
          <w:bCs/>
          <w:lang w:val="en-US"/>
        </w:rPr>
        <w:t>D. J.</w:t>
      </w:r>
      <w:r w:rsidRPr="001C509F">
        <w:rPr>
          <w:bCs/>
          <w:lang w:val="en-US"/>
        </w:rPr>
        <w:t xml:space="preserve">, Patten, </w:t>
      </w:r>
      <w:r w:rsidRPr="00B506E2">
        <w:rPr>
          <w:bCs/>
          <w:lang w:val="en-US"/>
        </w:rPr>
        <w:t>K. O.</w:t>
      </w:r>
      <w:r>
        <w:rPr>
          <w:bCs/>
          <w:lang w:val="en-US"/>
        </w:rPr>
        <w:t>,</w:t>
      </w:r>
      <w:r w:rsidRPr="00B506E2">
        <w:rPr>
          <w:bCs/>
          <w:lang w:val="en-US"/>
        </w:rPr>
        <w:t xml:space="preserve"> </w:t>
      </w:r>
      <w:r w:rsidRPr="001C509F">
        <w:rPr>
          <w:bCs/>
          <w:lang w:val="en-US"/>
        </w:rPr>
        <w:t xml:space="preserve">Wang, </w:t>
      </w:r>
      <w:r w:rsidRPr="0052199E">
        <w:rPr>
          <w:bCs/>
          <w:lang w:val="en-US"/>
        </w:rPr>
        <w:t>D.</w:t>
      </w:r>
      <w:r>
        <w:rPr>
          <w:bCs/>
          <w:lang w:val="en-US"/>
        </w:rPr>
        <w:t>,</w:t>
      </w:r>
      <w:r w:rsidRPr="0052199E">
        <w:rPr>
          <w:bCs/>
          <w:lang w:val="en-US"/>
        </w:rPr>
        <w:t xml:space="preserve"> </w:t>
      </w:r>
      <w:r w:rsidRPr="001C509F">
        <w:rPr>
          <w:bCs/>
          <w:lang w:val="en-US"/>
        </w:rPr>
        <w:t xml:space="preserve">Youn, </w:t>
      </w:r>
      <w:r w:rsidRPr="006F4CE7">
        <w:rPr>
          <w:bCs/>
          <w:lang w:val="en-US"/>
        </w:rPr>
        <w:t>D.</w:t>
      </w:r>
      <w:r>
        <w:rPr>
          <w:bCs/>
          <w:lang w:val="en-US"/>
        </w:rPr>
        <w:t>,</w:t>
      </w:r>
      <w:r w:rsidRPr="006F4CE7">
        <w:rPr>
          <w:bCs/>
          <w:lang w:val="en-US"/>
        </w:rPr>
        <w:t xml:space="preserve"> </w:t>
      </w:r>
      <w:r w:rsidRPr="001C509F">
        <w:rPr>
          <w:bCs/>
          <w:lang w:val="en-US"/>
        </w:rPr>
        <w:t xml:space="preserve">Martinez-Avile, </w:t>
      </w:r>
      <w:r w:rsidRPr="00F903FD">
        <w:rPr>
          <w:bCs/>
          <w:lang w:val="en-US"/>
        </w:rPr>
        <w:t>M.</w:t>
      </w:r>
      <w:r>
        <w:rPr>
          <w:bCs/>
          <w:lang w:val="en-US"/>
        </w:rPr>
        <w:t>,</w:t>
      </w:r>
      <w:r w:rsidRPr="00F903FD">
        <w:rPr>
          <w:bCs/>
          <w:lang w:val="en-US"/>
        </w:rPr>
        <w:t xml:space="preserve"> </w:t>
      </w:r>
      <w:r w:rsidRPr="001C509F">
        <w:rPr>
          <w:bCs/>
          <w:lang w:val="en-US"/>
        </w:rPr>
        <w:t>and Francisco</w:t>
      </w:r>
      <w:r w:rsidRPr="001C509F">
        <w:rPr>
          <w:lang w:val="en-US"/>
        </w:rPr>
        <w:t xml:space="preserve">, </w:t>
      </w:r>
      <w:r w:rsidRPr="00465F43">
        <w:rPr>
          <w:bCs/>
          <w:lang w:val="en-US"/>
        </w:rPr>
        <w:t>J. S.</w:t>
      </w:r>
      <w:r>
        <w:rPr>
          <w:bCs/>
          <w:lang w:val="en-US"/>
        </w:rPr>
        <w:t>:</w:t>
      </w:r>
      <w:r w:rsidRPr="00465F43">
        <w:rPr>
          <w:bCs/>
          <w:lang w:val="en-US"/>
        </w:rPr>
        <w:t xml:space="preserve"> </w:t>
      </w:r>
      <w:r w:rsidRPr="001C509F">
        <w:rPr>
          <w:bCs/>
          <w:lang w:val="en-US"/>
        </w:rPr>
        <w:t>Three-dimensional model evaluation of the Ozone Depletion Potentials for n-propyl bromide, trichloroethylene and perchloroethylene</w:t>
      </w:r>
      <w:r>
        <w:rPr>
          <w:bCs/>
          <w:lang w:val="en-US"/>
        </w:rPr>
        <w:t>,</w:t>
      </w:r>
      <w:r w:rsidRPr="001C509F">
        <w:rPr>
          <w:i/>
          <w:lang w:val="en-US"/>
        </w:rPr>
        <w:t xml:space="preserve"> Atmos. Chem. Phys.</w:t>
      </w:r>
      <w:r w:rsidRPr="006B3EA3">
        <w:rPr>
          <w:lang w:val="en-US"/>
        </w:rPr>
        <w:t>, 11, 2371–2380, 2011</w:t>
      </w:r>
      <w:r>
        <w:rPr>
          <w:lang w:val="en-US"/>
        </w:rPr>
        <w:t>. </w:t>
      </w:r>
    </w:p>
  </w:footnote>
  <w:footnote w:id="13">
    <w:p w14:paraId="0152D7C6" w14:textId="77777777" w:rsidR="00943D38" w:rsidRPr="001C509F" w:rsidRDefault="00943D38" w:rsidP="00314538">
      <w:pPr>
        <w:pStyle w:val="FootnoteText"/>
        <w:rPr>
          <w:lang w:val="en-AU"/>
        </w:rPr>
      </w:pPr>
      <w:r>
        <w:rPr>
          <w:rStyle w:val="FootnoteReference"/>
        </w:rPr>
        <w:footnoteRef/>
      </w:r>
      <w:r>
        <w:t xml:space="preserve"> National Toxicology Program, U.S. Department of Health and Human Services, </w:t>
      </w:r>
      <w:r w:rsidRPr="001C509F">
        <w:rPr>
          <w:i/>
          <w:lang w:val="en-AU"/>
        </w:rPr>
        <w:t>Draft Report on Carcinogens Monograph for 1-Bromopropane</w:t>
      </w:r>
      <w:r>
        <w:rPr>
          <w:lang w:val="en-AU"/>
        </w:rPr>
        <w:t>,</w:t>
      </w:r>
      <w:r w:rsidRPr="00DC1E20">
        <w:rPr>
          <w:lang w:val="en-AU"/>
        </w:rPr>
        <w:t xml:space="preserve"> </w:t>
      </w:r>
      <w:r>
        <w:rPr>
          <w:lang w:val="en-AU"/>
        </w:rPr>
        <w:t xml:space="preserve">January 18, 2013, available at </w:t>
      </w:r>
      <w:hyperlink r:id="rId3" w:history="1">
        <w:r w:rsidRPr="00465FB0">
          <w:rPr>
            <w:rStyle w:val="Hyperlink"/>
            <w:lang w:val="en-AU"/>
          </w:rPr>
          <w:t>https://ntp.niehs.nih.gov/ntp/about_ntp/monopeerrvw/2013/march/draftroc1bpmonograph_508.pdf</w:t>
        </w:r>
      </w:hyperlink>
      <w:r>
        <w:rPr>
          <w:lang w:val="en-AU"/>
        </w:rPr>
        <w:t>, accessed April 2017.</w:t>
      </w:r>
    </w:p>
  </w:footnote>
  <w:footnote w:id="14">
    <w:p w14:paraId="61240526" w14:textId="77777777" w:rsidR="00943D38" w:rsidRPr="001C509F" w:rsidRDefault="00943D38" w:rsidP="00314538">
      <w:pPr>
        <w:pStyle w:val="FootnoteText"/>
        <w:rPr>
          <w:lang w:val="en-US"/>
        </w:rPr>
      </w:pPr>
      <w:r>
        <w:rPr>
          <w:rStyle w:val="FootnoteReference"/>
        </w:rPr>
        <w:footnoteRef/>
      </w:r>
      <w:r>
        <w:t xml:space="preserve"> European Chemicals Agency (ECHA), </w:t>
      </w:r>
      <w:r w:rsidRPr="001A6627">
        <w:rPr>
          <w:lang w:val="en-US"/>
        </w:rPr>
        <w:t xml:space="preserve">Brief Profile </w:t>
      </w:r>
      <w:r>
        <w:rPr>
          <w:lang w:val="en-US"/>
        </w:rPr>
        <w:t xml:space="preserve">of </w:t>
      </w:r>
      <w:r w:rsidRPr="001C509F">
        <w:rPr>
          <w:i/>
          <w:lang w:val="en-US"/>
        </w:rPr>
        <w:t>n</w:t>
      </w:r>
      <w:r>
        <w:rPr>
          <w:lang w:val="en-US"/>
        </w:rPr>
        <w:t xml:space="preserve">-propyl bromide, </w:t>
      </w:r>
      <w:r>
        <w:t xml:space="preserve">available at </w:t>
      </w:r>
      <w:hyperlink r:id="rId4" w:history="1">
        <w:r w:rsidRPr="00465FB0">
          <w:rPr>
            <w:rStyle w:val="Hyperlink"/>
          </w:rPr>
          <w:t>https://echa.europa.eu/brief-profile/-/briefprofile/100.003.133</w:t>
        </w:r>
      </w:hyperlink>
      <w:r>
        <w:t>, accessed April 2017.</w:t>
      </w:r>
    </w:p>
  </w:footnote>
  <w:footnote w:id="15">
    <w:p w14:paraId="4BE9DBAE" w14:textId="77777777" w:rsidR="00943D38" w:rsidRPr="001C509F" w:rsidRDefault="00943D38" w:rsidP="00314538">
      <w:pPr>
        <w:pStyle w:val="FootnoteText"/>
        <w:rPr>
          <w:lang w:val="en-US"/>
        </w:rPr>
      </w:pPr>
      <w:r>
        <w:rPr>
          <w:rStyle w:val="FootnoteReference"/>
        </w:rPr>
        <w:footnoteRef/>
      </w:r>
      <w:r>
        <w:t xml:space="preserve"> </w:t>
      </w:r>
      <w:r w:rsidRPr="00192A0A">
        <w:rPr>
          <w:lang w:val="en-US"/>
        </w:rPr>
        <w:t>Office of Chemical Safety an</w:t>
      </w:r>
      <w:r>
        <w:rPr>
          <w:lang w:val="en-US"/>
        </w:rPr>
        <w:t xml:space="preserve">d Pollution Prevention U.S. EPA, </w:t>
      </w:r>
      <w:r w:rsidRPr="001C509F">
        <w:rPr>
          <w:bCs/>
          <w:i/>
          <w:lang w:val="en-US"/>
        </w:rPr>
        <w:t>Preliminary Information on Manufacturing, Processing, Distribution, Use, and Disposal: 1-Bromopropane CASRN: 106-94-5</w:t>
      </w:r>
      <w:r w:rsidRPr="001C509F">
        <w:rPr>
          <w:bCs/>
          <w:lang w:val="en-US"/>
        </w:rPr>
        <w:t xml:space="preserve">, February 2017, </w:t>
      </w:r>
      <w:r w:rsidRPr="00192A0A">
        <w:rPr>
          <w:lang w:val="en-US"/>
        </w:rPr>
        <w:t>Support document f</w:t>
      </w:r>
      <w:r>
        <w:rPr>
          <w:lang w:val="en-US"/>
        </w:rPr>
        <w:t xml:space="preserve">or Docket EPA-HQ-OPPT-2016-0741, available at </w:t>
      </w:r>
      <w:hyperlink r:id="rId5" w:history="1">
        <w:r w:rsidRPr="00DF177A">
          <w:rPr>
            <w:rStyle w:val="Hyperlink"/>
            <w:lang w:val="en-US"/>
          </w:rPr>
          <w:t>https://www.epa.gov/sites/production/files/2017-02/documents/1-bromopropane.pdf</w:t>
        </w:r>
      </w:hyperlink>
      <w:r>
        <w:rPr>
          <w:lang w:val="en-US"/>
        </w:rPr>
        <w:t>, accessed April 2017.</w:t>
      </w:r>
    </w:p>
  </w:footnote>
  <w:footnote w:id="16">
    <w:p w14:paraId="71D71034" w14:textId="77777777" w:rsidR="00943D38" w:rsidRDefault="00943D38" w:rsidP="00497F61">
      <w:pPr>
        <w:pStyle w:val="FootnoteText"/>
      </w:pPr>
      <w:r w:rsidRPr="0036416F">
        <w:rPr>
          <w:rStyle w:val="FootnoteReference"/>
        </w:rPr>
        <w:footnoteRef/>
      </w:r>
      <w:r w:rsidRPr="000D439E">
        <w:t xml:space="preserve"> SPARC (2016), SPARC Report on the Mystery of Carbon Tetrachloride. Q. Liang, P.A. Newman, S. </w:t>
      </w:r>
      <w:r w:rsidRPr="00654276">
        <w:t>Reimann (Eds.), SPARC Report No. 7, WCRP-13/2016.</w:t>
      </w:r>
    </w:p>
  </w:footnote>
  <w:footnote w:id="17">
    <w:p w14:paraId="0D494925" w14:textId="77777777" w:rsidR="00943D38" w:rsidRDefault="00943D38" w:rsidP="00CF01A0">
      <w:pPr>
        <w:pStyle w:val="FootnoteText"/>
        <w:rPr>
          <w:sz w:val="18"/>
          <w:szCs w:val="18"/>
        </w:rPr>
      </w:pPr>
      <w:r w:rsidRPr="00731AE2">
        <w:rPr>
          <w:rStyle w:val="FootnoteReference"/>
          <w:sz w:val="18"/>
          <w:szCs w:val="18"/>
        </w:rPr>
        <w:footnoteRef/>
      </w:r>
      <w:r w:rsidRPr="00731AE2">
        <w:rPr>
          <w:sz w:val="18"/>
          <w:szCs w:val="18"/>
        </w:rPr>
        <w:t xml:space="preserve"> </w:t>
      </w:r>
      <w:r>
        <w:rPr>
          <w:sz w:val="18"/>
          <w:szCs w:val="18"/>
        </w:rPr>
        <w:t>UL: Underwriters Laboratory</w:t>
      </w:r>
    </w:p>
    <w:p w14:paraId="4F87B980" w14:textId="77777777" w:rsidR="00943D38" w:rsidRPr="00731AE2" w:rsidRDefault="00943D38" w:rsidP="00CF01A0">
      <w:pPr>
        <w:pStyle w:val="FootnoteText"/>
        <w:rPr>
          <w:sz w:val="18"/>
          <w:szCs w:val="18"/>
        </w:rPr>
      </w:pPr>
      <w:r>
        <w:rPr>
          <w:sz w:val="18"/>
          <w:szCs w:val="18"/>
        </w:rPr>
        <w:t xml:space="preserve">UL250: </w:t>
      </w:r>
      <w:r w:rsidRPr="00731AE2">
        <w:rPr>
          <w:sz w:val="18"/>
          <w:szCs w:val="18"/>
        </w:rPr>
        <w:t>Household Refrigerators and Freezers</w:t>
      </w:r>
    </w:p>
    <w:p w14:paraId="24E45205" w14:textId="77777777" w:rsidR="00943D38" w:rsidRPr="004F4712" w:rsidRDefault="00943D38" w:rsidP="00CF01A0">
      <w:pPr>
        <w:pStyle w:val="FootnoteText"/>
        <w:rPr>
          <w:sz w:val="18"/>
          <w:szCs w:val="18"/>
        </w:rPr>
      </w:pPr>
      <w:r w:rsidRPr="004F4712">
        <w:rPr>
          <w:sz w:val="18"/>
          <w:szCs w:val="18"/>
        </w:rPr>
        <w:t>IEC: International</w:t>
      </w:r>
      <w:r>
        <w:rPr>
          <w:sz w:val="18"/>
          <w:szCs w:val="18"/>
        </w:rPr>
        <w:t xml:space="preserve"> </w:t>
      </w:r>
      <w:r w:rsidRPr="004F4712">
        <w:rPr>
          <w:sz w:val="18"/>
          <w:szCs w:val="18"/>
        </w:rPr>
        <w:t>Electrotechnical Commission</w:t>
      </w:r>
    </w:p>
    <w:p w14:paraId="662B6095" w14:textId="77777777" w:rsidR="00943D38" w:rsidRPr="00731AE2" w:rsidRDefault="00943D38" w:rsidP="00CF01A0">
      <w:pPr>
        <w:pStyle w:val="FootnoteText"/>
        <w:rPr>
          <w:sz w:val="18"/>
          <w:szCs w:val="18"/>
        </w:rPr>
      </w:pPr>
      <w:r w:rsidRPr="004F4712">
        <w:rPr>
          <w:sz w:val="18"/>
          <w:szCs w:val="18"/>
        </w:rPr>
        <w:t>IEC60335-2-40</w:t>
      </w:r>
      <w:r w:rsidRPr="00731AE2">
        <w:rPr>
          <w:sz w:val="18"/>
          <w:szCs w:val="18"/>
        </w:rPr>
        <w:t>: Household and similar electrical appliances - Safety - Part 2-40: Particular requirements for electrical heat pumps, air-conditioners and dehumidifiers</w:t>
      </w:r>
    </w:p>
    <w:p w14:paraId="29251B02" w14:textId="77777777" w:rsidR="00943D38" w:rsidRDefault="00943D38" w:rsidP="00CF01A0">
      <w:pPr>
        <w:pStyle w:val="FootnoteText"/>
      </w:pPr>
    </w:p>
  </w:footnote>
  <w:footnote w:id="18">
    <w:p w14:paraId="0F89DE44" w14:textId="77777777" w:rsidR="00943D38" w:rsidRPr="00720FC4" w:rsidRDefault="00943D38" w:rsidP="00CF01A0">
      <w:pPr>
        <w:pStyle w:val="FootnoteText"/>
        <w:rPr>
          <w:sz w:val="18"/>
          <w:szCs w:val="18"/>
        </w:rPr>
      </w:pPr>
      <w:r>
        <w:rPr>
          <w:rStyle w:val="FootnoteReference"/>
        </w:rPr>
        <w:footnoteRef/>
      </w:r>
      <w:r>
        <w:t xml:space="preserve"> </w:t>
      </w:r>
      <w:r w:rsidRPr="00720FC4">
        <w:rPr>
          <w:sz w:val="18"/>
          <w:szCs w:val="18"/>
        </w:rPr>
        <w:t>IMO: International Maritime Organization</w:t>
      </w:r>
    </w:p>
    <w:p w14:paraId="37209592" w14:textId="77777777" w:rsidR="00943D38" w:rsidRDefault="00943D38" w:rsidP="00CF01A0">
      <w:pPr>
        <w:pStyle w:val="FootnoteText"/>
      </w:pPr>
      <w:r w:rsidRPr="00720FC4">
        <w:rPr>
          <w:sz w:val="18"/>
          <w:szCs w:val="18"/>
        </w:rPr>
        <w:t>FAO: Food and Agriculture Organization</w:t>
      </w:r>
    </w:p>
  </w:footnote>
  <w:footnote w:id="19">
    <w:p w14:paraId="4AC93BBA" w14:textId="5BF284C1" w:rsidR="00943D38" w:rsidRPr="00274196" w:rsidRDefault="00943D38">
      <w:pPr>
        <w:pStyle w:val="FootnoteText"/>
        <w:rPr>
          <w:lang w:val="es-ES_tradnl"/>
        </w:rPr>
      </w:pPr>
      <w:r>
        <w:rPr>
          <w:rStyle w:val="FootnoteReference"/>
        </w:rPr>
        <w:footnoteRef/>
      </w:r>
      <w:r>
        <w:t xml:space="preserve"> The name Blend B </w:t>
      </w:r>
      <w:r>
        <w:rPr>
          <w:sz w:val="22"/>
          <w:szCs w:val="22"/>
        </w:rPr>
        <w:t>was created by the U</w:t>
      </w:r>
      <w:r w:rsidRPr="00457AEF">
        <w:rPr>
          <w:sz w:val="22"/>
          <w:szCs w:val="22"/>
        </w:rPr>
        <w:t>S Environmental Protection Agency during the approval process under its Significant New Alternatives Policy program in the early 1990s</w:t>
      </w:r>
    </w:p>
  </w:footnote>
  <w:footnote w:id="20">
    <w:p w14:paraId="39934296" w14:textId="77777777" w:rsidR="00943D38" w:rsidRDefault="00943D38" w:rsidP="005B7B41">
      <w:pPr>
        <w:pStyle w:val="FootnoteText"/>
        <w:spacing w:after="60"/>
      </w:pPr>
      <w:r>
        <w:rPr>
          <w:rStyle w:val="FootnoteReference"/>
        </w:rPr>
        <w:footnoteRef/>
      </w:r>
      <w:r>
        <w:t xml:space="preserve"> Australia indicates a potential need for HCFC blends for servicing requirements for existing military R/AC applications. Australia indicates no need for HCFC-22 servicing amounts since these can be recovered during the decommissioning of equipment in 2020-2030. </w:t>
      </w:r>
    </w:p>
    <w:p w14:paraId="616E4BA2" w14:textId="77777777" w:rsidR="00943D38" w:rsidRPr="004073FA" w:rsidRDefault="00943D38" w:rsidP="005B7B41">
      <w:pPr>
        <w:pStyle w:val="FootnoteText"/>
        <w:spacing w:after="60"/>
      </w:pPr>
    </w:p>
  </w:footnote>
  <w:footnote w:id="21">
    <w:p w14:paraId="5A13FB07" w14:textId="77777777" w:rsidR="00943D38" w:rsidRPr="00021656" w:rsidRDefault="00943D38" w:rsidP="00AB65FA">
      <w:pPr>
        <w:rPr>
          <w:sz w:val="20"/>
        </w:rPr>
      </w:pPr>
      <w:r w:rsidRPr="00021656">
        <w:rPr>
          <w:sz w:val="20"/>
        </w:rPr>
        <w:footnoteRef/>
      </w:r>
      <w:r w:rsidRPr="00021656">
        <w:rPr>
          <w:sz w:val="20"/>
        </w:rPr>
        <w:t xml:space="preserve"> The average annual HCFC production and import for laboratory and analytical uses in recent years was 0.006 ODP tonne (0.014 in 2013, 0.003 in 2014 and 0.003 ODP tonnes in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979A09" w14:textId="3A74998D" w:rsidR="00943D38" w:rsidRDefault="0045350D">
    <w:pPr>
      <w:pStyle w:val="Header"/>
    </w:pPr>
    <w:r>
      <w:rPr>
        <w:noProof/>
      </w:rPr>
      <w:pict w14:anchorId="098659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22.2pt;height:87pt;rotation:315;z-index:-251655168;mso-position-horizontal:center;mso-position-horizontal-relative:margin;mso-position-vertical:center;mso-position-vertical-relative:margin" o:allowincell="f" fillcolor="silver" stroked="f">
          <v:fill opacity=".5"/>
          <v:textpath style="font-family:&quot;Times New Roman&quot;;font-size:1pt" string="ADVANCE COPY"/>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791C1E" w14:textId="1C4B1EF9" w:rsidR="00943D38" w:rsidRDefault="00943D38">
    <w:pPr>
      <w:pStyle w:val="Header"/>
      <w:rPr>
        <w:sz w:val="20"/>
      </w:rPr>
    </w:pPr>
  </w:p>
  <w:p w14:paraId="4F388C4E" w14:textId="77777777" w:rsidR="00943D38" w:rsidRDefault="00943D38"/>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D8C831" w14:textId="66A84B83" w:rsidR="00943D38" w:rsidRDefault="0045350D">
    <w:pPr>
      <w:pStyle w:val="Header"/>
    </w:pPr>
    <w:r>
      <w:rPr>
        <w:noProof/>
      </w:rPr>
      <w:pict w14:anchorId="097E3C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8" type="#_x0000_t136" style="position:absolute;margin-left:0;margin-top:0;width:522.2pt;height:87pt;rotation:315;z-index:-251638784;mso-position-horizontal:center;mso-position-horizontal-relative:margin;mso-position-vertical:center;mso-position-vertical-relative:margin" o:allowincell="f" fillcolor="silver" stroked="f">
          <v:fill opacity=".5"/>
          <v:textpath style="font-family:&quot;Times New Roman&quot;;font-size:1pt" string="ADVANCE COPY"/>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B7912A" w14:textId="78867521" w:rsidR="00943D38" w:rsidRPr="00656E7D" w:rsidRDefault="00943D38" w:rsidP="00656E7D">
    <w:r w:rsidRPr="00656E7D">
      <w:t>Annex II: Major Chemical Formulae and Nomenclature</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B468A9" w14:textId="59486900" w:rsidR="00943D38" w:rsidRPr="00656E7D" w:rsidRDefault="00943D38" w:rsidP="00656E7D"/>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F3B51D" w14:textId="08EFF494" w:rsidR="00943D38" w:rsidRDefault="00943D38">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0B04B9" w14:textId="3DEBCA16" w:rsidR="00943D38" w:rsidRDefault="0045350D">
    <w:pPr>
      <w:pStyle w:val="Header"/>
      <w:jc w:val="right"/>
    </w:pPr>
    <w:r>
      <w:rPr>
        <w:noProof/>
      </w:rPr>
      <w:pict w14:anchorId="698800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5" type="#_x0000_t136" style="position:absolute;left:0;text-align:left;margin-left:0;margin-top:0;width:522.2pt;height:87pt;rotation:315;z-index:-251624448;mso-position-horizontal:center;mso-position-horizontal-relative:margin;mso-position-vertical:center;mso-position-vertical-relative:margin" o:allowincell="f" fillcolor="silver" stroked="f">
          <v:fill opacity=".5"/>
          <v:textpath style="font-family:&quot;Times New Roman&quot;;font-size:1pt" string="ADVANCE COPY"/>
          <w10:wrap anchorx="margin" anchory="margin"/>
        </v:shape>
      </w:pict>
    </w:r>
    <w:r w:rsidR="00943D38">
      <w:rPr>
        <w:sz w:val="20"/>
        <w:lang w:val="en-US"/>
      </w:rPr>
      <w:t>Annex II: Major Chemical Formulae and Nomenclature</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8879E6" w14:textId="19B491E0" w:rsidR="00943D38" w:rsidRDefault="00943D38">
    <w:pPr>
      <w:pStyle w:val="Header"/>
      <w:rPr>
        <w:sz w:val="20"/>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1E4A7D" w14:textId="49F10223" w:rsidR="00943D38" w:rsidRDefault="0045350D">
    <w:pPr>
      <w:pStyle w:val="Header"/>
    </w:pPr>
    <w:r>
      <w:rPr>
        <w:noProof/>
      </w:rPr>
      <w:pict w14:anchorId="21901B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4" type="#_x0000_t136" style="position:absolute;margin-left:0;margin-top:0;width:522.2pt;height:87pt;rotation:315;z-index:-251626496;mso-position-horizontal:center;mso-position-horizontal-relative:margin;mso-position-vertical:center;mso-position-vertical-relative:margin" o:allowincell="f" fillcolor="silver" stroked="f">
          <v:fill opacity=".5"/>
          <v:textpath style="font-family:&quot;Times New Roman&quot;;font-size:1pt" string="ADVANCE COPY"/>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C81466" w14:textId="263399E1" w:rsidR="00943D38" w:rsidRDefault="0045350D">
    <w:pPr>
      <w:pStyle w:val="Header"/>
    </w:pPr>
    <w:r>
      <w:rPr>
        <w:noProof/>
      </w:rPr>
      <w:pict w14:anchorId="021740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22.2pt;height:87pt;rotation:315;z-index:-251653120;mso-position-horizontal:center;mso-position-horizontal-relative:margin;mso-position-vertical:center;mso-position-vertical-relative:margin" o:allowincell="f" fillcolor="silver" stroked="f">
          <v:fill opacity=".5"/>
          <v:textpath style="font-family:&quot;Times New Roman&quot;;font-size:1pt" string="ADVANCE COPY"/>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8A4C82" w14:textId="1FA4A91E" w:rsidR="00943D38" w:rsidRDefault="0045350D">
    <w:pPr>
      <w:pStyle w:val="Header"/>
    </w:pPr>
    <w:r>
      <w:rPr>
        <w:noProof/>
      </w:rPr>
      <w:pict w14:anchorId="511166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522.2pt;height:87pt;rotation:315;z-index:-251649024;mso-position-horizontal:center;mso-position-horizontal-relative:margin;mso-position-vertical:center;mso-position-vertical-relative:margin" o:allowincell="f" fillcolor="silver" stroked="f">
          <v:fill opacity=".5"/>
          <v:textpath style="font-family:&quot;Times New Roman&quot;;font-size:1pt" string="ADVANCE COPY"/>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A35579" w14:textId="0AF8967B" w:rsidR="00943D38" w:rsidRDefault="00943D3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A693DF" w14:textId="24A3168B" w:rsidR="00943D38" w:rsidRDefault="0045350D">
    <w:pPr>
      <w:pStyle w:val="Header"/>
    </w:pPr>
    <w:r>
      <w:rPr>
        <w:noProof/>
      </w:rPr>
      <w:pict w14:anchorId="238AC9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22.2pt;height:87pt;rotation:315;z-index:-251651072;mso-position-horizontal:center;mso-position-horizontal-relative:margin;mso-position-vertical:center;mso-position-vertical-relative:margin" o:allowincell="f" fillcolor="silver" stroked="f">
          <v:fill opacity=".5"/>
          <v:textpath style="font-family:&quot;Times New Roman&quot;;font-size:1pt" string="ADVANCE COPY"/>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1D98A6" w14:textId="20185090" w:rsidR="00943D38" w:rsidRDefault="0045350D">
    <w:pPr>
      <w:pStyle w:val="Header"/>
    </w:pPr>
    <w:r>
      <w:rPr>
        <w:noProof/>
      </w:rPr>
      <w:pict w14:anchorId="1E6451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6" type="#_x0000_t136" style="position:absolute;margin-left:0;margin-top:0;width:522.2pt;height:87pt;rotation:315;z-index:-251642880;mso-position-horizontal:center;mso-position-horizontal-relative:margin;mso-position-vertical:center;mso-position-vertical-relative:margin" o:allowincell="f" fillcolor="silver" stroked="f">
          <v:fill opacity=".5"/>
          <v:textpath style="font-family:&quot;Times New Roman&quot;;font-size:1pt" string="ADVANCE COPY"/>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94A7A2" w14:textId="5FD76E1E" w:rsidR="00943D38" w:rsidRDefault="00943D38">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7C2675" w14:textId="7DB19118" w:rsidR="00943D38" w:rsidRDefault="0045350D">
    <w:pPr>
      <w:pStyle w:val="Header"/>
    </w:pPr>
    <w:r>
      <w:rPr>
        <w:noProof/>
      </w:rPr>
      <w:pict w14:anchorId="098A91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5" type="#_x0000_t136" style="position:absolute;margin-left:0;margin-top:0;width:522.2pt;height:87pt;rotation:315;z-index:-251644928;mso-position-horizontal:center;mso-position-horizontal-relative:margin;mso-position-vertical:center;mso-position-vertical-relative:margin" o:allowincell="f" fillcolor="silver" stroked="f">
          <v:fill opacity=".5"/>
          <v:textpath style="font-family:&quot;Times New Roman&quot;;font-size:1pt" string="ADVANCE COPY"/>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FEF94A" w14:textId="6165DFE4" w:rsidR="00943D38" w:rsidRDefault="0045350D">
    <w:pPr>
      <w:pStyle w:val="Header"/>
      <w:jc w:val="right"/>
    </w:pPr>
    <w:r>
      <w:rPr>
        <w:noProof/>
      </w:rPr>
      <w:pict w14:anchorId="24025B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9" type="#_x0000_t136" style="position:absolute;left:0;text-align:left;margin-left:0;margin-top:0;width:522.2pt;height:87pt;rotation:315;z-index:-251636736;mso-position-horizontal:center;mso-position-horizontal-relative:margin;mso-position-vertical:center;mso-position-vertical-relative:margin" o:allowincell="f" fillcolor="silver" stroked="f">
          <v:fill opacity=".5"/>
          <v:textpath style="font-family:&quot;Times New Roman&quot;;font-size:1pt" string="ADVANCE COPY"/>
          <w10:wrap anchorx="margin" anchory="margin"/>
        </v:shape>
      </w:pict>
    </w:r>
    <w:r w:rsidR="00943D38">
      <w:rPr>
        <w:sz w:val="20"/>
      </w:rPr>
      <w:t>Annex II: Major Chemical Formulae and Nomenclature</w:t>
    </w:r>
  </w:p>
  <w:p w14:paraId="33AE528B" w14:textId="77777777" w:rsidR="00943D38" w:rsidRDefault="00943D3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DB8ACA6"/>
    <w:lvl w:ilvl="0">
      <w:start w:val="1"/>
      <w:numFmt w:val="decimal"/>
      <w:pStyle w:val="ListNumber5"/>
      <w:lvlText w:val="%1."/>
      <w:lvlJc w:val="left"/>
      <w:pPr>
        <w:tabs>
          <w:tab w:val="num" w:pos="1492"/>
        </w:tabs>
        <w:ind w:left="1492" w:hanging="360"/>
      </w:pPr>
    </w:lvl>
  </w:abstractNum>
  <w:abstractNum w:abstractNumId="1">
    <w:nsid w:val="00000002"/>
    <w:multiLevelType w:val="singleLevel"/>
    <w:tmpl w:val="00000002"/>
    <w:name w:val="WW8Num1"/>
    <w:lvl w:ilvl="0">
      <w:start w:val="1"/>
      <w:numFmt w:val="decimal"/>
      <w:lvlText w:val="%1."/>
      <w:lvlJc w:val="left"/>
      <w:pPr>
        <w:tabs>
          <w:tab w:val="num" w:pos="720"/>
        </w:tabs>
        <w:ind w:left="720" w:hanging="360"/>
      </w:pPr>
    </w:lvl>
  </w:abstractNum>
  <w:abstractNum w:abstractNumId="2">
    <w:nsid w:val="02452D63"/>
    <w:multiLevelType w:val="hybridMultilevel"/>
    <w:tmpl w:val="125E0D3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2757F79"/>
    <w:multiLevelType w:val="hybridMultilevel"/>
    <w:tmpl w:val="36DA9BDA"/>
    <w:lvl w:ilvl="0" w:tplc="0409000F">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213B4E"/>
    <w:multiLevelType w:val="hybridMultilevel"/>
    <w:tmpl w:val="A20AD7F4"/>
    <w:lvl w:ilvl="0" w:tplc="22B4DCC6">
      <w:start w:val="1"/>
      <w:numFmt w:val="bullet"/>
      <w:pStyle w:val="Bullet"/>
      <w:lvlText w:val="•"/>
      <w:lvlJc w:val="left"/>
      <w:pPr>
        <w:tabs>
          <w:tab w:val="num" w:pos="1437"/>
        </w:tabs>
        <w:ind w:left="1437" w:hanging="360"/>
      </w:pPr>
      <w:rPr>
        <w:rFonts w:ascii="Times New Roman" w:hAnsi="Times New Roman" w:hint="default"/>
      </w:rPr>
    </w:lvl>
    <w:lvl w:ilvl="1" w:tplc="21A8863A" w:tentative="1">
      <w:start w:val="1"/>
      <w:numFmt w:val="bullet"/>
      <w:lvlText w:val="o"/>
      <w:lvlJc w:val="left"/>
      <w:pPr>
        <w:tabs>
          <w:tab w:val="num" w:pos="1440"/>
        </w:tabs>
        <w:ind w:left="1440" w:hanging="360"/>
      </w:pPr>
      <w:rPr>
        <w:rFonts w:ascii="Courier New" w:hAnsi="Courier New" w:hint="default"/>
      </w:rPr>
    </w:lvl>
    <w:lvl w:ilvl="2" w:tplc="CB0C0A2A" w:tentative="1">
      <w:start w:val="1"/>
      <w:numFmt w:val="bullet"/>
      <w:pStyle w:val="SimonUberschrift"/>
      <w:lvlText w:val=""/>
      <w:lvlJc w:val="left"/>
      <w:pPr>
        <w:tabs>
          <w:tab w:val="num" w:pos="2160"/>
        </w:tabs>
        <w:ind w:left="2160" w:hanging="360"/>
      </w:pPr>
      <w:rPr>
        <w:rFonts w:ascii="Wingdings" w:hAnsi="Wingdings" w:hint="default"/>
      </w:rPr>
    </w:lvl>
    <w:lvl w:ilvl="3" w:tplc="545A6888" w:tentative="1">
      <w:start w:val="1"/>
      <w:numFmt w:val="bullet"/>
      <w:lvlText w:val=""/>
      <w:lvlJc w:val="left"/>
      <w:pPr>
        <w:tabs>
          <w:tab w:val="num" w:pos="2880"/>
        </w:tabs>
        <w:ind w:left="2880" w:hanging="360"/>
      </w:pPr>
      <w:rPr>
        <w:rFonts w:ascii="Symbol" w:hAnsi="Symbol" w:hint="default"/>
      </w:rPr>
    </w:lvl>
    <w:lvl w:ilvl="4" w:tplc="918E681E" w:tentative="1">
      <w:start w:val="1"/>
      <w:numFmt w:val="bullet"/>
      <w:lvlText w:val="o"/>
      <w:lvlJc w:val="left"/>
      <w:pPr>
        <w:tabs>
          <w:tab w:val="num" w:pos="3600"/>
        </w:tabs>
        <w:ind w:left="3600" w:hanging="360"/>
      </w:pPr>
      <w:rPr>
        <w:rFonts w:ascii="Courier New" w:hAnsi="Courier New" w:hint="default"/>
      </w:rPr>
    </w:lvl>
    <w:lvl w:ilvl="5" w:tplc="D3AE3642" w:tentative="1">
      <w:start w:val="1"/>
      <w:numFmt w:val="bullet"/>
      <w:lvlText w:val=""/>
      <w:lvlJc w:val="left"/>
      <w:pPr>
        <w:tabs>
          <w:tab w:val="num" w:pos="4320"/>
        </w:tabs>
        <w:ind w:left="4320" w:hanging="360"/>
      </w:pPr>
      <w:rPr>
        <w:rFonts w:ascii="Wingdings" w:hAnsi="Wingdings" w:hint="default"/>
      </w:rPr>
    </w:lvl>
    <w:lvl w:ilvl="6" w:tplc="DE26FADC" w:tentative="1">
      <w:start w:val="1"/>
      <w:numFmt w:val="bullet"/>
      <w:lvlText w:val=""/>
      <w:lvlJc w:val="left"/>
      <w:pPr>
        <w:tabs>
          <w:tab w:val="num" w:pos="5040"/>
        </w:tabs>
        <w:ind w:left="5040" w:hanging="360"/>
      </w:pPr>
      <w:rPr>
        <w:rFonts w:ascii="Symbol" w:hAnsi="Symbol" w:hint="default"/>
      </w:rPr>
    </w:lvl>
    <w:lvl w:ilvl="7" w:tplc="73FE358C" w:tentative="1">
      <w:start w:val="1"/>
      <w:numFmt w:val="bullet"/>
      <w:lvlText w:val="o"/>
      <w:lvlJc w:val="left"/>
      <w:pPr>
        <w:tabs>
          <w:tab w:val="num" w:pos="5760"/>
        </w:tabs>
        <w:ind w:left="5760" w:hanging="360"/>
      </w:pPr>
      <w:rPr>
        <w:rFonts w:ascii="Courier New" w:hAnsi="Courier New" w:hint="default"/>
      </w:rPr>
    </w:lvl>
    <w:lvl w:ilvl="8" w:tplc="AE2C7296" w:tentative="1">
      <w:start w:val="1"/>
      <w:numFmt w:val="bullet"/>
      <w:lvlText w:val=""/>
      <w:lvlJc w:val="left"/>
      <w:pPr>
        <w:tabs>
          <w:tab w:val="num" w:pos="6480"/>
        </w:tabs>
        <w:ind w:left="6480" w:hanging="360"/>
      </w:pPr>
      <w:rPr>
        <w:rFonts w:ascii="Wingdings" w:hAnsi="Wingdings" w:hint="default"/>
      </w:rPr>
    </w:lvl>
  </w:abstractNum>
  <w:abstractNum w:abstractNumId="5">
    <w:nsid w:val="03965050"/>
    <w:multiLevelType w:val="multilevel"/>
    <w:tmpl w:val="B7E6A91E"/>
    <w:lvl w:ilvl="0">
      <w:start w:val="1"/>
      <w:numFmt w:val="lowerLetter"/>
      <w:pStyle w:val="BulletsinTable"/>
      <w:lvlText w:val="(%1)"/>
      <w:lvlJc w:val="left"/>
      <w:pPr>
        <w:tabs>
          <w:tab w:val="num" w:pos="539"/>
        </w:tabs>
        <w:ind w:left="539" w:hanging="539"/>
      </w:pPr>
      <w:rPr>
        <w:rFonts w:hint="default"/>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4642420"/>
    <w:multiLevelType w:val="hybridMultilevel"/>
    <w:tmpl w:val="24A09A12"/>
    <w:lvl w:ilvl="0" w:tplc="AC2CA7D2">
      <w:start w:val="1"/>
      <w:numFmt w:val="bullet"/>
      <w:pStyle w:val="EndnoteText"/>
      <w:lvlText w:val=""/>
      <w:lvlJc w:val="left"/>
      <w:pPr>
        <w:tabs>
          <w:tab w:val="num" w:pos="720"/>
        </w:tabs>
        <w:ind w:left="720" w:hanging="360"/>
      </w:pPr>
      <w:rPr>
        <w:rFonts w:ascii="Symbol" w:hAnsi="Symbol" w:hint="default"/>
      </w:rPr>
    </w:lvl>
    <w:lvl w:ilvl="1" w:tplc="BC243F5E" w:tentative="1">
      <w:start w:val="1"/>
      <w:numFmt w:val="bullet"/>
      <w:lvlText w:val="o"/>
      <w:lvlJc w:val="left"/>
      <w:pPr>
        <w:tabs>
          <w:tab w:val="num" w:pos="1440"/>
        </w:tabs>
        <w:ind w:left="1440" w:hanging="360"/>
      </w:pPr>
      <w:rPr>
        <w:rFonts w:ascii="Courier New" w:hAnsi="Courier New" w:cs="Consolas" w:hint="default"/>
      </w:rPr>
    </w:lvl>
    <w:lvl w:ilvl="2" w:tplc="7612122C" w:tentative="1">
      <w:start w:val="1"/>
      <w:numFmt w:val="bullet"/>
      <w:lvlText w:val=""/>
      <w:lvlJc w:val="left"/>
      <w:pPr>
        <w:tabs>
          <w:tab w:val="num" w:pos="2160"/>
        </w:tabs>
        <w:ind w:left="2160" w:hanging="360"/>
      </w:pPr>
      <w:rPr>
        <w:rFonts w:ascii="Wingdings" w:hAnsi="Wingdings" w:hint="default"/>
      </w:rPr>
    </w:lvl>
    <w:lvl w:ilvl="3" w:tplc="7618E782" w:tentative="1">
      <w:start w:val="1"/>
      <w:numFmt w:val="bullet"/>
      <w:lvlText w:val=""/>
      <w:lvlJc w:val="left"/>
      <w:pPr>
        <w:tabs>
          <w:tab w:val="num" w:pos="2880"/>
        </w:tabs>
        <w:ind w:left="2880" w:hanging="360"/>
      </w:pPr>
      <w:rPr>
        <w:rFonts w:ascii="Symbol" w:hAnsi="Symbol" w:hint="default"/>
      </w:rPr>
    </w:lvl>
    <w:lvl w:ilvl="4" w:tplc="F236AB18" w:tentative="1">
      <w:start w:val="1"/>
      <w:numFmt w:val="bullet"/>
      <w:lvlText w:val="o"/>
      <w:lvlJc w:val="left"/>
      <w:pPr>
        <w:tabs>
          <w:tab w:val="num" w:pos="3600"/>
        </w:tabs>
        <w:ind w:left="3600" w:hanging="360"/>
      </w:pPr>
      <w:rPr>
        <w:rFonts w:ascii="Courier New" w:hAnsi="Courier New" w:cs="Consolas" w:hint="default"/>
      </w:rPr>
    </w:lvl>
    <w:lvl w:ilvl="5" w:tplc="4FBEA80C" w:tentative="1">
      <w:start w:val="1"/>
      <w:numFmt w:val="bullet"/>
      <w:lvlText w:val=""/>
      <w:lvlJc w:val="left"/>
      <w:pPr>
        <w:tabs>
          <w:tab w:val="num" w:pos="4320"/>
        </w:tabs>
        <w:ind w:left="4320" w:hanging="360"/>
      </w:pPr>
      <w:rPr>
        <w:rFonts w:ascii="Wingdings" w:hAnsi="Wingdings" w:hint="default"/>
      </w:rPr>
    </w:lvl>
    <w:lvl w:ilvl="6" w:tplc="50A066B0" w:tentative="1">
      <w:start w:val="1"/>
      <w:numFmt w:val="bullet"/>
      <w:lvlText w:val=""/>
      <w:lvlJc w:val="left"/>
      <w:pPr>
        <w:tabs>
          <w:tab w:val="num" w:pos="5040"/>
        </w:tabs>
        <w:ind w:left="5040" w:hanging="360"/>
      </w:pPr>
      <w:rPr>
        <w:rFonts w:ascii="Symbol" w:hAnsi="Symbol" w:hint="default"/>
      </w:rPr>
    </w:lvl>
    <w:lvl w:ilvl="7" w:tplc="E3FE081C" w:tentative="1">
      <w:start w:val="1"/>
      <w:numFmt w:val="bullet"/>
      <w:lvlText w:val="o"/>
      <w:lvlJc w:val="left"/>
      <w:pPr>
        <w:tabs>
          <w:tab w:val="num" w:pos="5760"/>
        </w:tabs>
        <w:ind w:left="5760" w:hanging="360"/>
      </w:pPr>
      <w:rPr>
        <w:rFonts w:ascii="Courier New" w:hAnsi="Courier New" w:cs="Consolas" w:hint="default"/>
      </w:rPr>
    </w:lvl>
    <w:lvl w:ilvl="8" w:tplc="97ECA8CA" w:tentative="1">
      <w:start w:val="1"/>
      <w:numFmt w:val="bullet"/>
      <w:lvlText w:val=""/>
      <w:lvlJc w:val="left"/>
      <w:pPr>
        <w:tabs>
          <w:tab w:val="num" w:pos="6480"/>
        </w:tabs>
        <w:ind w:left="6480" w:hanging="360"/>
      </w:pPr>
      <w:rPr>
        <w:rFonts w:ascii="Wingdings" w:hAnsi="Wingdings" w:hint="default"/>
      </w:rPr>
    </w:lvl>
  </w:abstractNum>
  <w:abstractNum w:abstractNumId="7">
    <w:nsid w:val="04C22C58"/>
    <w:multiLevelType w:val="hybridMultilevel"/>
    <w:tmpl w:val="CEB6B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66629DD"/>
    <w:multiLevelType w:val="multilevel"/>
    <w:tmpl w:val="38BCE3A8"/>
    <w:lvl w:ilvl="0">
      <w:start w:val="1"/>
      <w:numFmt w:val="lowerLetter"/>
      <w:pStyle w:val="IPPSubheadNumber"/>
      <w:lvlText w:val="(%1)"/>
      <w:lvlJc w:val="left"/>
      <w:pPr>
        <w:tabs>
          <w:tab w:val="num" w:pos="3240"/>
        </w:tabs>
        <w:ind w:left="3240" w:hanging="720"/>
      </w:pPr>
      <w:rPr>
        <w:rFonts w:hint="default"/>
      </w:rPr>
    </w:lvl>
    <w:lvl w:ilvl="1">
      <w:start w:val="1"/>
      <w:numFmt w:val="lowerLetter"/>
      <w:lvlText w:val="%2."/>
      <w:lvlJc w:val="left"/>
      <w:pPr>
        <w:tabs>
          <w:tab w:val="num" w:pos="3600"/>
        </w:tabs>
        <w:ind w:left="3600" w:hanging="360"/>
      </w:pPr>
      <w:rPr>
        <w:rFonts w:hint="default"/>
      </w:rPr>
    </w:lvl>
    <w:lvl w:ilvl="2">
      <w:start w:val="1"/>
      <w:numFmt w:val="lowerRoman"/>
      <w:lvlText w:val="%3."/>
      <w:lvlJc w:val="right"/>
      <w:pPr>
        <w:tabs>
          <w:tab w:val="num" w:pos="4320"/>
        </w:tabs>
        <w:ind w:left="4320" w:hanging="180"/>
      </w:pPr>
      <w:rPr>
        <w:rFonts w:hint="default"/>
      </w:rPr>
    </w:lvl>
    <w:lvl w:ilvl="3">
      <w:start w:val="1"/>
      <w:numFmt w:val="decimal"/>
      <w:lvlText w:val="%4."/>
      <w:lvlJc w:val="left"/>
      <w:pPr>
        <w:tabs>
          <w:tab w:val="num" w:pos="5040"/>
        </w:tabs>
        <w:ind w:left="5040" w:hanging="360"/>
      </w:pPr>
      <w:rPr>
        <w:rFonts w:hint="default"/>
      </w:rPr>
    </w:lvl>
    <w:lvl w:ilvl="4">
      <w:start w:val="1"/>
      <w:numFmt w:val="lowerLetter"/>
      <w:lvlText w:val="%5."/>
      <w:lvlJc w:val="left"/>
      <w:pPr>
        <w:tabs>
          <w:tab w:val="num" w:pos="5760"/>
        </w:tabs>
        <w:ind w:left="5760" w:hanging="360"/>
      </w:pPr>
      <w:rPr>
        <w:rFonts w:hint="default"/>
      </w:rPr>
    </w:lvl>
    <w:lvl w:ilvl="5">
      <w:start w:val="1"/>
      <w:numFmt w:val="lowerRoman"/>
      <w:lvlText w:val="%6."/>
      <w:lvlJc w:val="right"/>
      <w:pPr>
        <w:tabs>
          <w:tab w:val="num" w:pos="6480"/>
        </w:tabs>
        <w:ind w:left="6480" w:hanging="180"/>
      </w:pPr>
      <w:rPr>
        <w:rFonts w:hint="default"/>
      </w:rPr>
    </w:lvl>
    <w:lvl w:ilvl="6">
      <w:start w:val="1"/>
      <w:numFmt w:val="decimal"/>
      <w:lvlText w:val="%7."/>
      <w:lvlJc w:val="left"/>
      <w:pPr>
        <w:tabs>
          <w:tab w:val="num" w:pos="7200"/>
        </w:tabs>
        <w:ind w:left="7200" w:hanging="360"/>
      </w:pPr>
      <w:rPr>
        <w:rFonts w:hint="default"/>
      </w:rPr>
    </w:lvl>
    <w:lvl w:ilvl="7">
      <w:start w:val="1"/>
      <w:numFmt w:val="lowerLetter"/>
      <w:lvlText w:val="%8."/>
      <w:lvlJc w:val="left"/>
      <w:pPr>
        <w:tabs>
          <w:tab w:val="num" w:pos="7920"/>
        </w:tabs>
        <w:ind w:left="7920" w:hanging="360"/>
      </w:pPr>
      <w:rPr>
        <w:rFonts w:hint="default"/>
      </w:rPr>
    </w:lvl>
    <w:lvl w:ilvl="8">
      <w:start w:val="1"/>
      <w:numFmt w:val="lowerRoman"/>
      <w:lvlText w:val="%9."/>
      <w:lvlJc w:val="right"/>
      <w:pPr>
        <w:tabs>
          <w:tab w:val="num" w:pos="8640"/>
        </w:tabs>
        <w:ind w:left="8640" w:hanging="180"/>
      </w:pPr>
      <w:rPr>
        <w:rFonts w:hint="default"/>
      </w:rPr>
    </w:lvl>
  </w:abstractNum>
  <w:abstractNum w:abstractNumId="9">
    <w:nsid w:val="067730E7"/>
    <w:multiLevelType w:val="hybridMultilevel"/>
    <w:tmpl w:val="901CFCE4"/>
    <w:lvl w:ilvl="0" w:tplc="EDAEDC90">
      <w:start w:val="1"/>
      <w:numFmt w:val="bullet"/>
      <w:pStyle w:val="IPPHeadSection"/>
      <w:lvlText w:val=""/>
      <w:lvlJc w:val="left"/>
      <w:pPr>
        <w:tabs>
          <w:tab w:val="num" w:pos="720"/>
        </w:tabs>
        <w:ind w:left="720" w:hanging="360"/>
      </w:pPr>
      <w:rPr>
        <w:rFonts w:ascii="Symbol" w:hAnsi="Symbol" w:hint="default"/>
      </w:rPr>
    </w:lvl>
    <w:lvl w:ilvl="1" w:tplc="2B7CB54A" w:tentative="1">
      <w:start w:val="1"/>
      <w:numFmt w:val="bullet"/>
      <w:lvlText w:val="o"/>
      <w:lvlJc w:val="left"/>
      <w:pPr>
        <w:tabs>
          <w:tab w:val="num" w:pos="1440"/>
        </w:tabs>
        <w:ind w:left="1440" w:hanging="360"/>
      </w:pPr>
      <w:rPr>
        <w:rFonts w:ascii="Courier New" w:hAnsi="Courier New" w:cs="Consolas" w:hint="default"/>
      </w:rPr>
    </w:lvl>
    <w:lvl w:ilvl="2" w:tplc="7814FBA4" w:tentative="1">
      <w:start w:val="1"/>
      <w:numFmt w:val="bullet"/>
      <w:lvlText w:val=""/>
      <w:lvlJc w:val="left"/>
      <w:pPr>
        <w:tabs>
          <w:tab w:val="num" w:pos="2160"/>
        </w:tabs>
        <w:ind w:left="2160" w:hanging="360"/>
      </w:pPr>
      <w:rPr>
        <w:rFonts w:ascii="Wingdings" w:hAnsi="Wingdings" w:hint="default"/>
      </w:rPr>
    </w:lvl>
    <w:lvl w:ilvl="3" w:tplc="533CBB36" w:tentative="1">
      <w:start w:val="1"/>
      <w:numFmt w:val="bullet"/>
      <w:lvlText w:val=""/>
      <w:lvlJc w:val="left"/>
      <w:pPr>
        <w:tabs>
          <w:tab w:val="num" w:pos="2880"/>
        </w:tabs>
        <w:ind w:left="2880" w:hanging="360"/>
      </w:pPr>
      <w:rPr>
        <w:rFonts w:ascii="Symbol" w:hAnsi="Symbol" w:hint="default"/>
      </w:rPr>
    </w:lvl>
    <w:lvl w:ilvl="4" w:tplc="7AD231EA" w:tentative="1">
      <w:start w:val="1"/>
      <w:numFmt w:val="bullet"/>
      <w:lvlText w:val="o"/>
      <w:lvlJc w:val="left"/>
      <w:pPr>
        <w:tabs>
          <w:tab w:val="num" w:pos="3600"/>
        </w:tabs>
        <w:ind w:left="3600" w:hanging="360"/>
      </w:pPr>
      <w:rPr>
        <w:rFonts w:ascii="Courier New" w:hAnsi="Courier New" w:cs="Consolas" w:hint="default"/>
      </w:rPr>
    </w:lvl>
    <w:lvl w:ilvl="5" w:tplc="48D0B726" w:tentative="1">
      <w:start w:val="1"/>
      <w:numFmt w:val="bullet"/>
      <w:lvlText w:val=""/>
      <w:lvlJc w:val="left"/>
      <w:pPr>
        <w:tabs>
          <w:tab w:val="num" w:pos="4320"/>
        </w:tabs>
        <w:ind w:left="4320" w:hanging="360"/>
      </w:pPr>
      <w:rPr>
        <w:rFonts w:ascii="Wingdings" w:hAnsi="Wingdings" w:hint="default"/>
      </w:rPr>
    </w:lvl>
    <w:lvl w:ilvl="6" w:tplc="A7F62352" w:tentative="1">
      <w:start w:val="1"/>
      <w:numFmt w:val="bullet"/>
      <w:lvlText w:val=""/>
      <w:lvlJc w:val="left"/>
      <w:pPr>
        <w:tabs>
          <w:tab w:val="num" w:pos="5040"/>
        </w:tabs>
        <w:ind w:left="5040" w:hanging="360"/>
      </w:pPr>
      <w:rPr>
        <w:rFonts w:ascii="Symbol" w:hAnsi="Symbol" w:hint="default"/>
      </w:rPr>
    </w:lvl>
    <w:lvl w:ilvl="7" w:tplc="7BAAA722" w:tentative="1">
      <w:start w:val="1"/>
      <w:numFmt w:val="bullet"/>
      <w:lvlText w:val="o"/>
      <w:lvlJc w:val="left"/>
      <w:pPr>
        <w:tabs>
          <w:tab w:val="num" w:pos="5760"/>
        </w:tabs>
        <w:ind w:left="5760" w:hanging="360"/>
      </w:pPr>
      <w:rPr>
        <w:rFonts w:ascii="Courier New" w:hAnsi="Courier New" w:cs="Consolas" w:hint="default"/>
      </w:rPr>
    </w:lvl>
    <w:lvl w:ilvl="8" w:tplc="66CAAD94" w:tentative="1">
      <w:start w:val="1"/>
      <w:numFmt w:val="bullet"/>
      <w:lvlText w:val=""/>
      <w:lvlJc w:val="left"/>
      <w:pPr>
        <w:tabs>
          <w:tab w:val="num" w:pos="6480"/>
        </w:tabs>
        <w:ind w:left="6480" w:hanging="360"/>
      </w:pPr>
      <w:rPr>
        <w:rFonts w:ascii="Wingdings" w:hAnsi="Wingdings" w:hint="default"/>
      </w:rPr>
    </w:lvl>
  </w:abstractNum>
  <w:abstractNum w:abstractNumId="10">
    <w:nsid w:val="06784FB5"/>
    <w:multiLevelType w:val="hybridMultilevel"/>
    <w:tmpl w:val="54CA5C26"/>
    <w:name w:val="WW8Num1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06824E60"/>
    <w:multiLevelType w:val="hybridMultilevel"/>
    <w:tmpl w:val="F2AAF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C9852DC"/>
    <w:multiLevelType w:val="hybridMultilevel"/>
    <w:tmpl w:val="0AA83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0F54125"/>
    <w:multiLevelType w:val="hybridMultilevel"/>
    <w:tmpl w:val="C1B01A42"/>
    <w:lvl w:ilvl="0" w:tplc="C9E009DC">
      <w:start w:val="1"/>
      <w:numFmt w:val="bullet"/>
      <w:pStyle w:val="BoxSeqList1"/>
      <w:lvlText w:val=""/>
      <w:lvlJc w:val="left"/>
      <w:pPr>
        <w:tabs>
          <w:tab w:val="num" w:pos="720"/>
        </w:tabs>
        <w:ind w:left="720" w:hanging="360"/>
      </w:pPr>
      <w:rPr>
        <w:rFonts w:ascii="Symbol" w:hAnsi="Symbol" w:hint="default"/>
      </w:rPr>
    </w:lvl>
    <w:lvl w:ilvl="1" w:tplc="B0DA4A42" w:tentative="1">
      <w:start w:val="1"/>
      <w:numFmt w:val="bullet"/>
      <w:lvlText w:val="o"/>
      <w:lvlJc w:val="left"/>
      <w:pPr>
        <w:tabs>
          <w:tab w:val="num" w:pos="1440"/>
        </w:tabs>
        <w:ind w:left="1440" w:hanging="360"/>
      </w:pPr>
      <w:rPr>
        <w:rFonts w:ascii="Courier New" w:hAnsi="Courier New" w:cs="Consolas" w:hint="default"/>
      </w:rPr>
    </w:lvl>
    <w:lvl w:ilvl="2" w:tplc="21A88146" w:tentative="1">
      <w:start w:val="1"/>
      <w:numFmt w:val="bullet"/>
      <w:lvlText w:val=""/>
      <w:lvlJc w:val="left"/>
      <w:pPr>
        <w:tabs>
          <w:tab w:val="num" w:pos="2160"/>
        </w:tabs>
        <w:ind w:left="2160" w:hanging="360"/>
      </w:pPr>
      <w:rPr>
        <w:rFonts w:ascii="Wingdings" w:hAnsi="Wingdings" w:hint="default"/>
      </w:rPr>
    </w:lvl>
    <w:lvl w:ilvl="3" w:tplc="C6986F9C" w:tentative="1">
      <w:start w:val="1"/>
      <w:numFmt w:val="bullet"/>
      <w:lvlText w:val=""/>
      <w:lvlJc w:val="left"/>
      <w:pPr>
        <w:tabs>
          <w:tab w:val="num" w:pos="2880"/>
        </w:tabs>
        <w:ind w:left="2880" w:hanging="360"/>
      </w:pPr>
      <w:rPr>
        <w:rFonts w:ascii="Symbol" w:hAnsi="Symbol" w:hint="default"/>
      </w:rPr>
    </w:lvl>
    <w:lvl w:ilvl="4" w:tplc="53345EA6" w:tentative="1">
      <w:start w:val="1"/>
      <w:numFmt w:val="bullet"/>
      <w:lvlText w:val="o"/>
      <w:lvlJc w:val="left"/>
      <w:pPr>
        <w:tabs>
          <w:tab w:val="num" w:pos="3600"/>
        </w:tabs>
        <w:ind w:left="3600" w:hanging="360"/>
      </w:pPr>
      <w:rPr>
        <w:rFonts w:ascii="Courier New" w:hAnsi="Courier New" w:cs="Consolas" w:hint="default"/>
      </w:rPr>
    </w:lvl>
    <w:lvl w:ilvl="5" w:tplc="5F0A9A32" w:tentative="1">
      <w:start w:val="1"/>
      <w:numFmt w:val="bullet"/>
      <w:lvlText w:val=""/>
      <w:lvlJc w:val="left"/>
      <w:pPr>
        <w:tabs>
          <w:tab w:val="num" w:pos="4320"/>
        </w:tabs>
        <w:ind w:left="4320" w:hanging="360"/>
      </w:pPr>
      <w:rPr>
        <w:rFonts w:ascii="Wingdings" w:hAnsi="Wingdings" w:hint="default"/>
      </w:rPr>
    </w:lvl>
    <w:lvl w:ilvl="6" w:tplc="02F27FAE" w:tentative="1">
      <w:start w:val="1"/>
      <w:numFmt w:val="bullet"/>
      <w:lvlText w:val=""/>
      <w:lvlJc w:val="left"/>
      <w:pPr>
        <w:tabs>
          <w:tab w:val="num" w:pos="5040"/>
        </w:tabs>
        <w:ind w:left="5040" w:hanging="360"/>
      </w:pPr>
      <w:rPr>
        <w:rFonts w:ascii="Symbol" w:hAnsi="Symbol" w:hint="default"/>
      </w:rPr>
    </w:lvl>
    <w:lvl w:ilvl="7" w:tplc="D04A314E" w:tentative="1">
      <w:start w:val="1"/>
      <w:numFmt w:val="bullet"/>
      <w:lvlText w:val="o"/>
      <w:lvlJc w:val="left"/>
      <w:pPr>
        <w:tabs>
          <w:tab w:val="num" w:pos="5760"/>
        </w:tabs>
        <w:ind w:left="5760" w:hanging="360"/>
      </w:pPr>
      <w:rPr>
        <w:rFonts w:ascii="Courier New" w:hAnsi="Courier New" w:cs="Consolas" w:hint="default"/>
      </w:rPr>
    </w:lvl>
    <w:lvl w:ilvl="8" w:tplc="F2A0725E" w:tentative="1">
      <w:start w:val="1"/>
      <w:numFmt w:val="bullet"/>
      <w:lvlText w:val=""/>
      <w:lvlJc w:val="left"/>
      <w:pPr>
        <w:tabs>
          <w:tab w:val="num" w:pos="6480"/>
        </w:tabs>
        <w:ind w:left="6480" w:hanging="360"/>
      </w:pPr>
      <w:rPr>
        <w:rFonts w:ascii="Wingdings" w:hAnsi="Wingdings" w:hint="default"/>
      </w:rPr>
    </w:lvl>
  </w:abstractNum>
  <w:abstractNum w:abstractNumId="14">
    <w:nsid w:val="126F6B05"/>
    <w:multiLevelType w:val="hybridMultilevel"/>
    <w:tmpl w:val="E638A1AA"/>
    <w:lvl w:ilvl="0" w:tplc="0413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13AB4B41"/>
    <w:multiLevelType w:val="hybridMultilevel"/>
    <w:tmpl w:val="7E1ECB5E"/>
    <w:lvl w:ilvl="0" w:tplc="04964D0A">
      <w:start w:val="1"/>
      <w:numFmt w:val="lowerLetter"/>
      <w:pStyle w:val="IPPBullet1Last"/>
      <w:lvlText w:val="%1."/>
      <w:lvlJc w:val="left"/>
      <w:pPr>
        <w:ind w:left="1854" w:hanging="360"/>
      </w:pPr>
    </w:lvl>
    <w:lvl w:ilvl="1" w:tplc="E2AEDD66" w:tentative="1">
      <w:start w:val="1"/>
      <w:numFmt w:val="lowerLetter"/>
      <w:lvlText w:val="%2."/>
      <w:lvlJc w:val="left"/>
      <w:pPr>
        <w:ind w:left="2574" w:hanging="360"/>
      </w:pPr>
    </w:lvl>
    <w:lvl w:ilvl="2" w:tplc="40184B22" w:tentative="1">
      <w:start w:val="1"/>
      <w:numFmt w:val="lowerRoman"/>
      <w:lvlText w:val="%3."/>
      <w:lvlJc w:val="right"/>
      <w:pPr>
        <w:ind w:left="3294" w:hanging="180"/>
      </w:pPr>
    </w:lvl>
    <w:lvl w:ilvl="3" w:tplc="EF5A0A42" w:tentative="1">
      <w:start w:val="1"/>
      <w:numFmt w:val="decimal"/>
      <w:lvlText w:val="%4."/>
      <w:lvlJc w:val="left"/>
      <w:pPr>
        <w:ind w:left="4014" w:hanging="360"/>
      </w:pPr>
    </w:lvl>
    <w:lvl w:ilvl="4" w:tplc="FA44BC42" w:tentative="1">
      <w:start w:val="1"/>
      <w:numFmt w:val="lowerLetter"/>
      <w:lvlText w:val="%5."/>
      <w:lvlJc w:val="left"/>
      <w:pPr>
        <w:ind w:left="4734" w:hanging="360"/>
      </w:pPr>
    </w:lvl>
    <w:lvl w:ilvl="5" w:tplc="B17C73C4" w:tentative="1">
      <w:start w:val="1"/>
      <w:numFmt w:val="lowerRoman"/>
      <w:lvlText w:val="%6."/>
      <w:lvlJc w:val="right"/>
      <w:pPr>
        <w:ind w:left="5454" w:hanging="180"/>
      </w:pPr>
    </w:lvl>
    <w:lvl w:ilvl="6" w:tplc="BBD0B7A2" w:tentative="1">
      <w:start w:val="1"/>
      <w:numFmt w:val="decimal"/>
      <w:lvlText w:val="%7."/>
      <w:lvlJc w:val="left"/>
      <w:pPr>
        <w:ind w:left="6174" w:hanging="360"/>
      </w:pPr>
    </w:lvl>
    <w:lvl w:ilvl="7" w:tplc="31C60108" w:tentative="1">
      <w:start w:val="1"/>
      <w:numFmt w:val="lowerLetter"/>
      <w:lvlText w:val="%8."/>
      <w:lvlJc w:val="left"/>
      <w:pPr>
        <w:ind w:left="6894" w:hanging="360"/>
      </w:pPr>
    </w:lvl>
    <w:lvl w:ilvl="8" w:tplc="D3922874" w:tentative="1">
      <w:start w:val="1"/>
      <w:numFmt w:val="lowerRoman"/>
      <w:lvlText w:val="%9."/>
      <w:lvlJc w:val="right"/>
      <w:pPr>
        <w:ind w:left="7614" w:hanging="180"/>
      </w:pPr>
    </w:lvl>
  </w:abstractNum>
  <w:abstractNum w:abstractNumId="16">
    <w:nsid w:val="153B301F"/>
    <w:multiLevelType w:val="hybridMultilevel"/>
    <w:tmpl w:val="04BCD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69D359C"/>
    <w:multiLevelType w:val="hybridMultilevel"/>
    <w:tmpl w:val="ACB671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19230272"/>
    <w:multiLevelType w:val="multilevel"/>
    <w:tmpl w:val="CEB6BB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nsid w:val="1BF37907"/>
    <w:multiLevelType w:val="singleLevel"/>
    <w:tmpl w:val="04090001"/>
    <w:lvl w:ilvl="0">
      <w:start w:val="1"/>
      <w:numFmt w:val="bullet"/>
      <w:pStyle w:val="Box"/>
      <w:lvlText w:val=""/>
      <w:lvlJc w:val="left"/>
      <w:pPr>
        <w:tabs>
          <w:tab w:val="num" w:pos="720"/>
        </w:tabs>
        <w:ind w:left="720" w:hanging="360"/>
      </w:pPr>
      <w:rPr>
        <w:rFonts w:ascii="Symbol" w:hAnsi="Symbol" w:hint="default"/>
      </w:rPr>
    </w:lvl>
  </w:abstractNum>
  <w:abstractNum w:abstractNumId="20">
    <w:nsid w:val="1DF27C46"/>
    <w:multiLevelType w:val="hybridMultilevel"/>
    <w:tmpl w:val="D58AC1F4"/>
    <w:lvl w:ilvl="0" w:tplc="41944AB2">
      <w:start w:val="1"/>
      <w:numFmt w:val="bullet"/>
      <w:pStyle w:val="Section3numbered"/>
      <w:lvlText w:val=""/>
      <w:lvlJc w:val="left"/>
      <w:pPr>
        <w:tabs>
          <w:tab w:val="num" w:pos="720"/>
        </w:tabs>
        <w:ind w:left="720" w:hanging="360"/>
      </w:pPr>
      <w:rPr>
        <w:rFonts w:ascii="Symbol" w:hAnsi="Symbol" w:hint="default"/>
      </w:rPr>
    </w:lvl>
    <w:lvl w:ilvl="1" w:tplc="0AC47AFE" w:tentative="1">
      <w:start w:val="1"/>
      <w:numFmt w:val="bullet"/>
      <w:lvlText w:val="o"/>
      <w:lvlJc w:val="left"/>
      <w:pPr>
        <w:tabs>
          <w:tab w:val="num" w:pos="1440"/>
        </w:tabs>
        <w:ind w:left="1440" w:hanging="360"/>
      </w:pPr>
      <w:rPr>
        <w:rFonts w:ascii="Courier New" w:hAnsi="Courier New" w:cs="Consolas" w:hint="default"/>
      </w:rPr>
    </w:lvl>
    <w:lvl w:ilvl="2" w:tplc="FBE0714E" w:tentative="1">
      <w:start w:val="1"/>
      <w:numFmt w:val="bullet"/>
      <w:lvlText w:val=""/>
      <w:lvlJc w:val="left"/>
      <w:pPr>
        <w:tabs>
          <w:tab w:val="num" w:pos="2160"/>
        </w:tabs>
        <w:ind w:left="2160" w:hanging="360"/>
      </w:pPr>
      <w:rPr>
        <w:rFonts w:ascii="Wingdings" w:hAnsi="Wingdings" w:hint="default"/>
      </w:rPr>
    </w:lvl>
    <w:lvl w:ilvl="3" w:tplc="15D621B0" w:tentative="1">
      <w:start w:val="1"/>
      <w:numFmt w:val="bullet"/>
      <w:lvlText w:val=""/>
      <w:lvlJc w:val="left"/>
      <w:pPr>
        <w:tabs>
          <w:tab w:val="num" w:pos="2880"/>
        </w:tabs>
        <w:ind w:left="2880" w:hanging="360"/>
      </w:pPr>
      <w:rPr>
        <w:rFonts w:ascii="Symbol" w:hAnsi="Symbol" w:hint="default"/>
      </w:rPr>
    </w:lvl>
    <w:lvl w:ilvl="4" w:tplc="A844B542" w:tentative="1">
      <w:start w:val="1"/>
      <w:numFmt w:val="bullet"/>
      <w:lvlText w:val="o"/>
      <w:lvlJc w:val="left"/>
      <w:pPr>
        <w:tabs>
          <w:tab w:val="num" w:pos="3600"/>
        </w:tabs>
        <w:ind w:left="3600" w:hanging="360"/>
      </w:pPr>
      <w:rPr>
        <w:rFonts w:ascii="Courier New" w:hAnsi="Courier New" w:cs="Consolas" w:hint="default"/>
      </w:rPr>
    </w:lvl>
    <w:lvl w:ilvl="5" w:tplc="14844F18" w:tentative="1">
      <w:start w:val="1"/>
      <w:numFmt w:val="bullet"/>
      <w:lvlText w:val=""/>
      <w:lvlJc w:val="left"/>
      <w:pPr>
        <w:tabs>
          <w:tab w:val="num" w:pos="4320"/>
        </w:tabs>
        <w:ind w:left="4320" w:hanging="360"/>
      </w:pPr>
      <w:rPr>
        <w:rFonts w:ascii="Wingdings" w:hAnsi="Wingdings" w:hint="default"/>
      </w:rPr>
    </w:lvl>
    <w:lvl w:ilvl="6" w:tplc="BF56D5EE" w:tentative="1">
      <w:start w:val="1"/>
      <w:numFmt w:val="bullet"/>
      <w:lvlText w:val=""/>
      <w:lvlJc w:val="left"/>
      <w:pPr>
        <w:tabs>
          <w:tab w:val="num" w:pos="5040"/>
        </w:tabs>
        <w:ind w:left="5040" w:hanging="360"/>
      </w:pPr>
      <w:rPr>
        <w:rFonts w:ascii="Symbol" w:hAnsi="Symbol" w:hint="default"/>
      </w:rPr>
    </w:lvl>
    <w:lvl w:ilvl="7" w:tplc="8392D59E" w:tentative="1">
      <w:start w:val="1"/>
      <w:numFmt w:val="bullet"/>
      <w:lvlText w:val="o"/>
      <w:lvlJc w:val="left"/>
      <w:pPr>
        <w:tabs>
          <w:tab w:val="num" w:pos="5760"/>
        </w:tabs>
        <w:ind w:left="5760" w:hanging="360"/>
      </w:pPr>
      <w:rPr>
        <w:rFonts w:ascii="Courier New" w:hAnsi="Courier New" w:cs="Consolas" w:hint="default"/>
      </w:rPr>
    </w:lvl>
    <w:lvl w:ilvl="8" w:tplc="A782A3C4" w:tentative="1">
      <w:start w:val="1"/>
      <w:numFmt w:val="bullet"/>
      <w:lvlText w:val=""/>
      <w:lvlJc w:val="left"/>
      <w:pPr>
        <w:tabs>
          <w:tab w:val="num" w:pos="6480"/>
        </w:tabs>
        <w:ind w:left="6480" w:hanging="360"/>
      </w:pPr>
      <w:rPr>
        <w:rFonts w:ascii="Wingdings" w:hAnsi="Wingdings" w:hint="default"/>
      </w:rPr>
    </w:lvl>
  </w:abstractNum>
  <w:abstractNum w:abstractNumId="21">
    <w:nsid w:val="1EEA21A5"/>
    <w:multiLevelType w:val="multilevel"/>
    <w:tmpl w:val="1EF87CA6"/>
    <w:lvl w:ilvl="0">
      <w:start w:val="1"/>
      <w:numFmt w:val="bullet"/>
      <w:pStyle w:val="Bulletsnumberedintable"/>
      <w:lvlText w:val=""/>
      <w:lvlJc w:val="left"/>
      <w:pPr>
        <w:tabs>
          <w:tab w:val="num" w:pos="539"/>
        </w:tabs>
        <w:ind w:left="539" w:hanging="539"/>
      </w:pPr>
      <w:rPr>
        <w:rFonts w:ascii="Symbol" w:hAnsi="Symbol" w:cs="Symbol" w:hint="default"/>
        <w:sz w:val="18"/>
        <w:szCs w:val="18"/>
      </w:rPr>
    </w:lvl>
    <w:lvl w:ilvl="1">
      <w:start w:val="1"/>
      <w:numFmt w:val="bullet"/>
      <w:lvlText w:val=""/>
      <w:lvlJc w:val="left"/>
      <w:pPr>
        <w:tabs>
          <w:tab w:val="num" w:pos="765"/>
        </w:tabs>
        <w:ind w:left="765" w:hanging="198"/>
      </w:pPr>
      <w:rPr>
        <w:rFonts w:ascii="Symbol" w:hAnsi="Symbol" w:cs="Symbol" w:hint="default"/>
        <w:sz w:val="18"/>
        <w:szCs w:val="18"/>
      </w:rPr>
    </w:lvl>
    <w:lvl w:ilvl="2">
      <w:start w:val="1"/>
      <w:numFmt w:val="bullet"/>
      <w:lvlText w:val=""/>
      <w:lvlJc w:val="left"/>
      <w:pPr>
        <w:tabs>
          <w:tab w:val="num" w:pos="2160"/>
        </w:tabs>
        <w:ind w:left="2160" w:hanging="360"/>
      </w:pPr>
      <w:rPr>
        <w:rFonts w:ascii="Wingdings" w:hAnsi="Wingdings" w:cs="ArialUnicodeM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ArialUnicodeMS" w:hint="default"/>
      </w:rPr>
    </w:lvl>
    <w:lvl w:ilvl="5">
      <w:start w:val="1"/>
      <w:numFmt w:val="bullet"/>
      <w:lvlText w:val=""/>
      <w:lvlJc w:val="left"/>
      <w:pPr>
        <w:tabs>
          <w:tab w:val="num" w:pos="4320"/>
        </w:tabs>
        <w:ind w:left="4320" w:hanging="360"/>
      </w:pPr>
      <w:rPr>
        <w:rFonts w:ascii="Wingdings" w:hAnsi="Wingdings" w:cs="ArialUnicodeM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ArialUnicodeMS" w:hint="default"/>
      </w:rPr>
    </w:lvl>
    <w:lvl w:ilvl="8">
      <w:start w:val="1"/>
      <w:numFmt w:val="bullet"/>
      <w:lvlText w:val=""/>
      <w:lvlJc w:val="left"/>
      <w:pPr>
        <w:tabs>
          <w:tab w:val="num" w:pos="6480"/>
        </w:tabs>
        <w:ind w:left="6480" w:hanging="360"/>
      </w:pPr>
      <w:rPr>
        <w:rFonts w:ascii="Wingdings" w:hAnsi="Wingdings" w:cs="ArialUnicodeMS" w:hint="default"/>
      </w:rPr>
    </w:lvl>
  </w:abstractNum>
  <w:abstractNum w:abstractNumId="22">
    <w:nsid w:val="22682942"/>
    <w:multiLevelType w:val="multilevel"/>
    <w:tmpl w:val="C89C9FF0"/>
    <w:lvl w:ilvl="0">
      <w:start w:val="1"/>
      <w:numFmt w:val="decimal"/>
      <w:pStyle w:val="BlankLine"/>
      <w:lvlText w:val="%1."/>
      <w:lvlJc w:val="left"/>
      <w:pPr>
        <w:tabs>
          <w:tab w:val="num" w:pos="360"/>
        </w:tabs>
        <w:ind w:left="360" w:hanging="360"/>
      </w:pPr>
    </w:lvl>
    <w:lvl w:ilvl="1">
      <w:start w:val="1"/>
      <w:numFmt w:val="lowerLetter"/>
      <w:pStyle w:val="SeqListLev1"/>
      <w:lvlText w:val="%2."/>
      <w:lvlJc w:val="left"/>
      <w:pPr>
        <w:tabs>
          <w:tab w:val="num" w:pos="1080"/>
        </w:tabs>
        <w:ind w:left="1080" w:hanging="360"/>
      </w:pPr>
    </w:lvl>
    <w:lvl w:ilvl="2">
      <w:start w:val="1"/>
      <w:numFmt w:val="lowerRoman"/>
      <w:pStyle w:val="SeqListLev2"/>
      <w:lvlText w:val="%3."/>
      <w:lvlJc w:val="right"/>
      <w:pPr>
        <w:tabs>
          <w:tab w:val="num" w:pos="1800"/>
        </w:tabs>
        <w:ind w:left="1800" w:hanging="180"/>
      </w:pPr>
    </w:lvl>
    <w:lvl w:ilvl="3">
      <w:start w:val="1"/>
      <w:numFmt w:val="decimal"/>
      <w:pStyle w:val="SeqListLev3"/>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3">
    <w:nsid w:val="24DC3E23"/>
    <w:multiLevelType w:val="multilevel"/>
    <w:tmpl w:val="F1E8F132"/>
    <w:lvl w:ilvl="0">
      <w:start w:val="1"/>
      <w:numFmt w:val="bullet"/>
      <w:pStyle w:val="IPPNumberSubhead"/>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nsola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nsola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nsolas"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nsid w:val="25432D8A"/>
    <w:multiLevelType w:val="singleLevel"/>
    <w:tmpl w:val="0809000F"/>
    <w:lvl w:ilvl="0">
      <w:start w:val="1"/>
      <w:numFmt w:val="decimal"/>
      <w:lvlText w:val="%1."/>
      <w:lvlJc w:val="left"/>
      <w:pPr>
        <w:tabs>
          <w:tab w:val="num" w:pos="360"/>
        </w:tabs>
        <w:ind w:left="360" w:hanging="360"/>
      </w:pPr>
    </w:lvl>
  </w:abstractNum>
  <w:abstractNum w:abstractNumId="25">
    <w:nsid w:val="25CD6001"/>
    <w:multiLevelType w:val="hybridMultilevel"/>
    <w:tmpl w:val="E702FE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26A076A1"/>
    <w:multiLevelType w:val="hybridMultilevel"/>
    <w:tmpl w:val="8040BA4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26E60C83"/>
    <w:multiLevelType w:val="multilevel"/>
    <w:tmpl w:val="AA481282"/>
    <w:lvl w:ilvl="0">
      <w:numFmt w:val="bullet"/>
      <w:pStyle w:val="IPPIndentClose"/>
      <w:lvlText w:val="-"/>
      <w:lvlJc w:val="left"/>
      <w:pPr>
        <w:tabs>
          <w:tab w:val="num" w:pos="720"/>
        </w:tabs>
        <w:ind w:left="720" w:hanging="360"/>
      </w:pPr>
      <w:rPr>
        <w:rFonts w:ascii="Arial" w:eastAsia="Times New Roman" w:hAnsi="Arial" w:cs="Arial" w:hint="default"/>
        <w:b/>
      </w:rPr>
    </w:lvl>
    <w:lvl w:ilvl="1">
      <w:start w:val="1"/>
      <w:numFmt w:val="bullet"/>
      <w:lvlText w:val="o"/>
      <w:lvlJc w:val="left"/>
      <w:pPr>
        <w:tabs>
          <w:tab w:val="num" w:pos="1440"/>
        </w:tabs>
        <w:ind w:left="1440" w:hanging="360"/>
      </w:pPr>
      <w:rPr>
        <w:rFonts w:ascii="Courier New" w:hAnsi="Courier New" w:cs="Consola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nsola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nsolas"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nsid w:val="27483E3B"/>
    <w:multiLevelType w:val="multilevel"/>
    <w:tmpl w:val="2CA8847C"/>
    <w:lvl w:ilvl="0">
      <w:start w:val="1"/>
      <w:numFmt w:val="decimal"/>
      <w:pStyle w:val="Thesisheading1"/>
      <w:lvlText w:val="1.%1"/>
      <w:lvlJc w:val="left"/>
      <w:pPr>
        <w:tabs>
          <w:tab w:val="num" w:pos="720"/>
        </w:tabs>
        <w:ind w:left="720" w:hanging="720"/>
      </w:pPr>
      <w:rPr>
        <w:rFonts w:hint="default"/>
      </w:rPr>
    </w:lvl>
    <w:lvl w:ilvl="1">
      <w:start w:val="1"/>
      <w:numFmt w:val="decimal"/>
      <w:lvlText w:val="%1.%2.1"/>
      <w:lvlJc w:val="left"/>
      <w:pPr>
        <w:tabs>
          <w:tab w:val="num" w:pos="720"/>
        </w:tabs>
        <w:ind w:left="720" w:hanging="720"/>
      </w:pPr>
      <w:rPr>
        <w:rFonts w:hint="default"/>
      </w:rPr>
    </w:lvl>
    <w:lvl w:ilvl="2">
      <w:start w:val="1"/>
      <w:numFmt w:val="lowerLetter"/>
      <w:pStyle w:val="Thesisheading4"/>
      <w:lvlText w:val="(%3)"/>
      <w:lvlJc w:val="left"/>
      <w:pPr>
        <w:tabs>
          <w:tab w:val="num" w:pos="720"/>
        </w:tabs>
        <w:ind w:left="720" w:hanging="720"/>
      </w:pPr>
      <w:rPr>
        <w:rFonts w:hint="default"/>
      </w:rPr>
    </w:lvl>
    <w:lvl w:ilvl="3">
      <w:start w:val="1"/>
      <w:numFmt w:val="none"/>
      <w:suff w:val="nothing"/>
      <w:lvlText w:val=""/>
      <w:lvlJc w:val="left"/>
      <w:pPr>
        <w:ind w:left="0" w:firstLine="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9">
    <w:nsid w:val="286617E9"/>
    <w:multiLevelType w:val="hybridMultilevel"/>
    <w:tmpl w:val="09F2EEE6"/>
    <w:lvl w:ilvl="0" w:tplc="93942E1E">
      <w:start w:val="1"/>
      <w:numFmt w:val="bullet"/>
      <w:pStyle w:val="IPPBullet1"/>
      <w:lvlText w:val=""/>
      <w:lvlJc w:val="left"/>
      <w:pPr>
        <w:tabs>
          <w:tab w:val="num" w:pos="720"/>
        </w:tabs>
        <w:ind w:left="720" w:hanging="360"/>
      </w:pPr>
      <w:rPr>
        <w:rFonts w:ascii="Symbol" w:hAnsi="Symbol" w:hint="default"/>
      </w:rPr>
    </w:lvl>
    <w:lvl w:ilvl="1" w:tplc="790C445A">
      <w:start w:val="1"/>
      <w:numFmt w:val="bullet"/>
      <w:lvlText w:val="o"/>
      <w:lvlJc w:val="left"/>
      <w:pPr>
        <w:tabs>
          <w:tab w:val="num" w:pos="1440"/>
        </w:tabs>
        <w:ind w:left="1440" w:hanging="360"/>
      </w:pPr>
      <w:rPr>
        <w:rFonts w:ascii="Courier New" w:hAnsi="Courier New" w:cs="Consolas" w:hint="default"/>
      </w:rPr>
    </w:lvl>
    <w:lvl w:ilvl="2" w:tplc="AD42556A">
      <w:start w:val="1"/>
      <w:numFmt w:val="decimal"/>
      <w:lvlText w:val="%3."/>
      <w:lvlJc w:val="left"/>
      <w:pPr>
        <w:tabs>
          <w:tab w:val="num" w:pos="2160"/>
        </w:tabs>
        <w:ind w:left="2160" w:hanging="360"/>
      </w:pPr>
    </w:lvl>
    <w:lvl w:ilvl="3" w:tplc="34FCFE2E">
      <w:start w:val="1"/>
      <w:numFmt w:val="decimal"/>
      <w:lvlText w:val="%4."/>
      <w:lvlJc w:val="left"/>
      <w:pPr>
        <w:tabs>
          <w:tab w:val="num" w:pos="2880"/>
        </w:tabs>
        <w:ind w:left="2880" w:hanging="360"/>
      </w:pPr>
    </w:lvl>
    <w:lvl w:ilvl="4" w:tplc="BC385A72">
      <w:start w:val="1"/>
      <w:numFmt w:val="decimal"/>
      <w:lvlText w:val="%5."/>
      <w:lvlJc w:val="left"/>
      <w:pPr>
        <w:tabs>
          <w:tab w:val="num" w:pos="3600"/>
        </w:tabs>
        <w:ind w:left="3600" w:hanging="360"/>
      </w:pPr>
    </w:lvl>
    <w:lvl w:ilvl="5" w:tplc="22A0BFE4">
      <w:start w:val="1"/>
      <w:numFmt w:val="decimal"/>
      <w:lvlText w:val="%6."/>
      <w:lvlJc w:val="left"/>
      <w:pPr>
        <w:tabs>
          <w:tab w:val="num" w:pos="4320"/>
        </w:tabs>
        <w:ind w:left="4320" w:hanging="360"/>
      </w:pPr>
    </w:lvl>
    <w:lvl w:ilvl="6" w:tplc="14B4819A">
      <w:start w:val="1"/>
      <w:numFmt w:val="decimal"/>
      <w:lvlText w:val="%7."/>
      <w:lvlJc w:val="left"/>
      <w:pPr>
        <w:tabs>
          <w:tab w:val="num" w:pos="5040"/>
        </w:tabs>
        <w:ind w:left="5040" w:hanging="360"/>
      </w:pPr>
    </w:lvl>
    <w:lvl w:ilvl="7" w:tplc="7BCEEECA">
      <w:start w:val="1"/>
      <w:numFmt w:val="decimal"/>
      <w:lvlText w:val="%8."/>
      <w:lvlJc w:val="left"/>
      <w:pPr>
        <w:tabs>
          <w:tab w:val="num" w:pos="5760"/>
        </w:tabs>
        <w:ind w:left="5760" w:hanging="360"/>
      </w:pPr>
    </w:lvl>
    <w:lvl w:ilvl="8" w:tplc="3A6A5B8C">
      <w:start w:val="1"/>
      <w:numFmt w:val="decimal"/>
      <w:lvlText w:val="%9."/>
      <w:lvlJc w:val="left"/>
      <w:pPr>
        <w:tabs>
          <w:tab w:val="num" w:pos="6480"/>
        </w:tabs>
        <w:ind w:left="6480" w:hanging="360"/>
      </w:pPr>
    </w:lvl>
  </w:abstractNum>
  <w:abstractNum w:abstractNumId="30">
    <w:nsid w:val="2869746C"/>
    <w:multiLevelType w:val="hybridMultilevel"/>
    <w:tmpl w:val="235020DA"/>
    <w:lvl w:ilvl="0" w:tplc="AEF8D51C">
      <w:start w:val="1"/>
      <w:numFmt w:val="bullet"/>
      <w:pStyle w:val="BasicParagraph"/>
      <w:lvlText w:val=""/>
      <w:lvlJc w:val="left"/>
      <w:pPr>
        <w:tabs>
          <w:tab w:val="num" w:pos="720"/>
        </w:tabs>
        <w:ind w:left="720" w:hanging="360"/>
      </w:pPr>
      <w:rPr>
        <w:rFonts w:ascii="Symbol" w:hAnsi="Symbol" w:hint="default"/>
      </w:rPr>
    </w:lvl>
    <w:lvl w:ilvl="1" w:tplc="3EF22854" w:tentative="1">
      <w:start w:val="1"/>
      <w:numFmt w:val="bullet"/>
      <w:lvlText w:val="o"/>
      <w:lvlJc w:val="left"/>
      <w:pPr>
        <w:tabs>
          <w:tab w:val="num" w:pos="1440"/>
        </w:tabs>
        <w:ind w:left="1440" w:hanging="360"/>
      </w:pPr>
      <w:rPr>
        <w:rFonts w:ascii="Courier New" w:hAnsi="Courier New" w:cs="Consolas" w:hint="default"/>
      </w:rPr>
    </w:lvl>
    <w:lvl w:ilvl="2" w:tplc="7280F928" w:tentative="1">
      <w:start w:val="1"/>
      <w:numFmt w:val="bullet"/>
      <w:lvlText w:val=""/>
      <w:lvlJc w:val="left"/>
      <w:pPr>
        <w:tabs>
          <w:tab w:val="num" w:pos="2160"/>
        </w:tabs>
        <w:ind w:left="2160" w:hanging="360"/>
      </w:pPr>
      <w:rPr>
        <w:rFonts w:ascii="Wingdings" w:hAnsi="Wingdings" w:hint="default"/>
      </w:rPr>
    </w:lvl>
    <w:lvl w:ilvl="3" w:tplc="FDE4CDF2" w:tentative="1">
      <w:start w:val="1"/>
      <w:numFmt w:val="bullet"/>
      <w:lvlText w:val=""/>
      <w:lvlJc w:val="left"/>
      <w:pPr>
        <w:tabs>
          <w:tab w:val="num" w:pos="2880"/>
        </w:tabs>
        <w:ind w:left="2880" w:hanging="360"/>
      </w:pPr>
      <w:rPr>
        <w:rFonts w:ascii="Symbol" w:hAnsi="Symbol" w:hint="default"/>
      </w:rPr>
    </w:lvl>
    <w:lvl w:ilvl="4" w:tplc="38C2FABE" w:tentative="1">
      <w:start w:val="1"/>
      <w:numFmt w:val="bullet"/>
      <w:lvlText w:val="o"/>
      <w:lvlJc w:val="left"/>
      <w:pPr>
        <w:tabs>
          <w:tab w:val="num" w:pos="3600"/>
        </w:tabs>
        <w:ind w:left="3600" w:hanging="360"/>
      </w:pPr>
      <w:rPr>
        <w:rFonts w:ascii="Courier New" w:hAnsi="Courier New" w:cs="Consolas" w:hint="default"/>
      </w:rPr>
    </w:lvl>
    <w:lvl w:ilvl="5" w:tplc="D7600742" w:tentative="1">
      <w:start w:val="1"/>
      <w:numFmt w:val="bullet"/>
      <w:lvlText w:val=""/>
      <w:lvlJc w:val="left"/>
      <w:pPr>
        <w:tabs>
          <w:tab w:val="num" w:pos="4320"/>
        </w:tabs>
        <w:ind w:left="4320" w:hanging="360"/>
      </w:pPr>
      <w:rPr>
        <w:rFonts w:ascii="Wingdings" w:hAnsi="Wingdings" w:hint="default"/>
      </w:rPr>
    </w:lvl>
    <w:lvl w:ilvl="6" w:tplc="F1E462EC" w:tentative="1">
      <w:start w:val="1"/>
      <w:numFmt w:val="bullet"/>
      <w:lvlText w:val=""/>
      <w:lvlJc w:val="left"/>
      <w:pPr>
        <w:tabs>
          <w:tab w:val="num" w:pos="5040"/>
        </w:tabs>
        <w:ind w:left="5040" w:hanging="360"/>
      </w:pPr>
      <w:rPr>
        <w:rFonts w:ascii="Symbol" w:hAnsi="Symbol" w:hint="default"/>
      </w:rPr>
    </w:lvl>
    <w:lvl w:ilvl="7" w:tplc="8D5A16B4" w:tentative="1">
      <w:start w:val="1"/>
      <w:numFmt w:val="bullet"/>
      <w:lvlText w:val="o"/>
      <w:lvlJc w:val="left"/>
      <w:pPr>
        <w:tabs>
          <w:tab w:val="num" w:pos="5760"/>
        </w:tabs>
        <w:ind w:left="5760" w:hanging="360"/>
      </w:pPr>
      <w:rPr>
        <w:rFonts w:ascii="Courier New" w:hAnsi="Courier New" w:cs="Consolas" w:hint="default"/>
      </w:rPr>
    </w:lvl>
    <w:lvl w:ilvl="8" w:tplc="5DBC7710" w:tentative="1">
      <w:start w:val="1"/>
      <w:numFmt w:val="bullet"/>
      <w:lvlText w:val=""/>
      <w:lvlJc w:val="left"/>
      <w:pPr>
        <w:tabs>
          <w:tab w:val="num" w:pos="6480"/>
        </w:tabs>
        <w:ind w:left="6480" w:hanging="360"/>
      </w:pPr>
      <w:rPr>
        <w:rFonts w:ascii="Wingdings" w:hAnsi="Wingdings" w:hint="default"/>
      </w:rPr>
    </w:lvl>
  </w:abstractNum>
  <w:abstractNum w:abstractNumId="31">
    <w:nsid w:val="2990330D"/>
    <w:multiLevelType w:val="hybridMultilevel"/>
    <w:tmpl w:val="8B92EB8E"/>
    <w:lvl w:ilvl="0" w:tplc="A844B96A">
      <w:start w:val="1"/>
      <w:numFmt w:val="bullet"/>
      <w:pStyle w:val="BoxSeqList3"/>
      <w:lvlText w:val=""/>
      <w:lvlJc w:val="left"/>
      <w:pPr>
        <w:tabs>
          <w:tab w:val="num" w:pos="720"/>
        </w:tabs>
        <w:ind w:left="720" w:hanging="360"/>
      </w:pPr>
      <w:rPr>
        <w:rFonts w:ascii="Symbol" w:hAnsi="Symbol" w:hint="default"/>
      </w:rPr>
    </w:lvl>
    <w:lvl w:ilvl="1" w:tplc="9BC2F584" w:tentative="1">
      <w:start w:val="1"/>
      <w:numFmt w:val="bullet"/>
      <w:lvlText w:val="o"/>
      <w:lvlJc w:val="left"/>
      <w:pPr>
        <w:tabs>
          <w:tab w:val="num" w:pos="1440"/>
        </w:tabs>
        <w:ind w:left="1440" w:hanging="360"/>
      </w:pPr>
      <w:rPr>
        <w:rFonts w:ascii="Courier New" w:hAnsi="Courier New" w:cs="Consolas" w:hint="default"/>
      </w:rPr>
    </w:lvl>
    <w:lvl w:ilvl="2" w:tplc="54DCE6F2" w:tentative="1">
      <w:start w:val="1"/>
      <w:numFmt w:val="bullet"/>
      <w:lvlText w:val=""/>
      <w:lvlJc w:val="left"/>
      <w:pPr>
        <w:tabs>
          <w:tab w:val="num" w:pos="2160"/>
        </w:tabs>
        <w:ind w:left="2160" w:hanging="360"/>
      </w:pPr>
      <w:rPr>
        <w:rFonts w:ascii="Wingdings" w:hAnsi="Wingdings" w:hint="default"/>
      </w:rPr>
    </w:lvl>
    <w:lvl w:ilvl="3" w:tplc="6CFA0B66" w:tentative="1">
      <w:start w:val="1"/>
      <w:numFmt w:val="bullet"/>
      <w:lvlText w:val=""/>
      <w:lvlJc w:val="left"/>
      <w:pPr>
        <w:tabs>
          <w:tab w:val="num" w:pos="2880"/>
        </w:tabs>
        <w:ind w:left="2880" w:hanging="360"/>
      </w:pPr>
      <w:rPr>
        <w:rFonts w:ascii="Symbol" w:hAnsi="Symbol" w:hint="default"/>
      </w:rPr>
    </w:lvl>
    <w:lvl w:ilvl="4" w:tplc="9EC80C8E" w:tentative="1">
      <w:start w:val="1"/>
      <w:numFmt w:val="bullet"/>
      <w:lvlText w:val="o"/>
      <w:lvlJc w:val="left"/>
      <w:pPr>
        <w:tabs>
          <w:tab w:val="num" w:pos="3600"/>
        </w:tabs>
        <w:ind w:left="3600" w:hanging="360"/>
      </w:pPr>
      <w:rPr>
        <w:rFonts w:ascii="Courier New" w:hAnsi="Courier New" w:cs="Consolas" w:hint="default"/>
      </w:rPr>
    </w:lvl>
    <w:lvl w:ilvl="5" w:tplc="EFAACC36" w:tentative="1">
      <w:start w:val="1"/>
      <w:numFmt w:val="bullet"/>
      <w:lvlText w:val=""/>
      <w:lvlJc w:val="left"/>
      <w:pPr>
        <w:tabs>
          <w:tab w:val="num" w:pos="4320"/>
        </w:tabs>
        <w:ind w:left="4320" w:hanging="360"/>
      </w:pPr>
      <w:rPr>
        <w:rFonts w:ascii="Wingdings" w:hAnsi="Wingdings" w:hint="default"/>
      </w:rPr>
    </w:lvl>
    <w:lvl w:ilvl="6" w:tplc="E572EC80" w:tentative="1">
      <w:start w:val="1"/>
      <w:numFmt w:val="bullet"/>
      <w:lvlText w:val=""/>
      <w:lvlJc w:val="left"/>
      <w:pPr>
        <w:tabs>
          <w:tab w:val="num" w:pos="5040"/>
        </w:tabs>
        <w:ind w:left="5040" w:hanging="360"/>
      </w:pPr>
      <w:rPr>
        <w:rFonts w:ascii="Symbol" w:hAnsi="Symbol" w:hint="default"/>
      </w:rPr>
    </w:lvl>
    <w:lvl w:ilvl="7" w:tplc="6DC45B3C" w:tentative="1">
      <w:start w:val="1"/>
      <w:numFmt w:val="bullet"/>
      <w:lvlText w:val="o"/>
      <w:lvlJc w:val="left"/>
      <w:pPr>
        <w:tabs>
          <w:tab w:val="num" w:pos="5760"/>
        </w:tabs>
        <w:ind w:left="5760" w:hanging="360"/>
      </w:pPr>
      <w:rPr>
        <w:rFonts w:ascii="Courier New" w:hAnsi="Courier New" w:cs="Consolas" w:hint="default"/>
      </w:rPr>
    </w:lvl>
    <w:lvl w:ilvl="8" w:tplc="8B84DF42" w:tentative="1">
      <w:start w:val="1"/>
      <w:numFmt w:val="bullet"/>
      <w:lvlText w:val=""/>
      <w:lvlJc w:val="left"/>
      <w:pPr>
        <w:tabs>
          <w:tab w:val="num" w:pos="6480"/>
        </w:tabs>
        <w:ind w:left="6480" w:hanging="360"/>
      </w:pPr>
      <w:rPr>
        <w:rFonts w:ascii="Wingdings" w:hAnsi="Wingdings" w:hint="default"/>
      </w:rPr>
    </w:lvl>
  </w:abstractNum>
  <w:abstractNum w:abstractNumId="32">
    <w:nsid w:val="2A036878"/>
    <w:multiLevelType w:val="multilevel"/>
    <w:tmpl w:val="B45A9380"/>
    <w:lvl w:ilvl="0">
      <w:start w:val="1"/>
      <w:numFmt w:val="decimal"/>
      <w:lvlText w:val="%1."/>
      <w:lvlJc w:val="left"/>
      <w:pPr>
        <w:tabs>
          <w:tab w:val="num" w:pos="720"/>
        </w:tabs>
        <w:ind w:left="720" w:hanging="360"/>
      </w:pPr>
    </w:lvl>
    <w:lvl w:ilvl="1">
      <w:start w:val="3"/>
      <w:numFmt w:val="decimal"/>
      <w:isLgl/>
      <w:lvlText w:val="%1.%2"/>
      <w:lvlJc w:val="left"/>
      <w:pPr>
        <w:ind w:left="1065" w:hanging="705"/>
      </w:pPr>
      <w:rPr>
        <w:rFonts w:hint="default"/>
        <w:b/>
      </w:rPr>
    </w:lvl>
    <w:lvl w:ilvl="2">
      <w:start w:val="1"/>
      <w:numFmt w:val="decimal"/>
      <w:pStyle w:val="BoxSeqList2"/>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3">
    <w:nsid w:val="34501A57"/>
    <w:multiLevelType w:val="hybridMultilevel"/>
    <w:tmpl w:val="5B24FFB8"/>
    <w:lvl w:ilvl="0" w:tplc="721C2A1A">
      <w:start w:val="1"/>
      <w:numFmt w:val="decimal"/>
      <w:pStyle w:val="Bulletnumbered"/>
      <w:lvlText w:val="%1."/>
      <w:lvlJc w:val="left"/>
      <w:pPr>
        <w:ind w:left="1854" w:hanging="360"/>
      </w:pPr>
    </w:lvl>
    <w:lvl w:ilvl="1" w:tplc="9A02AD78" w:tentative="1">
      <w:start w:val="1"/>
      <w:numFmt w:val="lowerLetter"/>
      <w:lvlText w:val="%2."/>
      <w:lvlJc w:val="left"/>
      <w:pPr>
        <w:ind w:left="2574" w:hanging="360"/>
      </w:pPr>
    </w:lvl>
    <w:lvl w:ilvl="2" w:tplc="5FEA1EDC" w:tentative="1">
      <w:start w:val="1"/>
      <w:numFmt w:val="lowerRoman"/>
      <w:lvlText w:val="%3."/>
      <w:lvlJc w:val="right"/>
      <w:pPr>
        <w:ind w:left="3294" w:hanging="180"/>
      </w:pPr>
    </w:lvl>
    <w:lvl w:ilvl="3" w:tplc="3E2C8934" w:tentative="1">
      <w:start w:val="1"/>
      <w:numFmt w:val="decimal"/>
      <w:lvlText w:val="%4."/>
      <w:lvlJc w:val="left"/>
      <w:pPr>
        <w:ind w:left="4014" w:hanging="360"/>
      </w:pPr>
    </w:lvl>
    <w:lvl w:ilvl="4" w:tplc="332C7AA6" w:tentative="1">
      <w:start w:val="1"/>
      <w:numFmt w:val="lowerLetter"/>
      <w:lvlText w:val="%5."/>
      <w:lvlJc w:val="left"/>
      <w:pPr>
        <w:ind w:left="4734" w:hanging="360"/>
      </w:pPr>
    </w:lvl>
    <w:lvl w:ilvl="5" w:tplc="8D7A1C90" w:tentative="1">
      <w:start w:val="1"/>
      <w:numFmt w:val="lowerRoman"/>
      <w:lvlText w:val="%6."/>
      <w:lvlJc w:val="right"/>
      <w:pPr>
        <w:ind w:left="5454" w:hanging="180"/>
      </w:pPr>
    </w:lvl>
    <w:lvl w:ilvl="6" w:tplc="2F2C0594" w:tentative="1">
      <w:start w:val="1"/>
      <w:numFmt w:val="decimal"/>
      <w:lvlText w:val="%7."/>
      <w:lvlJc w:val="left"/>
      <w:pPr>
        <w:ind w:left="6174" w:hanging="360"/>
      </w:pPr>
    </w:lvl>
    <w:lvl w:ilvl="7" w:tplc="56508CE2" w:tentative="1">
      <w:start w:val="1"/>
      <w:numFmt w:val="lowerLetter"/>
      <w:lvlText w:val="%8."/>
      <w:lvlJc w:val="left"/>
      <w:pPr>
        <w:ind w:left="6894" w:hanging="360"/>
      </w:pPr>
    </w:lvl>
    <w:lvl w:ilvl="8" w:tplc="29FE73F8" w:tentative="1">
      <w:start w:val="1"/>
      <w:numFmt w:val="lowerRoman"/>
      <w:lvlText w:val="%9."/>
      <w:lvlJc w:val="right"/>
      <w:pPr>
        <w:ind w:left="7614" w:hanging="180"/>
      </w:pPr>
    </w:lvl>
  </w:abstractNum>
  <w:abstractNum w:abstractNumId="34">
    <w:nsid w:val="36620CB5"/>
    <w:multiLevelType w:val="hybridMultilevel"/>
    <w:tmpl w:val="3BD4ABCC"/>
    <w:lvl w:ilvl="0" w:tplc="85626A0A">
      <w:start w:val="1"/>
      <w:numFmt w:val="bullet"/>
      <w:pStyle w:val="NewPara"/>
      <w:lvlText w:val=""/>
      <w:lvlJc w:val="left"/>
      <w:pPr>
        <w:tabs>
          <w:tab w:val="num" w:pos="720"/>
        </w:tabs>
        <w:ind w:left="720" w:hanging="360"/>
      </w:pPr>
      <w:rPr>
        <w:rFonts w:ascii="Symbol" w:hAnsi="Symbol" w:hint="default"/>
      </w:rPr>
    </w:lvl>
    <w:lvl w:ilvl="1" w:tplc="6C183E32" w:tentative="1">
      <w:start w:val="1"/>
      <w:numFmt w:val="bullet"/>
      <w:pStyle w:val="TableEntry"/>
      <w:lvlText w:val="o"/>
      <w:lvlJc w:val="left"/>
      <w:pPr>
        <w:tabs>
          <w:tab w:val="num" w:pos="1440"/>
        </w:tabs>
        <w:ind w:left="1440" w:hanging="360"/>
      </w:pPr>
      <w:rPr>
        <w:rFonts w:ascii="Courier New" w:hAnsi="Courier New" w:cs="Consolas" w:hint="default"/>
      </w:rPr>
    </w:lvl>
    <w:lvl w:ilvl="2" w:tplc="97341F44" w:tentative="1">
      <w:start w:val="1"/>
      <w:numFmt w:val="bullet"/>
      <w:pStyle w:val="CarCar"/>
      <w:lvlText w:val=""/>
      <w:lvlJc w:val="left"/>
      <w:pPr>
        <w:tabs>
          <w:tab w:val="num" w:pos="2160"/>
        </w:tabs>
        <w:ind w:left="2160" w:hanging="360"/>
      </w:pPr>
      <w:rPr>
        <w:rFonts w:ascii="Wingdings" w:hAnsi="Wingdings" w:hint="default"/>
      </w:rPr>
    </w:lvl>
    <w:lvl w:ilvl="3" w:tplc="E5F68E6A" w:tentative="1">
      <w:start w:val="1"/>
      <w:numFmt w:val="bullet"/>
      <w:pStyle w:val="BoxTitle"/>
      <w:lvlText w:val=""/>
      <w:lvlJc w:val="left"/>
      <w:pPr>
        <w:tabs>
          <w:tab w:val="num" w:pos="2880"/>
        </w:tabs>
        <w:ind w:left="2880" w:hanging="360"/>
      </w:pPr>
      <w:rPr>
        <w:rFonts w:ascii="Symbol" w:hAnsi="Symbol" w:hint="default"/>
      </w:rPr>
    </w:lvl>
    <w:lvl w:ilvl="4" w:tplc="E146B7B2" w:tentative="1">
      <w:start w:val="1"/>
      <w:numFmt w:val="bullet"/>
      <w:lvlText w:val="o"/>
      <w:lvlJc w:val="left"/>
      <w:pPr>
        <w:tabs>
          <w:tab w:val="num" w:pos="3600"/>
        </w:tabs>
        <w:ind w:left="3600" w:hanging="360"/>
      </w:pPr>
      <w:rPr>
        <w:rFonts w:ascii="Courier New" w:hAnsi="Courier New" w:cs="Consolas" w:hint="default"/>
      </w:rPr>
    </w:lvl>
    <w:lvl w:ilvl="5" w:tplc="CBA4E2D8" w:tentative="1">
      <w:start w:val="1"/>
      <w:numFmt w:val="bullet"/>
      <w:lvlText w:val=""/>
      <w:lvlJc w:val="left"/>
      <w:pPr>
        <w:tabs>
          <w:tab w:val="num" w:pos="4320"/>
        </w:tabs>
        <w:ind w:left="4320" w:hanging="360"/>
      </w:pPr>
      <w:rPr>
        <w:rFonts w:ascii="Wingdings" w:hAnsi="Wingdings" w:hint="default"/>
      </w:rPr>
    </w:lvl>
    <w:lvl w:ilvl="6" w:tplc="09961A4C" w:tentative="1">
      <w:start w:val="1"/>
      <w:numFmt w:val="bullet"/>
      <w:lvlText w:val=""/>
      <w:lvlJc w:val="left"/>
      <w:pPr>
        <w:tabs>
          <w:tab w:val="num" w:pos="5040"/>
        </w:tabs>
        <w:ind w:left="5040" w:hanging="360"/>
      </w:pPr>
      <w:rPr>
        <w:rFonts w:ascii="Symbol" w:hAnsi="Symbol" w:hint="default"/>
      </w:rPr>
    </w:lvl>
    <w:lvl w:ilvl="7" w:tplc="40CC5086" w:tentative="1">
      <w:start w:val="1"/>
      <w:numFmt w:val="bullet"/>
      <w:lvlText w:val="o"/>
      <w:lvlJc w:val="left"/>
      <w:pPr>
        <w:tabs>
          <w:tab w:val="num" w:pos="5760"/>
        </w:tabs>
        <w:ind w:left="5760" w:hanging="360"/>
      </w:pPr>
      <w:rPr>
        <w:rFonts w:ascii="Courier New" w:hAnsi="Courier New" w:cs="Consolas" w:hint="default"/>
      </w:rPr>
    </w:lvl>
    <w:lvl w:ilvl="8" w:tplc="923CB502" w:tentative="1">
      <w:start w:val="1"/>
      <w:numFmt w:val="bullet"/>
      <w:lvlText w:val=""/>
      <w:lvlJc w:val="left"/>
      <w:pPr>
        <w:tabs>
          <w:tab w:val="num" w:pos="6480"/>
        </w:tabs>
        <w:ind w:left="6480" w:hanging="360"/>
      </w:pPr>
      <w:rPr>
        <w:rFonts w:ascii="Wingdings" w:hAnsi="Wingdings" w:hint="default"/>
      </w:rPr>
    </w:lvl>
  </w:abstractNum>
  <w:abstractNum w:abstractNumId="35">
    <w:nsid w:val="37980EB6"/>
    <w:multiLevelType w:val="hybridMultilevel"/>
    <w:tmpl w:val="43C2DA88"/>
    <w:lvl w:ilvl="0" w:tplc="3A8EEBBE">
      <w:start w:val="1"/>
      <w:numFmt w:val="decimal"/>
      <w:pStyle w:val="IPPNormalCloseSpace"/>
      <w:lvlText w:val="%1."/>
      <w:lvlJc w:val="left"/>
      <w:pPr>
        <w:tabs>
          <w:tab w:val="num" w:pos="720"/>
        </w:tabs>
        <w:ind w:left="720" w:hanging="360"/>
      </w:pPr>
    </w:lvl>
    <w:lvl w:ilvl="1" w:tplc="62885C90" w:tentative="1">
      <w:start w:val="1"/>
      <w:numFmt w:val="lowerLetter"/>
      <w:lvlText w:val="%2."/>
      <w:lvlJc w:val="left"/>
      <w:pPr>
        <w:tabs>
          <w:tab w:val="num" w:pos="1440"/>
        </w:tabs>
        <w:ind w:left="1440" w:hanging="360"/>
      </w:pPr>
    </w:lvl>
    <w:lvl w:ilvl="2" w:tplc="78D638B6" w:tentative="1">
      <w:start w:val="1"/>
      <w:numFmt w:val="lowerRoman"/>
      <w:lvlText w:val="%3."/>
      <w:lvlJc w:val="right"/>
      <w:pPr>
        <w:tabs>
          <w:tab w:val="num" w:pos="2160"/>
        </w:tabs>
        <w:ind w:left="2160" w:hanging="180"/>
      </w:pPr>
    </w:lvl>
    <w:lvl w:ilvl="3" w:tplc="13A04FFA" w:tentative="1">
      <w:start w:val="1"/>
      <w:numFmt w:val="decimal"/>
      <w:lvlText w:val="%4."/>
      <w:lvlJc w:val="left"/>
      <w:pPr>
        <w:tabs>
          <w:tab w:val="num" w:pos="2880"/>
        </w:tabs>
        <w:ind w:left="2880" w:hanging="360"/>
      </w:pPr>
    </w:lvl>
    <w:lvl w:ilvl="4" w:tplc="88D48E46" w:tentative="1">
      <w:start w:val="1"/>
      <w:numFmt w:val="lowerLetter"/>
      <w:lvlText w:val="%5."/>
      <w:lvlJc w:val="left"/>
      <w:pPr>
        <w:tabs>
          <w:tab w:val="num" w:pos="3600"/>
        </w:tabs>
        <w:ind w:left="3600" w:hanging="360"/>
      </w:pPr>
    </w:lvl>
    <w:lvl w:ilvl="5" w:tplc="B930E5A4" w:tentative="1">
      <w:start w:val="1"/>
      <w:numFmt w:val="lowerRoman"/>
      <w:lvlText w:val="%6."/>
      <w:lvlJc w:val="right"/>
      <w:pPr>
        <w:tabs>
          <w:tab w:val="num" w:pos="4320"/>
        </w:tabs>
        <w:ind w:left="4320" w:hanging="180"/>
      </w:pPr>
    </w:lvl>
    <w:lvl w:ilvl="6" w:tplc="4120E2FE" w:tentative="1">
      <w:start w:val="1"/>
      <w:numFmt w:val="decimal"/>
      <w:lvlText w:val="%7."/>
      <w:lvlJc w:val="left"/>
      <w:pPr>
        <w:tabs>
          <w:tab w:val="num" w:pos="5040"/>
        </w:tabs>
        <w:ind w:left="5040" w:hanging="360"/>
      </w:pPr>
    </w:lvl>
    <w:lvl w:ilvl="7" w:tplc="CC009A92" w:tentative="1">
      <w:start w:val="1"/>
      <w:numFmt w:val="lowerLetter"/>
      <w:lvlText w:val="%8."/>
      <w:lvlJc w:val="left"/>
      <w:pPr>
        <w:tabs>
          <w:tab w:val="num" w:pos="5760"/>
        </w:tabs>
        <w:ind w:left="5760" w:hanging="360"/>
      </w:pPr>
    </w:lvl>
    <w:lvl w:ilvl="8" w:tplc="4642CD88" w:tentative="1">
      <w:start w:val="1"/>
      <w:numFmt w:val="lowerRoman"/>
      <w:lvlText w:val="%9."/>
      <w:lvlJc w:val="right"/>
      <w:pPr>
        <w:tabs>
          <w:tab w:val="num" w:pos="6480"/>
        </w:tabs>
        <w:ind w:left="6480" w:hanging="180"/>
      </w:pPr>
    </w:lvl>
  </w:abstractNum>
  <w:abstractNum w:abstractNumId="36">
    <w:nsid w:val="38B06FE7"/>
    <w:multiLevelType w:val="multilevel"/>
    <w:tmpl w:val="0A7A6A7E"/>
    <w:lvl w:ilvl="0">
      <w:start w:val="1"/>
      <w:numFmt w:val="decimal"/>
      <w:pStyle w:val="Alt2-LevelLegal1"/>
      <w:lvlText w:val="CHAPTER %1"/>
      <w:lvlJc w:val="left"/>
      <w:pPr>
        <w:tabs>
          <w:tab w:val="num" w:pos="1440"/>
        </w:tabs>
        <w:ind w:left="0" w:firstLine="0"/>
      </w:pPr>
      <w:rPr>
        <w:rFonts w:ascii="Times New Roman" w:hAnsi="Times New Roman" w:hint="default"/>
        <w:b/>
        <w:i w:val="0"/>
        <w:color w:val="000000"/>
        <w:sz w:val="28"/>
        <w:szCs w:val="28"/>
      </w:rPr>
    </w:lvl>
    <w:lvl w:ilvl="1">
      <w:start w:val="1"/>
      <w:numFmt w:val="decimal"/>
      <w:pStyle w:val="Alt2-LevelLegal2"/>
      <w:isLgl/>
      <w:lvlText w:val="%1.%2"/>
      <w:lvlJc w:val="left"/>
      <w:pPr>
        <w:tabs>
          <w:tab w:val="num" w:pos="720"/>
        </w:tabs>
        <w:ind w:left="720" w:hanging="720"/>
      </w:pPr>
      <w:rPr>
        <w:rFonts w:ascii="Times New Roman" w:hAnsi="Times New Roman" w:hint="default"/>
        <w:b/>
        <w:i w:val="0"/>
        <w:color w:val="000000"/>
        <w:sz w:val="22"/>
      </w:rPr>
    </w:lvl>
    <w:lvl w:ilvl="2">
      <w:start w:val="1"/>
      <w:numFmt w:val="decimal"/>
      <w:pStyle w:val="Alt2-LevelLegal3"/>
      <w:isLgl/>
      <w:lvlText w:val="%1.%2.%3"/>
      <w:lvlJc w:val="left"/>
      <w:pPr>
        <w:tabs>
          <w:tab w:val="num" w:pos="720"/>
        </w:tabs>
        <w:ind w:left="720" w:hanging="720"/>
      </w:pPr>
      <w:rPr>
        <w:rFonts w:ascii="Times New Roman" w:hAnsi="Times New Roman" w:hint="default"/>
        <w:b/>
        <w:i w:val="0"/>
        <w:color w:val="000000"/>
        <w:sz w:val="22"/>
      </w:rPr>
    </w:lvl>
    <w:lvl w:ilvl="3">
      <w:start w:val="1"/>
      <w:numFmt w:val="lowerLetter"/>
      <w:pStyle w:val="Alt2-LevelLegal4"/>
      <w:lvlText w:val="(%4)"/>
      <w:lvlJc w:val="left"/>
      <w:pPr>
        <w:tabs>
          <w:tab w:val="num" w:pos="1440"/>
        </w:tabs>
        <w:ind w:left="1440" w:hanging="720"/>
      </w:pPr>
      <w:rPr>
        <w:rFonts w:hint="default"/>
        <w:color w:val="000000"/>
      </w:rPr>
    </w:lvl>
    <w:lvl w:ilvl="4">
      <w:start w:val="1"/>
      <w:numFmt w:val="lowerRoman"/>
      <w:pStyle w:val="Alt2-LevelLegal5"/>
      <w:lvlText w:val="(%5)"/>
      <w:lvlJc w:val="left"/>
      <w:pPr>
        <w:tabs>
          <w:tab w:val="num" w:pos="2160"/>
        </w:tabs>
        <w:ind w:left="2160" w:hanging="720"/>
      </w:pPr>
      <w:rPr>
        <w:rFonts w:hint="default"/>
        <w:color w:val="000000"/>
      </w:rPr>
    </w:lvl>
    <w:lvl w:ilvl="5">
      <w:start w:val="1"/>
      <w:numFmt w:val="decimal"/>
      <w:pStyle w:val="Alt2-LevelLegal6"/>
      <w:lvlText w:val="%6."/>
      <w:lvlJc w:val="left"/>
      <w:pPr>
        <w:tabs>
          <w:tab w:val="num" w:pos="1440"/>
        </w:tabs>
        <w:ind w:left="1440" w:hanging="720"/>
      </w:pPr>
      <w:rPr>
        <w:rFonts w:hint="default"/>
        <w:color w:val="000000"/>
      </w:rPr>
    </w:lvl>
    <w:lvl w:ilvl="6">
      <w:start w:val="1"/>
      <w:numFmt w:val="upperLetter"/>
      <w:pStyle w:val="Alt2-LevelLegal7"/>
      <w:lvlText w:val="(%7)"/>
      <w:lvlJc w:val="left"/>
      <w:pPr>
        <w:tabs>
          <w:tab w:val="num" w:pos="3600"/>
        </w:tabs>
        <w:ind w:left="3600" w:hanging="720"/>
      </w:pPr>
      <w:rPr>
        <w:rFonts w:hint="default"/>
        <w:color w:val="00000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7">
    <w:nsid w:val="3AC55B9C"/>
    <w:multiLevelType w:val="hybridMultilevel"/>
    <w:tmpl w:val="70BE8C52"/>
    <w:lvl w:ilvl="0" w:tplc="8D5A24AC">
      <w:start w:val="1"/>
      <w:numFmt w:val="decimal"/>
      <w:pStyle w:val="GEFChar"/>
      <w:lvlText w:val="%1."/>
      <w:lvlJc w:val="left"/>
      <w:pPr>
        <w:tabs>
          <w:tab w:val="num" w:pos="720"/>
        </w:tabs>
        <w:ind w:left="720" w:hanging="360"/>
      </w:pPr>
    </w:lvl>
    <w:lvl w:ilvl="1" w:tplc="68121BF6" w:tentative="1">
      <w:start w:val="1"/>
      <w:numFmt w:val="lowerLetter"/>
      <w:lvlText w:val="%2."/>
      <w:lvlJc w:val="left"/>
      <w:pPr>
        <w:tabs>
          <w:tab w:val="num" w:pos="1440"/>
        </w:tabs>
        <w:ind w:left="1440" w:hanging="360"/>
      </w:pPr>
    </w:lvl>
    <w:lvl w:ilvl="2" w:tplc="EC4A60C4" w:tentative="1">
      <w:start w:val="1"/>
      <w:numFmt w:val="lowerRoman"/>
      <w:lvlText w:val="%3."/>
      <w:lvlJc w:val="right"/>
      <w:pPr>
        <w:tabs>
          <w:tab w:val="num" w:pos="2160"/>
        </w:tabs>
        <w:ind w:left="2160" w:hanging="180"/>
      </w:pPr>
    </w:lvl>
    <w:lvl w:ilvl="3" w:tplc="96D4CBA0" w:tentative="1">
      <w:start w:val="1"/>
      <w:numFmt w:val="decimal"/>
      <w:lvlText w:val="%4."/>
      <w:lvlJc w:val="left"/>
      <w:pPr>
        <w:tabs>
          <w:tab w:val="num" w:pos="2880"/>
        </w:tabs>
        <w:ind w:left="2880" w:hanging="360"/>
      </w:pPr>
    </w:lvl>
    <w:lvl w:ilvl="4" w:tplc="632263AC" w:tentative="1">
      <w:start w:val="1"/>
      <w:numFmt w:val="lowerLetter"/>
      <w:lvlText w:val="%5."/>
      <w:lvlJc w:val="left"/>
      <w:pPr>
        <w:tabs>
          <w:tab w:val="num" w:pos="3600"/>
        </w:tabs>
        <w:ind w:left="3600" w:hanging="360"/>
      </w:pPr>
    </w:lvl>
    <w:lvl w:ilvl="5" w:tplc="323A3212" w:tentative="1">
      <w:start w:val="1"/>
      <w:numFmt w:val="lowerRoman"/>
      <w:lvlText w:val="%6."/>
      <w:lvlJc w:val="right"/>
      <w:pPr>
        <w:tabs>
          <w:tab w:val="num" w:pos="4320"/>
        </w:tabs>
        <w:ind w:left="4320" w:hanging="180"/>
      </w:pPr>
    </w:lvl>
    <w:lvl w:ilvl="6" w:tplc="2CE6F4E6" w:tentative="1">
      <w:start w:val="1"/>
      <w:numFmt w:val="decimal"/>
      <w:lvlText w:val="%7."/>
      <w:lvlJc w:val="left"/>
      <w:pPr>
        <w:tabs>
          <w:tab w:val="num" w:pos="5040"/>
        </w:tabs>
        <w:ind w:left="5040" w:hanging="360"/>
      </w:pPr>
    </w:lvl>
    <w:lvl w:ilvl="7" w:tplc="A6082C4C" w:tentative="1">
      <w:start w:val="1"/>
      <w:numFmt w:val="lowerLetter"/>
      <w:lvlText w:val="%8."/>
      <w:lvlJc w:val="left"/>
      <w:pPr>
        <w:tabs>
          <w:tab w:val="num" w:pos="5760"/>
        </w:tabs>
        <w:ind w:left="5760" w:hanging="360"/>
      </w:pPr>
    </w:lvl>
    <w:lvl w:ilvl="8" w:tplc="A6FCAFB6" w:tentative="1">
      <w:start w:val="1"/>
      <w:numFmt w:val="lowerRoman"/>
      <w:lvlText w:val="%9."/>
      <w:lvlJc w:val="right"/>
      <w:pPr>
        <w:tabs>
          <w:tab w:val="num" w:pos="6480"/>
        </w:tabs>
        <w:ind w:left="6480" w:hanging="180"/>
      </w:pPr>
    </w:lvl>
  </w:abstractNum>
  <w:abstractNum w:abstractNumId="38">
    <w:nsid w:val="3AF2117C"/>
    <w:multiLevelType w:val="hybridMultilevel"/>
    <w:tmpl w:val="03BC9038"/>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nsid w:val="3D216CCB"/>
    <w:multiLevelType w:val="hybridMultilevel"/>
    <w:tmpl w:val="EDB0F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F821D89"/>
    <w:multiLevelType w:val="hybridMultilevel"/>
    <w:tmpl w:val="4296CB94"/>
    <w:name w:val="AltLvl2ListTemplate"/>
    <w:lvl w:ilvl="0" w:tplc="5C3E2BBE">
      <w:start w:val="1"/>
      <w:numFmt w:val="bullet"/>
      <w:pStyle w:val="ListParagraph1"/>
      <w:lvlText w:val=""/>
      <w:lvlJc w:val="left"/>
      <w:pPr>
        <w:ind w:left="720" w:hanging="360"/>
      </w:pPr>
      <w:rPr>
        <w:rFonts w:ascii="Symbol" w:hAnsi="Symbol" w:hint="default"/>
      </w:rPr>
    </w:lvl>
    <w:lvl w:ilvl="1" w:tplc="78363A18" w:tentative="1">
      <w:start w:val="1"/>
      <w:numFmt w:val="bullet"/>
      <w:lvlText w:val="o"/>
      <w:lvlJc w:val="left"/>
      <w:pPr>
        <w:ind w:left="1440" w:hanging="360"/>
      </w:pPr>
      <w:rPr>
        <w:rFonts w:ascii="Courier New" w:hAnsi="Courier New" w:hint="default"/>
      </w:rPr>
    </w:lvl>
    <w:lvl w:ilvl="2" w:tplc="39468530" w:tentative="1">
      <w:start w:val="1"/>
      <w:numFmt w:val="bullet"/>
      <w:lvlText w:val=""/>
      <w:lvlJc w:val="left"/>
      <w:pPr>
        <w:ind w:left="2160" w:hanging="360"/>
      </w:pPr>
      <w:rPr>
        <w:rFonts w:ascii="Wingdings" w:hAnsi="Wingdings" w:hint="default"/>
      </w:rPr>
    </w:lvl>
    <w:lvl w:ilvl="3" w:tplc="21F639EE" w:tentative="1">
      <w:start w:val="1"/>
      <w:numFmt w:val="bullet"/>
      <w:lvlText w:val=""/>
      <w:lvlJc w:val="left"/>
      <w:pPr>
        <w:ind w:left="2880" w:hanging="360"/>
      </w:pPr>
      <w:rPr>
        <w:rFonts w:ascii="Symbol" w:hAnsi="Symbol" w:hint="default"/>
      </w:rPr>
    </w:lvl>
    <w:lvl w:ilvl="4" w:tplc="E04E98DA" w:tentative="1">
      <w:start w:val="1"/>
      <w:numFmt w:val="bullet"/>
      <w:lvlText w:val="o"/>
      <w:lvlJc w:val="left"/>
      <w:pPr>
        <w:ind w:left="3600" w:hanging="360"/>
      </w:pPr>
      <w:rPr>
        <w:rFonts w:ascii="Courier New" w:hAnsi="Courier New" w:hint="default"/>
      </w:rPr>
    </w:lvl>
    <w:lvl w:ilvl="5" w:tplc="55A61C4C" w:tentative="1">
      <w:start w:val="1"/>
      <w:numFmt w:val="bullet"/>
      <w:lvlText w:val=""/>
      <w:lvlJc w:val="left"/>
      <w:pPr>
        <w:ind w:left="4320" w:hanging="360"/>
      </w:pPr>
      <w:rPr>
        <w:rFonts w:ascii="Wingdings" w:hAnsi="Wingdings" w:hint="default"/>
      </w:rPr>
    </w:lvl>
    <w:lvl w:ilvl="6" w:tplc="FCE0A7A0" w:tentative="1">
      <w:start w:val="1"/>
      <w:numFmt w:val="bullet"/>
      <w:lvlText w:val=""/>
      <w:lvlJc w:val="left"/>
      <w:pPr>
        <w:ind w:left="5040" w:hanging="360"/>
      </w:pPr>
      <w:rPr>
        <w:rFonts w:ascii="Symbol" w:hAnsi="Symbol" w:hint="default"/>
      </w:rPr>
    </w:lvl>
    <w:lvl w:ilvl="7" w:tplc="4BC2D52A" w:tentative="1">
      <w:start w:val="1"/>
      <w:numFmt w:val="bullet"/>
      <w:lvlText w:val="o"/>
      <w:lvlJc w:val="left"/>
      <w:pPr>
        <w:ind w:left="5760" w:hanging="360"/>
      </w:pPr>
      <w:rPr>
        <w:rFonts w:ascii="Courier New" w:hAnsi="Courier New" w:hint="default"/>
      </w:rPr>
    </w:lvl>
    <w:lvl w:ilvl="8" w:tplc="391EB116" w:tentative="1">
      <w:start w:val="1"/>
      <w:numFmt w:val="bullet"/>
      <w:lvlText w:val=""/>
      <w:lvlJc w:val="left"/>
      <w:pPr>
        <w:ind w:left="6480" w:hanging="360"/>
      </w:pPr>
      <w:rPr>
        <w:rFonts w:ascii="Wingdings" w:hAnsi="Wingdings" w:hint="default"/>
      </w:rPr>
    </w:lvl>
  </w:abstractNum>
  <w:abstractNum w:abstractNumId="41">
    <w:nsid w:val="41330EAC"/>
    <w:multiLevelType w:val="multilevel"/>
    <w:tmpl w:val="0A92EF3C"/>
    <w:lvl w:ilvl="0">
      <w:start w:val="1"/>
      <w:numFmt w:val="bullet"/>
      <w:pStyle w:val="AR4Listbullet1"/>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42">
    <w:nsid w:val="427D0397"/>
    <w:multiLevelType w:val="hybridMultilevel"/>
    <w:tmpl w:val="ADBA325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6E50A78"/>
    <w:multiLevelType w:val="hybridMultilevel"/>
    <w:tmpl w:val="B4B07384"/>
    <w:lvl w:ilvl="0" w:tplc="510A4844">
      <w:start w:val="1"/>
      <w:numFmt w:val="bullet"/>
      <w:pStyle w:val="CM3"/>
      <w:lvlText w:val=""/>
      <w:lvlJc w:val="left"/>
      <w:pPr>
        <w:tabs>
          <w:tab w:val="num" w:pos="720"/>
        </w:tabs>
        <w:ind w:left="720" w:hanging="360"/>
      </w:pPr>
      <w:rPr>
        <w:rFonts w:ascii="Symbol" w:hAnsi="Symbol" w:hint="default"/>
      </w:rPr>
    </w:lvl>
    <w:lvl w:ilvl="1" w:tplc="ADB0C450" w:tentative="1">
      <w:start w:val="1"/>
      <w:numFmt w:val="bullet"/>
      <w:lvlText w:val="o"/>
      <w:lvlJc w:val="left"/>
      <w:pPr>
        <w:tabs>
          <w:tab w:val="num" w:pos="1440"/>
        </w:tabs>
        <w:ind w:left="1440" w:hanging="360"/>
      </w:pPr>
      <w:rPr>
        <w:rFonts w:ascii="Courier New" w:hAnsi="Courier New" w:cs="Consolas" w:hint="default"/>
      </w:rPr>
    </w:lvl>
    <w:lvl w:ilvl="2" w:tplc="A738BCF6" w:tentative="1">
      <w:start w:val="1"/>
      <w:numFmt w:val="bullet"/>
      <w:lvlText w:val=""/>
      <w:lvlJc w:val="left"/>
      <w:pPr>
        <w:tabs>
          <w:tab w:val="num" w:pos="2160"/>
        </w:tabs>
        <w:ind w:left="2160" w:hanging="360"/>
      </w:pPr>
      <w:rPr>
        <w:rFonts w:ascii="Wingdings" w:hAnsi="Wingdings" w:hint="default"/>
      </w:rPr>
    </w:lvl>
    <w:lvl w:ilvl="3" w:tplc="BE7C49E6" w:tentative="1">
      <w:start w:val="1"/>
      <w:numFmt w:val="bullet"/>
      <w:lvlText w:val=""/>
      <w:lvlJc w:val="left"/>
      <w:pPr>
        <w:tabs>
          <w:tab w:val="num" w:pos="2880"/>
        </w:tabs>
        <w:ind w:left="2880" w:hanging="360"/>
      </w:pPr>
      <w:rPr>
        <w:rFonts w:ascii="Symbol" w:hAnsi="Symbol" w:hint="default"/>
      </w:rPr>
    </w:lvl>
    <w:lvl w:ilvl="4" w:tplc="73342BE4" w:tentative="1">
      <w:start w:val="1"/>
      <w:numFmt w:val="bullet"/>
      <w:lvlText w:val="o"/>
      <w:lvlJc w:val="left"/>
      <w:pPr>
        <w:tabs>
          <w:tab w:val="num" w:pos="3600"/>
        </w:tabs>
        <w:ind w:left="3600" w:hanging="360"/>
      </w:pPr>
      <w:rPr>
        <w:rFonts w:ascii="Courier New" w:hAnsi="Courier New" w:cs="Consolas" w:hint="default"/>
      </w:rPr>
    </w:lvl>
    <w:lvl w:ilvl="5" w:tplc="21DC4B6E" w:tentative="1">
      <w:start w:val="1"/>
      <w:numFmt w:val="bullet"/>
      <w:lvlText w:val=""/>
      <w:lvlJc w:val="left"/>
      <w:pPr>
        <w:tabs>
          <w:tab w:val="num" w:pos="4320"/>
        </w:tabs>
        <w:ind w:left="4320" w:hanging="360"/>
      </w:pPr>
      <w:rPr>
        <w:rFonts w:ascii="Wingdings" w:hAnsi="Wingdings" w:hint="default"/>
      </w:rPr>
    </w:lvl>
    <w:lvl w:ilvl="6" w:tplc="350C58EE" w:tentative="1">
      <w:start w:val="1"/>
      <w:numFmt w:val="bullet"/>
      <w:lvlText w:val=""/>
      <w:lvlJc w:val="left"/>
      <w:pPr>
        <w:tabs>
          <w:tab w:val="num" w:pos="5040"/>
        </w:tabs>
        <w:ind w:left="5040" w:hanging="360"/>
      </w:pPr>
      <w:rPr>
        <w:rFonts w:ascii="Symbol" w:hAnsi="Symbol" w:hint="default"/>
      </w:rPr>
    </w:lvl>
    <w:lvl w:ilvl="7" w:tplc="39E203C6" w:tentative="1">
      <w:start w:val="1"/>
      <w:numFmt w:val="bullet"/>
      <w:lvlText w:val="o"/>
      <w:lvlJc w:val="left"/>
      <w:pPr>
        <w:tabs>
          <w:tab w:val="num" w:pos="5760"/>
        </w:tabs>
        <w:ind w:left="5760" w:hanging="360"/>
      </w:pPr>
      <w:rPr>
        <w:rFonts w:ascii="Courier New" w:hAnsi="Courier New" w:cs="Consolas" w:hint="default"/>
      </w:rPr>
    </w:lvl>
    <w:lvl w:ilvl="8" w:tplc="FE84D040" w:tentative="1">
      <w:start w:val="1"/>
      <w:numFmt w:val="bullet"/>
      <w:lvlText w:val=""/>
      <w:lvlJc w:val="left"/>
      <w:pPr>
        <w:tabs>
          <w:tab w:val="num" w:pos="6480"/>
        </w:tabs>
        <w:ind w:left="6480" w:hanging="360"/>
      </w:pPr>
      <w:rPr>
        <w:rFonts w:ascii="Wingdings" w:hAnsi="Wingdings" w:hint="default"/>
      </w:rPr>
    </w:lvl>
  </w:abstractNum>
  <w:abstractNum w:abstractNumId="44">
    <w:nsid w:val="4B1E7BCB"/>
    <w:multiLevelType w:val="hybridMultilevel"/>
    <w:tmpl w:val="2ECCB4D8"/>
    <w:lvl w:ilvl="0" w:tplc="933AA438">
      <w:start w:val="1"/>
      <w:numFmt w:val="bullet"/>
      <w:pStyle w:val="DashListLev3"/>
      <w:lvlText w:val="-"/>
      <w:lvlJc w:val="left"/>
      <w:pPr>
        <w:tabs>
          <w:tab w:val="num" w:pos="1080"/>
        </w:tabs>
        <w:ind w:left="1080" w:hanging="360"/>
      </w:pPr>
      <w:rPr>
        <w:rFonts w:ascii="Times New Roman" w:eastAsia="Times New Roman" w:hAnsi="Times New Roman" w:cs="Times New Roman" w:hint="default"/>
      </w:rPr>
    </w:lvl>
    <w:lvl w:ilvl="1" w:tplc="A19669D6" w:tentative="1">
      <w:start w:val="1"/>
      <w:numFmt w:val="bullet"/>
      <w:lvlText w:val="o"/>
      <w:lvlJc w:val="left"/>
      <w:pPr>
        <w:tabs>
          <w:tab w:val="num" w:pos="1800"/>
        </w:tabs>
        <w:ind w:left="1800" w:hanging="360"/>
      </w:pPr>
      <w:rPr>
        <w:rFonts w:ascii="Courier New" w:hAnsi="Courier New" w:cs="Arial" w:hint="default"/>
      </w:rPr>
    </w:lvl>
    <w:lvl w:ilvl="2" w:tplc="962A583A" w:tentative="1">
      <w:start w:val="1"/>
      <w:numFmt w:val="bullet"/>
      <w:lvlText w:val=""/>
      <w:lvlJc w:val="left"/>
      <w:pPr>
        <w:tabs>
          <w:tab w:val="num" w:pos="2520"/>
        </w:tabs>
        <w:ind w:left="2520" w:hanging="360"/>
      </w:pPr>
      <w:rPr>
        <w:rFonts w:ascii="Wingdings" w:hAnsi="Wingdings" w:hint="default"/>
      </w:rPr>
    </w:lvl>
    <w:lvl w:ilvl="3" w:tplc="0B3EBCF8" w:tentative="1">
      <w:start w:val="1"/>
      <w:numFmt w:val="bullet"/>
      <w:lvlText w:val=""/>
      <w:lvlJc w:val="left"/>
      <w:pPr>
        <w:tabs>
          <w:tab w:val="num" w:pos="3240"/>
        </w:tabs>
        <w:ind w:left="3240" w:hanging="360"/>
      </w:pPr>
      <w:rPr>
        <w:rFonts w:ascii="Symbol" w:hAnsi="Symbol" w:hint="default"/>
      </w:rPr>
    </w:lvl>
    <w:lvl w:ilvl="4" w:tplc="1714CF22" w:tentative="1">
      <w:start w:val="1"/>
      <w:numFmt w:val="bullet"/>
      <w:lvlText w:val="o"/>
      <w:lvlJc w:val="left"/>
      <w:pPr>
        <w:tabs>
          <w:tab w:val="num" w:pos="3960"/>
        </w:tabs>
        <w:ind w:left="3960" w:hanging="360"/>
      </w:pPr>
      <w:rPr>
        <w:rFonts w:ascii="Courier New" w:hAnsi="Courier New" w:cs="Arial" w:hint="default"/>
      </w:rPr>
    </w:lvl>
    <w:lvl w:ilvl="5" w:tplc="D6864FF4" w:tentative="1">
      <w:start w:val="1"/>
      <w:numFmt w:val="bullet"/>
      <w:lvlText w:val=""/>
      <w:lvlJc w:val="left"/>
      <w:pPr>
        <w:tabs>
          <w:tab w:val="num" w:pos="4680"/>
        </w:tabs>
        <w:ind w:left="4680" w:hanging="360"/>
      </w:pPr>
      <w:rPr>
        <w:rFonts w:ascii="Wingdings" w:hAnsi="Wingdings" w:hint="default"/>
      </w:rPr>
    </w:lvl>
    <w:lvl w:ilvl="6" w:tplc="AB82342E" w:tentative="1">
      <w:start w:val="1"/>
      <w:numFmt w:val="bullet"/>
      <w:lvlText w:val=""/>
      <w:lvlJc w:val="left"/>
      <w:pPr>
        <w:tabs>
          <w:tab w:val="num" w:pos="5400"/>
        </w:tabs>
        <w:ind w:left="5400" w:hanging="360"/>
      </w:pPr>
      <w:rPr>
        <w:rFonts w:ascii="Symbol" w:hAnsi="Symbol" w:hint="default"/>
      </w:rPr>
    </w:lvl>
    <w:lvl w:ilvl="7" w:tplc="14067868" w:tentative="1">
      <w:start w:val="1"/>
      <w:numFmt w:val="bullet"/>
      <w:lvlText w:val="o"/>
      <w:lvlJc w:val="left"/>
      <w:pPr>
        <w:tabs>
          <w:tab w:val="num" w:pos="6120"/>
        </w:tabs>
        <w:ind w:left="6120" w:hanging="360"/>
      </w:pPr>
      <w:rPr>
        <w:rFonts w:ascii="Courier New" w:hAnsi="Courier New" w:cs="Arial" w:hint="default"/>
      </w:rPr>
    </w:lvl>
    <w:lvl w:ilvl="8" w:tplc="C338E22E" w:tentative="1">
      <w:start w:val="1"/>
      <w:numFmt w:val="bullet"/>
      <w:lvlText w:val=""/>
      <w:lvlJc w:val="left"/>
      <w:pPr>
        <w:tabs>
          <w:tab w:val="num" w:pos="6840"/>
        </w:tabs>
        <w:ind w:left="6840" w:hanging="360"/>
      </w:pPr>
      <w:rPr>
        <w:rFonts w:ascii="Wingdings" w:hAnsi="Wingdings" w:hint="default"/>
      </w:rPr>
    </w:lvl>
  </w:abstractNum>
  <w:abstractNum w:abstractNumId="45">
    <w:nsid w:val="4E166811"/>
    <w:multiLevelType w:val="hybridMultilevel"/>
    <w:tmpl w:val="78E4687C"/>
    <w:lvl w:ilvl="0" w:tplc="2A2A1BC6">
      <w:start w:val="2"/>
      <w:numFmt w:val="lowerLetter"/>
      <w:pStyle w:val="IPPAnnexHeadAppendix"/>
      <w:lvlText w:val="(%1)"/>
      <w:lvlJc w:val="left"/>
      <w:pPr>
        <w:tabs>
          <w:tab w:val="num" w:pos="1080"/>
        </w:tabs>
        <w:ind w:left="1080" w:hanging="720"/>
      </w:pPr>
      <w:rPr>
        <w:rFonts w:hint="default"/>
      </w:rPr>
    </w:lvl>
    <w:lvl w:ilvl="1" w:tplc="BEBCB278" w:tentative="1">
      <w:start w:val="1"/>
      <w:numFmt w:val="lowerLetter"/>
      <w:lvlText w:val="%2."/>
      <w:lvlJc w:val="left"/>
      <w:pPr>
        <w:tabs>
          <w:tab w:val="num" w:pos="1440"/>
        </w:tabs>
        <w:ind w:left="1440" w:hanging="360"/>
      </w:pPr>
    </w:lvl>
    <w:lvl w:ilvl="2" w:tplc="22B83E10" w:tentative="1">
      <w:start w:val="1"/>
      <w:numFmt w:val="lowerRoman"/>
      <w:lvlText w:val="%3."/>
      <w:lvlJc w:val="right"/>
      <w:pPr>
        <w:tabs>
          <w:tab w:val="num" w:pos="2160"/>
        </w:tabs>
        <w:ind w:left="2160" w:hanging="180"/>
      </w:pPr>
    </w:lvl>
    <w:lvl w:ilvl="3" w:tplc="76A2A9C2" w:tentative="1">
      <w:start w:val="1"/>
      <w:numFmt w:val="decimal"/>
      <w:lvlText w:val="%4."/>
      <w:lvlJc w:val="left"/>
      <w:pPr>
        <w:tabs>
          <w:tab w:val="num" w:pos="2880"/>
        </w:tabs>
        <w:ind w:left="2880" w:hanging="360"/>
      </w:pPr>
    </w:lvl>
    <w:lvl w:ilvl="4" w:tplc="FBF6C78C" w:tentative="1">
      <w:start w:val="1"/>
      <w:numFmt w:val="lowerLetter"/>
      <w:lvlText w:val="%5."/>
      <w:lvlJc w:val="left"/>
      <w:pPr>
        <w:tabs>
          <w:tab w:val="num" w:pos="3600"/>
        </w:tabs>
        <w:ind w:left="3600" w:hanging="360"/>
      </w:pPr>
    </w:lvl>
    <w:lvl w:ilvl="5" w:tplc="E23A710C" w:tentative="1">
      <w:start w:val="1"/>
      <w:numFmt w:val="lowerRoman"/>
      <w:lvlText w:val="%6."/>
      <w:lvlJc w:val="right"/>
      <w:pPr>
        <w:tabs>
          <w:tab w:val="num" w:pos="4320"/>
        </w:tabs>
        <w:ind w:left="4320" w:hanging="180"/>
      </w:pPr>
    </w:lvl>
    <w:lvl w:ilvl="6" w:tplc="615A0DEC" w:tentative="1">
      <w:start w:val="1"/>
      <w:numFmt w:val="decimal"/>
      <w:lvlText w:val="%7."/>
      <w:lvlJc w:val="left"/>
      <w:pPr>
        <w:tabs>
          <w:tab w:val="num" w:pos="5040"/>
        </w:tabs>
        <w:ind w:left="5040" w:hanging="360"/>
      </w:pPr>
    </w:lvl>
    <w:lvl w:ilvl="7" w:tplc="9D8ED22C" w:tentative="1">
      <w:start w:val="1"/>
      <w:numFmt w:val="lowerLetter"/>
      <w:lvlText w:val="%8."/>
      <w:lvlJc w:val="left"/>
      <w:pPr>
        <w:tabs>
          <w:tab w:val="num" w:pos="5760"/>
        </w:tabs>
        <w:ind w:left="5760" w:hanging="360"/>
      </w:pPr>
    </w:lvl>
    <w:lvl w:ilvl="8" w:tplc="990C0C12" w:tentative="1">
      <w:start w:val="1"/>
      <w:numFmt w:val="lowerRoman"/>
      <w:lvlText w:val="%9."/>
      <w:lvlJc w:val="right"/>
      <w:pPr>
        <w:tabs>
          <w:tab w:val="num" w:pos="6480"/>
        </w:tabs>
        <w:ind w:left="6480" w:hanging="180"/>
      </w:pPr>
    </w:lvl>
  </w:abstractNum>
  <w:abstractNum w:abstractNumId="46">
    <w:nsid w:val="4EBD6056"/>
    <w:multiLevelType w:val="singleLevel"/>
    <w:tmpl w:val="22D82B4C"/>
    <w:lvl w:ilvl="0">
      <w:start w:val="1"/>
      <w:numFmt w:val="lowerRoman"/>
      <w:pStyle w:val="Paralevel3"/>
      <w:lvlText w:val="(%1)"/>
      <w:lvlJc w:val="left"/>
      <w:pPr>
        <w:tabs>
          <w:tab w:val="num" w:pos="2892"/>
        </w:tabs>
        <w:ind w:left="2892" w:hanging="579"/>
      </w:pPr>
      <w:rPr>
        <w:rFonts w:hint="default"/>
      </w:rPr>
    </w:lvl>
  </w:abstractNum>
  <w:abstractNum w:abstractNumId="47">
    <w:nsid w:val="51F3281C"/>
    <w:multiLevelType w:val="multilevel"/>
    <w:tmpl w:val="CFFC9744"/>
    <w:lvl w:ilvl="0">
      <w:start w:val="1"/>
      <w:numFmt w:val="decimal"/>
      <w:pStyle w:val="CM33"/>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8">
    <w:nsid w:val="524C0556"/>
    <w:multiLevelType w:val="hybridMultilevel"/>
    <w:tmpl w:val="3E5E0838"/>
    <w:lvl w:ilvl="0" w:tplc="08090001">
      <w:start w:val="1"/>
      <w:numFmt w:val="bullet"/>
      <w:lvlText w:val=""/>
      <w:lvlJc w:val="left"/>
      <w:pPr>
        <w:ind w:left="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49">
    <w:nsid w:val="52664ECE"/>
    <w:multiLevelType w:val="hybridMultilevel"/>
    <w:tmpl w:val="002E4BB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nsid w:val="55902A4A"/>
    <w:multiLevelType w:val="hybridMultilevel"/>
    <w:tmpl w:val="D534D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6D9100B"/>
    <w:multiLevelType w:val="multilevel"/>
    <w:tmpl w:val="7834EB9A"/>
    <w:lvl w:ilvl="0">
      <w:start w:val="1"/>
      <w:numFmt w:val="lowerLetter"/>
      <w:pStyle w:val="CH4"/>
      <w:lvlText w:val="(%1)"/>
      <w:lvlJc w:val="left"/>
      <w:pPr>
        <w:tabs>
          <w:tab w:val="num" w:pos="0"/>
        </w:tabs>
        <w:ind w:left="578" w:firstLine="0"/>
      </w:pPr>
      <w:rPr>
        <w:rFonts w:ascii="Times New Roman" w:hAnsi="Times New Roman" w:hint="default"/>
        <w:b/>
        <w:i w:val="0"/>
        <w:sz w:val="20"/>
        <w:szCs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2">
    <w:nsid w:val="576466B0"/>
    <w:multiLevelType w:val="singleLevel"/>
    <w:tmpl w:val="04090001"/>
    <w:lvl w:ilvl="0">
      <w:start w:val="1"/>
      <w:numFmt w:val="bullet"/>
      <w:pStyle w:val="Smallbullet"/>
      <w:lvlText w:val=""/>
      <w:lvlJc w:val="left"/>
      <w:pPr>
        <w:tabs>
          <w:tab w:val="num" w:pos="360"/>
        </w:tabs>
        <w:ind w:left="360" w:hanging="360"/>
      </w:pPr>
      <w:rPr>
        <w:rFonts w:ascii="Symbol" w:hAnsi="Symbol" w:hint="default"/>
      </w:rPr>
    </w:lvl>
  </w:abstractNum>
  <w:abstractNum w:abstractNumId="53">
    <w:nsid w:val="58C5440B"/>
    <w:multiLevelType w:val="hybridMultilevel"/>
    <w:tmpl w:val="1B42352C"/>
    <w:lvl w:ilvl="0" w:tplc="18CA3E2A">
      <w:start w:val="1"/>
      <w:numFmt w:val="lowerRoman"/>
      <w:pStyle w:val="IPPLetterList"/>
      <w:lvlText w:val="%1."/>
      <w:lvlJc w:val="right"/>
      <w:pPr>
        <w:tabs>
          <w:tab w:val="num" w:pos="120"/>
        </w:tabs>
        <w:ind w:left="120" w:hanging="180"/>
      </w:pPr>
      <w:rPr>
        <w:rFonts w:hint="default"/>
      </w:rPr>
    </w:lvl>
    <w:lvl w:ilvl="1" w:tplc="330E0B74" w:tentative="1">
      <w:start w:val="1"/>
      <w:numFmt w:val="lowerLetter"/>
      <w:lvlText w:val="%2."/>
      <w:lvlJc w:val="left"/>
      <w:pPr>
        <w:tabs>
          <w:tab w:val="num" w:pos="840"/>
        </w:tabs>
        <w:ind w:left="840" w:hanging="360"/>
      </w:pPr>
    </w:lvl>
    <w:lvl w:ilvl="2" w:tplc="9AE834D4" w:tentative="1">
      <w:start w:val="1"/>
      <w:numFmt w:val="lowerRoman"/>
      <w:lvlText w:val="%3."/>
      <w:lvlJc w:val="right"/>
      <w:pPr>
        <w:tabs>
          <w:tab w:val="num" w:pos="1560"/>
        </w:tabs>
        <w:ind w:left="1560" w:hanging="180"/>
      </w:pPr>
    </w:lvl>
    <w:lvl w:ilvl="3" w:tplc="FB3608D2" w:tentative="1">
      <w:start w:val="1"/>
      <w:numFmt w:val="decimal"/>
      <w:lvlText w:val="%4."/>
      <w:lvlJc w:val="left"/>
      <w:pPr>
        <w:tabs>
          <w:tab w:val="num" w:pos="2280"/>
        </w:tabs>
        <w:ind w:left="2280" w:hanging="360"/>
      </w:pPr>
    </w:lvl>
    <w:lvl w:ilvl="4" w:tplc="B59CC228" w:tentative="1">
      <w:start w:val="1"/>
      <w:numFmt w:val="lowerLetter"/>
      <w:lvlText w:val="%5."/>
      <w:lvlJc w:val="left"/>
      <w:pPr>
        <w:tabs>
          <w:tab w:val="num" w:pos="3000"/>
        </w:tabs>
        <w:ind w:left="3000" w:hanging="360"/>
      </w:pPr>
    </w:lvl>
    <w:lvl w:ilvl="5" w:tplc="1974BD16" w:tentative="1">
      <w:start w:val="1"/>
      <w:numFmt w:val="lowerRoman"/>
      <w:lvlText w:val="%6."/>
      <w:lvlJc w:val="right"/>
      <w:pPr>
        <w:tabs>
          <w:tab w:val="num" w:pos="3720"/>
        </w:tabs>
        <w:ind w:left="3720" w:hanging="180"/>
      </w:pPr>
    </w:lvl>
    <w:lvl w:ilvl="6" w:tplc="AF3AC2D0" w:tentative="1">
      <w:start w:val="1"/>
      <w:numFmt w:val="decimal"/>
      <w:lvlText w:val="%7."/>
      <w:lvlJc w:val="left"/>
      <w:pPr>
        <w:tabs>
          <w:tab w:val="num" w:pos="4440"/>
        </w:tabs>
        <w:ind w:left="4440" w:hanging="360"/>
      </w:pPr>
    </w:lvl>
    <w:lvl w:ilvl="7" w:tplc="26120416" w:tentative="1">
      <w:start w:val="1"/>
      <w:numFmt w:val="lowerLetter"/>
      <w:lvlText w:val="%8."/>
      <w:lvlJc w:val="left"/>
      <w:pPr>
        <w:tabs>
          <w:tab w:val="num" w:pos="5160"/>
        </w:tabs>
        <w:ind w:left="5160" w:hanging="360"/>
      </w:pPr>
    </w:lvl>
    <w:lvl w:ilvl="8" w:tplc="4222A73E" w:tentative="1">
      <w:start w:val="1"/>
      <w:numFmt w:val="lowerRoman"/>
      <w:lvlText w:val="%9."/>
      <w:lvlJc w:val="right"/>
      <w:pPr>
        <w:tabs>
          <w:tab w:val="num" w:pos="5880"/>
        </w:tabs>
        <w:ind w:left="5880" w:hanging="180"/>
      </w:pPr>
    </w:lvl>
  </w:abstractNum>
  <w:abstractNum w:abstractNumId="54">
    <w:nsid w:val="597D5FBF"/>
    <w:multiLevelType w:val="hybridMultilevel"/>
    <w:tmpl w:val="4DAADB14"/>
    <w:lvl w:ilvl="0" w:tplc="FD44A6A4">
      <w:start w:val="2006"/>
      <w:numFmt w:val="bullet"/>
      <w:pStyle w:val="DashListLev2"/>
      <w:lvlText w:val="-"/>
      <w:lvlJc w:val="left"/>
      <w:pPr>
        <w:tabs>
          <w:tab w:val="num" w:pos="1080"/>
        </w:tabs>
        <w:ind w:left="1080" w:hanging="360"/>
      </w:pPr>
      <w:rPr>
        <w:rFonts w:ascii="Times New Roman" w:eastAsia="Times New Roman" w:hAnsi="Times New Roman" w:cs="Times New Roman" w:hint="default"/>
      </w:rPr>
    </w:lvl>
    <w:lvl w:ilvl="1" w:tplc="84DA32D6" w:tentative="1">
      <w:start w:val="1"/>
      <w:numFmt w:val="bullet"/>
      <w:lvlText w:val="o"/>
      <w:lvlJc w:val="left"/>
      <w:pPr>
        <w:tabs>
          <w:tab w:val="num" w:pos="1800"/>
        </w:tabs>
        <w:ind w:left="1800" w:hanging="360"/>
      </w:pPr>
      <w:rPr>
        <w:rFonts w:ascii="Courier New" w:hAnsi="Courier New" w:cs="Arial" w:hint="default"/>
      </w:rPr>
    </w:lvl>
    <w:lvl w:ilvl="2" w:tplc="945E661C" w:tentative="1">
      <w:start w:val="1"/>
      <w:numFmt w:val="bullet"/>
      <w:lvlText w:val=""/>
      <w:lvlJc w:val="left"/>
      <w:pPr>
        <w:tabs>
          <w:tab w:val="num" w:pos="2520"/>
        </w:tabs>
        <w:ind w:left="2520" w:hanging="360"/>
      </w:pPr>
      <w:rPr>
        <w:rFonts w:ascii="Wingdings" w:hAnsi="Wingdings" w:hint="default"/>
      </w:rPr>
    </w:lvl>
    <w:lvl w:ilvl="3" w:tplc="D6C84350" w:tentative="1">
      <w:start w:val="1"/>
      <w:numFmt w:val="bullet"/>
      <w:lvlText w:val=""/>
      <w:lvlJc w:val="left"/>
      <w:pPr>
        <w:tabs>
          <w:tab w:val="num" w:pos="3240"/>
        </w:tabs>
        <w:ind w:left="3240" w:hanging="360"/>
      </w:pPr>
      <w:rPr>
        <w:rFonts w:ascii="Symbol" w:hAnsi="Symbol" w:hint="default"/>
      </w:rPr>
    </w:lvl>
    <w:lvl w:ilvl="4" w:tplc="D2B2B734" w:tentative="1">
      <w:start w:val="1"/>
      <w:numFmt w:val="bullet"/>
      <w:lvlText w:val="o"/>
      <w:lvlJc w:val="left"/>
      <w:pPr>
        <w:tabs>
          <w:tab w:val="num" w:pos="3960"/>
        </w:tabs>
        <w:ind w:left="3960" w:hanging="360"/>
      </w:pPr>
      <w:rPr>
        <w:rFonts w:ascii="Courier New" w:hAnsi="Courier New" w:cs="Arial" w:hint="default"/>
      </w:rPr>
    </w:lvl>
    <w:lvl w:ilvl="5" w:tplc="E42C028A" w:tentative="1">
      <w:start w:val="1"/>
      <w:numFmt w:val="bullet"/>
      <w:lvlText w:val=""/>
      <w:lvlJc w:val="left"/>
      <w:pPr>
        <w:tabs>
          <w:tab w:val="num" w:pos="4680"/>
        </w:tabs>
        <w:ind w:left="4680" w:hanging="360"/>
      </w:pPr>
      <w:rPr>
        <w:rFonts w:ascii="Wingdings" w:hAnsi="Wingdings" w:hint="default"/>
      </w:rPr>
    </w:lvl>
    <w:lvl w:ilvl="6" w:tplc="A1BACDD2" w:tentative="1">
      <w:start w:val="1"/>
      <w:numFmt w:val="bullet"/>
      <w:lvlText w:val=""/>
      <w:lvlJc w:val="left"/>
      <w:pPr>
        <w:tabs>
          <w:tab w:val="num" w:pos="5400"/>
        </w:tabs>
        <w:ind w:left="5400" w:hanging="360"/>
      </w:pPr>
      <w:rPr>
        <w:rFonts w:ascii="Symbol" w:hAnsi="Symbol" w:hint="default"/>
      </w:rPr>
    </w:lvl>
    <w:lvl w:ilvl="7" w:tplc="883AA312" w:tentative="1">
      <w:start w:val="1"/>
      <w:numFmt w:val="bullet"/>
      <w:lvlText w:val="o"/>
      <w:lvlJc w:val="left"/>
      <w:pPr>
        <w:tabs>
          <w:tab w:val="num" w:pos="6120"/>
        </w:tabs>
        <w:ind w:left="6120" w:hanging="360"/>
      </w:pPr>
      <w:rPr>
        <w:rFonts w:ascii="Courier New" w:hAnsi="Courier New" w:cs="Arial" w:hint="default"/>
      </w:rPr>
    </w:lvl>
    <w:lvl w:ilvl="8" w:tplc="76FAF8F6" w:tentative="1">
      <w:start w:val="1"/>
      <w:numFmt w:val="bullet"/>
      <w:lvlText w:val=""/>
      <w:lvlJc w:val="left"/>
      <w:pPr>
        <w:tabs>
          <w:tab w:val="num" w:pos="6840"/>
        </w:tabs>
        <w:ind w:left="6840" w:hanging="360"/>
      </w:pPr>
      <w:rPr>
        <w:rFonts w:ascii="Wingdings" w:hAnsi="Wingdings" w:hint="default"/>
      </w:rPr>
    </w:lvl>
  </w:abstractNum>
  <w:abstractNum w:abstractNumId="55">
    <w:nsid w:val="5B28641D"/>
    <w:multiLevelType w:val="multilevel"/>
    <w:tmpl w:val="C504C638"/>
    <w:lvl w:ilvl="0">
      <w:start w:val="1"/>
      <w:numFmt w:val="bullet"/>
      <w:pStyle w:val="RandListLev1"/>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56">
    <w:nsid w:val="5B870576"/>
    <w:multiLevelType w:val="hybridMultilevel"/>
    <w:tmpl w:val="6EECA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B8D7EDF"/>
    <w:multiLevelType w:val="hybridMultilevel"/>
    <w:tmpl w:val="F976A6C2"/>
    <w:lvl w:ilvl="0" w:tplc="681ECAC2">
      <w:start w:val="1"/>
      <w:numFmt w:val="bullet"/>
      <w:pStyle w:val="IPPNumberedListLast"/>
      <w:lvlText w:val=""/>
      <w:lvlJc w:val="left"/>
      <w:pPr>
        <w:tabs>
          <w:tab w:val="num" w:pos="765"/>
        </w:tabs>
        <w:ind w:left="765" w:hanging="360"/>
      </w:pPr>
      <w:rPr>
        <w:rFonts w:ascii="Wingdings" w:hAnsi="Wingdings" w:hint="default"/>
      </w:rPr>
    </w:lvl>
    <w:lvl w:ilvl="1" w:tplc="FD487CA0" w:tentative="1">
      <w:start w:val="1"/>
      <w:numFmt w:val="bullet"/>
      <w:lvlText w:val="o"/>
      <w:lvlJc w:val="left"/>
      <w:pPr>
        <w:tabs>
          <w:tab w:val="num" w:pos="1485"/>
        </w:tabs>
        <w:ind w:left="1485" w:hanging="360"/>
      </w:pPr>
      <w:rPr>
        <w:rFonts w:ascii="Courier New" w:hAnsi="Courier New" w:cs="MS Gothic" w:hint="default"/>
      </w:rPr>
    </w:lvl>
    <w:lvl w:ilvl="2" w:tplc="655E490A" w:tentative="1">
      <w:start w:val="1"/>
      <w:numFmt w:val="bullet"/>
      <w:lvlText w:val=""/>
      <w:lvlJc w:val="left"/>
      <w:pPr>
        <w:tabs>
          <w:tab w:val="num" w:pos="2205"/>
        </w:tabs>
        <w:ind w:left="2205" w:hanging="360"/>
      </w:pPr>
      <w:rPr>
        <w:rFonts w:ascii="Wingdings" w:hAnsi="Wingdings" w:hint="default"/>
      </w:rPr>
    </w:lvl>
    <w:lvl w:ilvl="3" w:tplc="8C8E9480" w:tentative="1">
      <w:start w:val="1"/>
      <w:numFmt w:val="bullet"/>
      <w:lvlText w:val=""/>
      <w:lvlJc w:val="left"/>
      <w:pPr>
        <w:tabs>
          <w:tab w:val="num" w:pos="2925"/>
        </w:tabs>
        <w:ind w:left="2925" w:hanging="360"/>
      </w:pPr>
      <w:rPr>
        <w:rFonts w:ascii="Symbol" w:hAnsi="Symbol" w:hint="default"/>
      </w:rPr>
    </w:lvl>
    <w:lvl w:ilvl="4" w:tplc="70C6F768" w:tentative="1">
      <w:start w:val="1"/>
      <w:numFmt w:val="bullet"/>
      <w:lvlText w:val="o"/>
      <w:lvlJc w:val="left"/>
      <w:pPr>
        <w:tabs>
          <w:tab w:val="num" w:pos="3645"/>
        </w:tabs>
        <w:ind w:left="3645" w:hanging="360"/>
      </w:pPr>
      <w:rPr>
        <w:rFonts w:ascii="Courier New" w:hAnsi="Courier New" w:cs="MS Gothic" w:hint="default"/>
      </w:rPr>
    </w:lvl>
    <w:lvl w:ilvl="5" w:tplc="ED7E8A32" w:tentative="1">
      <w:start w:val="1"/>
      <w:numFmt w:val="bullet"/>
      <w:lvlText w:val=""/>
      <w:lvlJc w:val="left"/>
      <w:pPr>
        <w:tabs>
          <w:tab w:val="num" w:pos="4365"/>
        </w:tabs>
        <w:ind w:left="4365" w:hanging="360"/>
      </w:pPr>
      <w:rPr>
        <w:rFonts w:ascii="Wingdings" w:hAnsi="Wingdings" w:hint="default"/>
      </w:rPr>
    </w:lvl>
    <w:lvl w:ilvl="6" w:tplc="19E018E8" w:tentative="1">
      <w:start w:val="1"/>
      <w:numFmt w:val="bullet"/>
      <w:lvlText w:val=""/>
      <w:lvlJc w:val="left"/>
      <w:pPr>
        <w:tabs>
          <w:tab w:val="num" w:pos="5085"/>
        </w:tabs>
        <w:ind w:left="5085" w:hanging="360"/>
      </w:pPr>
      <w:rPr>
        <w:rFonts w:ascii="Symbol" w:hAnsi="Symbol" w:hint="default"/>
      </w:rPr>
    </w:lvl>
    <w:lvl w:ilvl="7" w:tplc="FE523592" w:tentative="1">
      <w:start w:val="1"/>
      <w:numFmt w:val="bullet"/>
      <w:lvlText w:val="o"/>
      <w:lvlJc w:val="left"/>
      <w:pPr>
        <w:tabs>
          <w:tab w:val="num" w:pos="5805"/>
        </w:tabs>
        <w:ind w:left="5805" w:hanging="360"/>
      </w:pPr>
      <w:rPr>
        <w:rFonts w:ascii="Courier New" w:hAnsi="Courier New" w:cs="MS Gothic" w:hint="default"/>
      </w:rPr>
    </w:lvl>
    <w:lvl w:ilvl="8" w:tplc="8C006F8C" w:tentative="1">
      <w:start w:val="1"/>
      <w:numFmt w:val="bullet"/>
      <w:lvlText w:val=""/>
      <w:lvlJc w:val="left"/>
      <w:pPr>
        <w:tabs>
          <w:tab w:val="num" w:pos="6525"/>
        </w:tabs>
        <w:ind w:left="6525" w:hanging="360"/>
      </w:pPr>
      <w:rPr>
        <w:rFonts w:ascii="Wingdings" w:hAnsi="Wingdings" w:hint="default"/>
      </w:rPr>
    </w:lvl>
  </w:abstractNum>
  <w:abstractNum w:abstractNumId="58">
    <w:nsid w:val="5E70440A"/>
    <w:multiLevelType w:val="hybridMultilevel"/>
    <w:tmpl w:val="034E3442"/>
    <w:lvl w:ilvl="0" w:tplc="1BC49250">
      <w:start w:val="1"/>
      <w:numFmt w:val="decimal"/>
      <w:pStyle w:val="IPPNormal"/>
      <w:lvlText w:val="%1."/>
      <w:lvlJc w:val="left"/>
      <w:pPr>
        <w:tabs>
          <w:tab w:val="num" w:pos="720"/>
        </w:tabs>
        <w:ind w:left="720" w:hanging="360"/>
      </w:pPr>
    </w:lvl>
    <w:lvl w:ilvl="1" w:tplc="94E0F534" w:tentative="1">
      <w:start w:val="1"/>
      <w:numFmt w:val="lowerLetter"/>
      <w:lvlText w:val="%2."/>
      <w:lvlJc w:val="left"/>
      <w:pPr>
        <w:tabs>
          <w:tab w:val="num" w:pos="1440"/>
        </w:tabs>
        <w:ind w:left="1440" w:hanging="360"/>
      </w:pPr>
    </w:lvl>
    <w:lvl w:ilvl="2" w:tplc="871807C6" w:tentative="1">
      <w:start w:val="1"/>
      <w:numFmt w:val="lowerRoman"/>
      <w:lvlText w:val="%3."/>
      <w:lvlJc w:val="right"/>
      <w:pPr>
        <w:tabs>
          <w:tab w:val="num" w:pos="2160"/>
        </w:tabs>
        <w:ind w:left="2160" w:hanging="180"/>
      </w:pPr>
    </w:lvl>
    <w:lvl w:ilvl="3" w:tplc="AA2E4ABA" w:tentative="1">
      <w:start w:val="1"/>
      <w:numFmt w:val="decimal"/>
      <w:lvlText w:val="%4."/>
      <w:lvlJc w:val="left"/>
      <w:pPr>
        <w:tabs>
          <w:tab w:val="num" w:pos="2880"/>
        </w:tabs>
        <w:ind w:left="2880" w:hanging="360"/>
      </w:pPr>
    </w:lvl>
    <w:lvl w:ilvl="4" w:tplc="3CB65DD4" w:tentative="1">
      <w:start w:val="1"/>
      <w:numFmt w:val="lowerLetter"/>
      <w:lvlText w:val="%5."/>
      <w:lvlJc w:val="left"/>
      <w:pPr>
        <w:tabs>
          <w:tab w:val="num" w:pos="3600"/>
        </w:tabs>
        <w:ind w:left="3600" w:hanging="360"/>
      </w:pPr>
    </w:lvl>
    <w:lvl w:ilvl="5" w:tplc="E158B12A" w:tentative="1">
      <w:start w:val="1"/>
      <w:numFmt w:val="lowerRoman"/>
      <w:lvlText w:val="%6."/>
      <w:lvlJc w:val="right"/>
      <w:pPr>
        <w:tabs>
          <w:tab w:val="num" w:pos="4320"/>
        </w:tabs>
        <w:ind w:left="4320" w:hanging="180"/>
      </w:pPr>
    </w:lvl>
    <w:lvl w:ilvl="6" w:tplc="223260AE" w:tentative="1">
      <w:start w:val="1"/>
      <w:numFmt w:val="decimal"/>
      <w:lvlText w:val="%7."/>
      <w:lvlJc w:val="left"/>
      <w:pPr>
        <w:tabs>
          <w:tab w:val="num" w:pos="5040"/>
        </w:tabs>
        <w:ind w:left="5040" w:hanging="360"/>
      </w:pPr>
    </w:lvl>
    <w:lvl w:ilvl="7" w:tplc="911E922E" w:tentative="1">
      <w:start w:val="1"/>
      <w:numFmt w:val="lowerLetter"/>
      <w:lvlText w:val="%8."/>
      <w:lvlJc w:val="left"/>
      <w:pPr>
        <w:tabs>
          <w:tab w:val="num" w:pos="5760"/>
        </w:tabs>
        <w:ind w:left="5760" w:hanging="360"/>
      </w:pPr>
    </w:lvl>
    <w:lvl w:ilvl="8" w:tplc="831C4494" w:tentative="1">
      <w:start w:val="1"/>
      <w:numFmt w:val="lowerRoman"/>
      <w:lvlText w:val="%9."/>
      <w:lvlJc w:val="right"/>
      <w:pPr>
        <w:tabs>
          <w:tab w:val="num" w:pos="6480"/>
        </w:tabs>
        <w:ind w:left="6480" w:hanging="180"/>
      </w:pPr>
    </w:lvl>
  </w:abstractNum>
  <w:abstractNum w:abstractNumId="59">
    <w:nsid w:val="605B5305"/>
    <w:multiLevelType w:val="hybridMultilevel"/>
    <w:tmpl w:val="5394D204"/>
    <w:lvl w:ilvl="0" w:tplc="5E66DE9E">
      <w:start w:val="1"/>
      <w:numFmt w:val="decimal"/>
      <w:pStyle w:val="Paranumbered"/>
      <w:lvlText w:val="%1."/>
      <w:lvlJc w:val="left"/>
      <w:pPr>
        <w:tabs>
          <w:tab w:val="num" w:pos="720"/>
        </w:tabs>
        <w:ind w:left="720" w:hanging="720"/>
      </w:pPr>
      <w:rPr>
        <w:rFonts w:hint="default"/>
      </w:rPr>
    </w:lvl>
    <w:lvl w:ilvl="1" w:tplc="18AA76F4">
      <w:start w:val="1"/>
      <w:numFmt w:val="lowerLetter"/>
      <w:lvlText w:val="%2."/>
      <w:lvlJc w:val="left"/>
      <w:pPr>
        <w:tabs>
          <w:tab w:val="num" w:pos="1440"/>
        </w:tabs>
        <w:ind w:left="1440" w:hanging="360"/>
      </w:pPr>
    </w:lvl>
    <w:lvl w:ilvl="2" w:tplc="CDC21372">
      <w:start w:val="1"/>
      <w:numFmt w:val="lowerRoman"/>
      <w:lvlText w:val="%3."/>
      <w:lvlJc w:val="right"/>
      <w:pPr>
        <w:tabs>
          <w:tab w:val="num" w:pos="2160"/>
        </w:tabs>
        <w:ind w:left="2160" w:hanging="180"/>
      </w:pPr>
    </w:lvl>
    <w:lvl w:ilvl="3" w:tplc="79262EEA">
      <w:start w:val="1"/>
      <w:numFmt w:val="decimal"/>
      <w:lvlText w:val="%4."/>
      <w:lvlJc w:val="left"/>
      <w:pPr>
        <w:tabs>
          <w:tab w:val="num" w:pos="2880"/>
        </w:tabs>
        <w:ind w:left="2880" w:hanging="360"/>
      </w:pPr>
    </w:lvl>
    <w:lvl w:ilvl="4" w:tplc="1D48B888">
      <w:start w:val="1"/>
      <w:numFmt w:val="lowerLetter"/>
      <w:lvlText w:val="%5."/>
      <w:lvlJc w:val="left"/>
      <w:pPr>
        <w:tabs>
          <w:tab w:val="num" w:pos="3600"/>
        </w:tabs>
        <w:ind w:left="3600" w:hanging="360"/>
      </w:pPr>
    </w:lvl>
    <w:lvl w:ilvl="5" w:tplc="BE30C18E">
      <w:start w:val="1"/>
      <w:numFmt w:val="lowerRoman"/>
      <w:lvlText w:val="%6."/>
      <w:lvlJc w:val="right"/>
      <w:pPr>
        <w:tabs>
          <w:tab w:val="num" w:pos="4320"/>
        </w:tabs>
        <w:ind w:left="4320" w:hanging="180"/>
      </w:pPr>
    </w:lvl>
    <w:lvl w:ilvl="6" w:tplc="EEFE24EA">
      <w:start w:val="1"/>
      <w:numFmt w:val="decimal"/>
      <w:lvlText w:val="%7."/>
      <w:lvlJc w:val="left"/>
      <w:pPr>
        <w:tabs>
          <w:tab w:val="num" w:pos="5040"/>
        </w:tabs>
        <w:ind w:left="5040" w:hanging="360"/>
      </w:pPr>
    </w:lvl>
    <w:lvl w:ilvl="7" w:tplc="8E909338">
      <w:start w:val="1"/>
      <w:numFmt w:val="lowerLetter"/>
      <w:lvlText w:val="%8."/>
      <w:lvlJc w:val="left"/>
      <w:pPr>
        <w:tabs>
          <w:tab w:val="num" w:pos="5760"/>
        </w:tabs>
        <w:ind w:left="5760" w:hanging="360"/>
      </w:pPr>
    </w:lvl>
    <w:lvl w:ilvl="8" w:tplc="664E46A0">
      <w:start w:val="1"/>
      <w:numFmt w:val="lowerRoman"/>
      <w:lvlText w:val="%9."/>
      <w:lvlJc w:val="right"/>
      <w:pPr>
        <w:tabs>
          <w:tab w:val="num" w:pos="6480"/>
        </w:tabs>
        <w:ind w:left="6480" w:hanging="180"/>
      </w:pPr>
    </w:lvl>
  </w:abstractNum>
  <w:abstractNum w:abstractNumId="60">
    <w:nsid w:val="606E19AA"/>
    <w:multiLevelType w:val="hybridMultilevel"/>
    <w:tmpl w:val="6AACAAA0"/>
    <w:lvl w:ilvl="0" w:tplc="CD90B98C">
      <w:start w:val="1"/>
      <w:numFmt w:val="bullet"/>
      <w:pStyle w:val="Bulletdash"/>
      <w:lvlText w:val=""/>
      <w:lvlJc w:val="left"/>
      <w:pPr>
        <w:ind w:left="618" w:hanging="360"/>
      </w:pPr>
      <w:rPr>
        <w:rFonts w:ascii="Symbol" w:hAnsi="Symbol" w:hint="default"/>
      </w:rPr>
    </w:lvl>
    <w:lvl w:ilvl="1" w:tplc="B5A04B06" w:tentative="1">
      <w:start w:val="1"/>
      <w:numFmt w:val="bullet"/>
      <w:lvlText w:val="o"/>
      <w:lvlJc w:val="left"/>
      <w:pPr>
        <w:ind w:left="1338" w:hanging="360"/>
      </w:pPr>
      <w:rPr>
        <w:rFonts w:ascii="Courier New" w:hAnsi="Courier New" w:cs="Consolas" w:hint="default"/>
      </w:rPr>
    </w:lvl>
    <w:lvl w:ilvl="2" w:tplc="9DE86EB2" w:tentative="1">
      <w:start w:val="1"/>
      <w:numFmt w:val="bullet"/>
      <w:lvlText w:val=""/>
      <w:lvlJc w:val="left"/>
      <w:pPr>
        <w:ind w:left="2058" w:hanging="360"/>
      </w:pPr>
      <w:rPr>
        <w:rFonts w:ascii="Wingdings" w:hAnsi="Wingdings" w:hint="default"/>
      </w:rPr>
    </w:lvl>
    <w:lvl w:ilvl="3" w:tplc="1EA28136" w:tentative="1">
      <w:start w:val="1"/>
      <w:numFmt w:val="bullet"/>
      <w:lvlText w:val=""/>
      <w:lvlJc w:val="left"/>
      <w:pPr>
        <w:ind w:left="2778" w:hanging="360"/>
      </w:pPr>
      <w:rPr>
        <w:rFonts w:ascii="Symbol" w:hAnsi="Symbol" w:hint="default"/>
      </w:rPr>
    </w:lvl>
    <w:lvl w:ilvl="4" w:tplc="7F905118" w:tentative="1">
      <w:start w:val="1"/>
      <w:numFmt w:val="bullet"/>
      <w:lvlText w:val="o"/>
      <w:lvlJc w:val="left"/>
      <w:pPr>
        <w:ind w:left="3498" w:hanging="360"/>
      </w:pPr>
      <w:rPr>
        <w:rFonts w:ascii="Courier New" w:hAnsi="Courier New" w:cs="Consolas" w:hint="default"/>
      </w:rPr>
    </w:lvl>
    <w:lvl w:ilvl="5" w:tplc="66E25F2E" w:tentative="1">
      <w:start w:val="1"/>
      <w:numFmt w:val="bullet"/>
      <w:lvlText w:val=""/>
      <w:lvlJc w:val="left"/>
      <w:pPr>
        <w:ind w:left="4218" w:hanging="360"/>
      </w:pPr>
      <w:rPr>
        <w:rFonts w:ascii="Wingdings" w:hAnsi="Wingdings" w:hint="default"/>
      </w:rPr>
    </w:lvl>
    <w:lvl w:ilvl="6" w:tplc="DB8E8F84" w:tentative="1">
      <w:start w:val="1"/>
      <w:numFmt w:val="bullet"/>
      <w:lvlText w:val=""/>
      <w:lvlJc w:val="left"/>
      <w:pPr>
        <w:ind w:left="4938" w:hanging="360"/>
      </w:pPr>
      <w:rPr>
        <w:rFonts w:ascii="Symbol" w:hAnsi="Symbol" w:hint="default"/>
      </w:rPr>
    </w:lvl>
    <w:lvl w:ilvl="7" w:tplc="47A61CB2" w:tentative="1">
      <w:start w:val="1"/>
      <w:numFmt w:val="bullet"/>
      <w:lvlText w:val="o"/>
      <w:lvlJc w:val="left"/>
      <w:pPr>
        <w:ind w:left="5658" w:hanging="360"/>
      </w:pPr>
      <w:rPr>
        <w:rFonts w:ascii="Courier New" w:hAnsi="Courier New" w:cs="Consolas" w:hint="default"/>
      </w:rPr>
    </w:lvl>
    <w:lvl w:ilvl="8" w:tplc="4FBE97A4" w:tentative="1">
      <w:start w:val="1"/>
      <w:numFmt w:val="bullet"/>
      <w:lvlText w:val=""/>
      <w:lvlJc w:val="left"/>
      <w:pPr>
        <w:ind w:left="6378" w:hanging="360"/>
      </w:pPr>
      <w:rPr>
        <w:rFonts w:ascii="Wingdings" w:hAnsi="Wingdings" w:hint="default"/>
      </w:rPr>
    </w:lvl>
  </w:abstractNum>
  <w:abstractNum w:abstractNumId="61">
    <w:nsid w:val="61AE1ECE"/>
    <w:multiLevelType w:val="hybridMultilevel"/>
    <w:tmpl w:val="D522F93E"/>
    <w:lvl w:ilvl="0" w:tplc="7932EDE0">
      <w:start w:val="15"/>
      <w:numFmt w:val="decimal"/>
      <w:pStyle w:val="IPPLetterListIndent"/>
      <w:lvlText w:val="%1."/>
      <w:lvlJc w:val="left"/>
      <w:pPr>
        <w:tabs>
          <w:tab w:val="num" w:pos="990"/>
        </w:tabs>
        <w:ind w:left="990" w:hanging="360"/>
      </w:pPr>
      <w:rPr>
        <w:rFonts w:hint="default"/>
      </w:rPr>
    </w:lvl>
    <w:lvl w:ilvl="1" w:tplc="6DB657F2" w:tentative="1">
      <w:start w:val="1"/>
      <w:numFmt w:val="lowerLetter"/>
      <w:lvlText w:val="%2."/>
      <w:lvlJc w:val="left"/>
      <w:pPr>
        <w:tabs>
          <w:tab w:val="num" w:pos="1710"/>
        </w:tabs>
        <w:ind w:left="1710" w:hanging="360"/>
      </w:pPr>
    </w:lvl>
    <w:lvl w:ilvl="2" w:tplc="53D2334A" w:tentative="1">
      <w:start w:val="1"/>
      <w:numFmt w:val="lowerRoman"/>
      <w:lvlText w:val="%3."/>
      <w:lvlJc w:val="right"/>
      <w:pPr>
        <w:tabs>
          <w:tab w:val="num" w:pos="2430"/>
        </w:tabs>
        <w:ind w:left="2430" w:hanging="180"/>
      </w:pPr>
    </w:lvl>
    <w:lvl w:ilvl="3" w:tplc="01F43DE8" w:tentative="1">
      <w:start w:val="1"/>
      <w:numFmt w:val="decimal"/>
      <w:lvlText w:val="%4."/>
      <w:lvlJc w:val="left"/>
      <w:pPr>
        <w:tabs>
          <w:tab w:val="num" w:pos="3150"/>
        </w:tabs>
        <w:ind w:left="3150" w:hanging="360"/>
      </w:pPr>
    </w:lvl>
    <w:lvl w:ilvl="4" w:tplc="4184DA78" w:tentative="1">
      <w:start w:val="1"/>
      <w:numFmt w:val="lowerLetter"/>
      <w:lvlText w:val="%5."/>
      <w:lvlJc w:val="left"/>
      <w:pPr>
        <w:tabs>
          <w:tab w:val="num" w:pos="3870"/>
        </w:tabs>
        <w:ind w:left="3870" w:hanging="360"/>
      </w:pPr>
    </w:lvl>
    <w:lvl w:ilvl="5" w:tplc="ABFA36F6" w:tentative="1">
      <w:start w:val="1"/>
      <w:numFmt w:val="lowerRoman"/>
      <w:lvlText w:val="%6."/>
      <w:lvlJc w:val="right"/>
      <w:pPr>
        <w:tabs>
          <w:tab w:val="num" w:pos="4590"/>
        </w:tabs>
        <w:ind w:left="4590" w:hanging="180"/>
      </w:pPr>
    </w:lvl>
    <w:lvl w:ilvl="6" w:tplc="FCF256CE" w:tentative="1">
      <w:start w:val="1"/>
      <w:numFmt w:val="decimal"/>
      <w:lvlText w:val="%7."/>
      <w:lvlJc w:val="left"/>
      <w:pPr>
        <w:tabs>
          <w:tab w:val="num" w:pos="5310"/>
        </w:tabs>
        <w:ind w:left="5310" w:hanging="360"/>
      </w:pPr>
    </w:lvl>
    <w:lvl w:ilvl="7" w:tplc="7F682FB8" w:tentative="1">
      <w:start w:val="1"/>
      <w:numFmt w:val="lowerLetter"/>
      <w:lvlText w:val="%8."/>
      <w:lvlJc w:val="left"/>
      <w:pPr>
        <w:tabs>
          <w:tab w:val="num" w:pos="6030"/>
        </w:tabs>
        <w:ind w:left="6030" w:hanging="360"/>
      </w:pPr>
    </w:lvl>
    <w:lvl w:ilvl="8" w:tplc="2BA6E802" w:tentative="1">
      <w:start w:val="1"/>
      <w:numFmt w:val="lowerRoman"/>
      <w:lvlText w:val="%9."/>
      <w:lvlJc w:val="right"/>
      <w:pPr>
        <w:tabs>
          <w:tab w:val="num" w:pos="6750"/>
        </w:tabs>
        <w:ind w:left="6750" w:hanging="180"/>
      </w:pPr>
    </w:lvl>
  </w:abstractNum>
  <w:abstractNum w:abstractNumId="62">
    <w:nsid w:val="63A463A4"/>
    <w:multiLevelType w:val="hybridMultilevel"/>
    <w:tmpl w:val="D16E1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3E63191"/>
    <w:multiLevelType w:val="hybridMultilevel"/>
    <w:tmpl w:val="6F3E0C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58A2624"/>
    <w:multiLevelType w:val="hybridMultilevel"/>
    <w:tmpl w:val="C5E8DBFA"/>
    <w:lvl w:ilvl="0" w:tplc="16B225DA">
      <w:start w:val="1"/>
      <w:numFmt w:val="bullet"/>
      <w:pStyle w:val="Style"/>
      <w:lvlText w:val=""/>
      <w:lvlJc w:val="left"/>
      <w:pPr>
        <w:tabs>
          <w:tab w:val="num" w:pos="720"/>
        </w:tabs>
        <w:ind w:left="720" w:hanging="360"/>
      </w:pPr>
      <w:rPr>
        <w:rFonts w:ascii="Symbol" w:hAnsi="Symbol" w:hint="default"/>
      </w:rPr>
    </w:lvl>
    <w:lvl w:ilvl="1" w:tplc="5E464262">
      <w:start w:val="1"/>
      <w:numFmt w:val="bullet"/>
      <w:lvlText w:val="o"/>
      <w:lvlJc w:val="left"/>
      <w:pPr>
        <w:tabs>
          <w:tab w:val="num" w:pos="1440"/>
        </w:tabs>
        <w:ind w:left="1440" w:hanging="360"/>
      </w:pPr>
      <w:rPr>
        <w:rFonts w:ascii="Courier New" w:hAnsi="Courier New" w:cs="Consolas" w:hint="default"/>
      </w:rPr>
    </w:lvl>
    <w:lvl w:ilvl="2" w:tplc="26EC6F76" w:tentative="1">
      <w:start w:val="1"/>
      <w:numFmt w:val="bullet"/>
      <w:lvlText w:val=""/>
      <w:lvlJc w:val="left"/>
      <w:pPr>
        <w:tabs>
          <w:tab w:val="num" w:pos="2160"/>
        </w:tabs>
        <w:ind w:left="2160" w:hanging="360"/>
      </w:pPr>
      <w:rPr>
        <w:rFonts w:ascii="Wingdings" w:hAnsi="Wingdings" w:hint="default"/>
      </w:rPr>
    </w:lvl>
    <w:lvl w:ilvl="3" w:tplc="5EF0A7B2" w:tentative="1">
      <w:start w:val="1"/>
      <w:numFmt w:val="bullet"/>
      <w:lvlText w:val=""/>
      <w:lvlJc w:val="left"/>
      <w:pPr>
        <w:tabs>
          <w:tab w:val="num" w:pos="2880"/>
        </w:tabs>
        <w:ind w:left="2880" w:hanging="360"/>
      </w:pPr>
      <w:rPr>
        <w:rFonts w:ascii="Symbol" w:hAnsi="Symbol" w:hint="default"/>
      </w:rPr>
    </w:lvl>
    <w:lvl w:ilvl="4" w:tplc="068C84BC" w:tentative="1">
      <w:start w:val="1"/>
      <w:numFmt w:val="bullet"/>
      <w:lvlText w:val="o"/>
      <w:lvlJc w:val="left"/>
      <w:pPr>
        <w:tabs>
          <w:tab w:val="num" w:pos="3600"/>
        </w:tabs>
        <w:ind w:left="3600" w:hanging="360"/>
      </w:pPr>
      <w:rPr>
        <w:rFonts w:ascii="Courier New" w:hAnsi="Courier New" w:cs="Consolas" w:hint="default"/>
      </w:rPr>
    </w:lvl>
    <w:lvl w:ilvl="5" w:tplc="8FF8A9E8" w:tentative="1">
      <w:start w:val="1"/>
      <w:numFmt w:val="bullet"/>
      <w:lvlText w:val=""/>
      <w:lvlJc w:val="left"/>
      <w:pPr>
        <w:tabs>
          <w:tab w:val="num" w:pos="4320"/>
        </w:tabs>
        <w:ind w:left="4320" w:hanging="360"/>
      </w:pPr>
      <w:rPr>
        <w:rFonts w:ascii="Wingdings" w:hAnsi="Wingdings" w:hint="default"/>
      </w:rPr>
    </w:lvl>
    <w:lvl w:ilvl="6" w:tplc="D3CCE5E2" w:tentative="1">
      <w:start w:val="1"/>
      <w:numFmt w:val="bullet"/>
      <w:lvlText w:val=""/>
      <w:lvlJc w:val="left"/>
      <w:pPr>
        <w:tabs>
          <w:tab w:val="num" w:pos="5040"/>
        </w:tabs>
        <w:ind w:left="5040" w:hanging="360"/>
      </w:pPr>
      <w:rPr>
        <w:rFonts w:ascii="Symbol" w:hAnsi="Symbol" w:hint="default"/>
      </w:rPr>
    </w:lvl>
    <w:lvl w:ilvl="7" w:tplc="AF9A4E3C" w:tentative="1">
      <w:start w:val="1"/>
      <w:numFmt w:val="bullet"/>
      <w:lvlText w:val="o"/>
      <w:lvlJc w:val="left"/>
      <w:pPr>
        <w:tabs>
          <w:tab w:val="num" w:pos="5760"/>
        </w:tabs>
        <w:ind w:left="5760" w:hanging="360"/>
      </w:pPr>
      <w:rPr>
        <w:rFonts w:ascii="Courier New" w:hAnsi="Courier New" w:cs="Consolas" w:hint="default"/>
      </w:rPr>
    </w:lvl>
    <w:lvl w:ilvl="8" w:tplc="D5968010" w:tentative="1">
      <w:start w:val="1"/>
      <w:numFmt w:val="bullet"/>
      <w:lvlText w:val=""/>
      <w:lvlJc w:val="left"/>
      <w:pPr>
        <w:tabs>
          <w:tab w:val="num" w:pos="6480"/>
        </w:tabs>
        <w:ind w:left="6480" w:hanging="360"/>
      </w:pPr>
      <w:rPr>
        <w:rFonts w:ascii="Wingdings" w:hAnsi="Wingdings" w:hint="default"/>
      </w:rPr>
    </w:lvl>
  </w:abstractNum>
  <w:abstractNum w:abstractNumId="65">
    <w:nsid w:val="6B0A2226"/>
    <w:multiLevelType w:val="hybridMultilevel"/>
    <w:tmpl w:val="A35EE1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6D6507BD"/>
    <w:multiLevelType w:val="hybridMultilevel"/>
    <w:tmpl w:val="3EBABF54"/>
    <w:lvl w:ilvl="0" w:tplc="3FBA5326">
      <w:start w:val="1"/>
      <w:numFmt w:val="bullet"/>
      <w:pStyle w:val="IPPAnnexHead"/>
      <w:lvlText w:val=""/>
      <w:lvlJc w:val="left"/>
      <w:pPr>
        <w:tabs>
          <w:tab w:val="num" w:pos="720"/>
        </w:tabs>
        <w:ind w:left="720" w:hanging="360"/>
      </w:pPr>
      <w:rPr>
        <w:rFonts w:ascii="Symbol" w:hAnsi="Symbol" w:hint="default"/>
      </w:rPr>
    </w:lvl>
    <w:lvl w:ilvl="1" w:tplc="3C7EFD9C" w:tentative="1">
      <w:start w:val="1"/>
      <w:numFmt w:val="bullet"/>
      <w:lvlText w:val="o"/>
      <w:lvlJc w:val="left"/>
      <w:pPr>
        <w:tabs>
          <w:tab w:val="num" w:pos="1440"/>
        </w:tabs>
        <w:ind w:left="1440" w:hanging="360"/>
      </w:pPr>
      <w:rPr>
        <w:rFonts w:ascii="Courier New" w:hAnsi="Courier New" w:cs="Consolas" w:hint="default"/>
      </w:rPr>
    </w:lvl>
    <w:lvl w:ilvl="2" w:tplc="17604286" w:tentative="1">
      <w:start w:val="1"/>
      <w:numFmt w:val="bullet"/>
      <w:lvlText w:val=""/>
      <w:lvlJc w:val="left"/>
      <w:pPr>
        <w:tabs>
          <w:tab w:val="num" w:pos="2160"/>
        </w:tabs>
        <w:ind w:left="2160" w:hanging="360"/>
      </w:pPr>
      <w:rPr>
        <w:rFonts w:ascii="Wingdings" w:hAnsi="Wingdings" w:hint="default"/>
      </w:rPr>
    </w:lvl>
    <w:lvl w:ilvl="3" w:tplc="80C0D0C2" w:tentative="1">
      <w:start w:val="1"/>
      <w:numFmt w:val="bullet"/>
      <w:lvlText w:val=""/>
      <w:lvlJc w:val="left"/>
      <w:pPr>
        <w:tabs>
          <w:tab w:val="num" w:pos="2880"/>
        </w:tabs>
        <w:ind w:left="2880" w:hanging="360"/>
      </w:pPr>
      <w:rPr>
        <w:rFonts w:ascii="Symbol" w:hAnsi="Symbol" w:hint="default"/>
      </w:rPr>
    </w:lvl>
    <w:lvl w:ilvl="4" w:tplc="5262D67E" w:tentative="1">
      <w:start w:val="1"/>
      <w:numFmt w:val="bullet"/>
      <w:lvlText w:val="o"/>
      <w:lvlJc w:val="left"/>
      <w:pPr>
        <w:tabs>
          <w:tab w:val="num" w:pos="3600"/>
        </w:tabs>
        <w:ind w:left="3600" w:hanging="360"/>
      </w:pPr>
      <w:rPr>
        <w:rFonts w:ascii="Courier New" w:hAnsi="Courier New" w:cs="Consolas" w:hint="default"/>
      </w:rPr>
    </w:lvl>
    <w:lvl w:ilvl="5" w:tplc="2BF82DF2" w:tentative="1">
      <w:start w:val="1"/>
      <w:numFmt w:val="bullet"/>
      <w:lvlText w:val=""/>
      <w:lvlJc w:val="left"/>
      <w:pPr>
        <w:tabs>
          <w:tab w:val="num" w:pos="4320"/>
        </w:tabs>
        <w:ind w:left="4320" w:hanging="360"/>
      </w:pPr>
      <w:rPr>
        <w:rFonts w:ascii="Wingdings" w:hAnsi="Wingdings" w:hint="default"/>
      </w:rPr>
    </w:lvl>
    <w:lvl w:ilvl="6" w:tplc="E3C24FD0" w:tentative="1">
      <w:start w:val="1"/>
      <w:numFmt w:val="bullet"/>
      <w:lvlText w:val=""/>
      <w:lvlJc w:val="left"/>
      <w:pPr>
        <w:tabs>
          <w:tab w:val="num" w:pos="5040"/>
        </w:tabs>
        <w:ind w:left="5040" w:hanging="360"/>
      </w:pPr>
      <w:rPr>
        <w:rFonts w:ascii="Symbol" w:hAnsi="Symbol" w:hint="default"/>
      </w:rPr>
    </w:lvl>
    <w:lvl w:ilvl="7" w:tplc="6F964FB6" w:tentative="1">
      <w:start w:val="1"/>
      <w:numFmt w:val="bullet"/>
      <w:lvlText w:val="o"/>
      <w:lvlJc w:val="left"/>
      <w:pPr>
        <w:tabs>
          <w:tab w:val="num" w:pos="5760"/>
        </w:tabs>
        <w:ind w:left="5760" w:hanging="360"/>
      </w:pPr>
      <w:rPr>
        <w:rFonts w:ascii="Courier New" w:hAnsi="Courier New" w:cs="Consolas" w:hint="default"/>
      </w:rPr>
    </w:lvl>
    <w:lvl w:ilvl="8" w:tplc="7D3C0544" w:tentative="1">
      <w:start w:val="1"/>
      <w:numFmt w:val="bullet"/>
      <w:lvlText w:val=""/>
      <w:lvlJc w:val="left"/>
      <w:pPr>
        <w:tabs>
          <w:tab w:val="num" w:pos="6480"/>
        </w:tabs>
        <w:ind w:left="6480" w:hanging="360"/>
      </w:pPr>
      <w:rPr>
        <w:rFonts w:ascii="Wingdings" w:hAnsi="Wingdings" w:hint="default"/>
      </w:rPr>
    </w:lvl>
  </w:abstractNum>
  <w:abstractNum w:abstractNumId="67">
    <w:nsid w:val="6DDD0049"/>
    <w:multiLevelType w:val="hybridMultilevel"/>
    <w:tmpl w:val="5082F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27F3C72"/>
    <w:multiLevelType w:val="hybridMultilevel"/>
    <w:tmpl w:val="77B60982"/>
    <w:lvl w:ilvl="0" w:tplc="B81CB32C">
      <w:start w:val="1"/>
      <w:numFmt w:val="decimal"/>
      <w:pStyle w:val="BoxRandList1"/>
      <w:lvlText w:val="%1."/>
      <w:lvlJc w:val="left"/>
      <w:pPr>
        <w:tabs>
          <w:tab w:val="num" w:pos="1278"/>
        </w:tabs>
        <w:ind w:left="1278" w:hanging="360"/>
      </w:pPr>
      <w:rPr>
        <w:rFonts w:hint="default"/>
      </w:rPr>
    </w:lvl>
    <w:lvl w:ilvl="1" w:tplc="1494B8DA" w:tentative="1">
      <w:start w:val="1"/>
      <w:numFmt w:val="aiueoFullWidth"/>
      <w:lvlText w:val="(%2)"/>
      <w:lvlJc w:val="left"/>
      <w:pPr>
        <w:tabs>
          <w:tab w:val="num" w:pos="1758"/>
        </w:tabs>
        <w:ind w:left="1758" w:hanging="420"/>
      </w:pPr>
    </w:lvl>
    <w:lvl w:ilvl="2" w:tplc="018CC1A4" w:tentative="1">
      <w:start w:val="1"/>
      <w:numFmt w:val="decimalEnclosedCircle"/>
      <w:lvlText w:val="%3"/>
      <w:lvlJc w:val="left"/>
      <w:pPr>
        <w:tabs>
          <w:tab w:val="num" w:pos="2178"/>
        </w:tabs>
        <w:ind w:left="2178" w:hanging="420"/>
      </w:pPr>
    </w:lvl>
    <w:lvl w:ilvl="3" w:tplc="38CEBDF8" w:tentative="1">
      <w:start w:val="1"/>
      <w:numFmt w:val="decimal"/>
      <w:lvlText w:val="%4."/>
      <w:lvlJc w:val="left"/>
      <w:pPr>
        <w:tabs>
          <w:tab w:val="num" w:pos="2598"/>
        </w:tabs>
        <w:ind w:left="2598" w:hanging="420"/>
      </w:pPr>
    </w:lvl>
    <w:lvl w:ilvl="4" w:tplc="7FDE0116" w:tentative="1">
      <w:start w:val="1"/>
      <w:numFmt w:val="aiueoFullWidth"/>
      <w:lvlText w:val="(%5)"/>
      <w:lvlJc w:val="left"/>
      <w:pPr>
        <w:tabs>
          <w:tab w:val="num" w:pos="3018"/>
        </w:tabs>
        <w:ind w:left="3018" w:hanging="420"/>
      </w:pPr>
    </w:lvl>
    <w:lvl w:ilvl="5" w:tplc="DFCE99B0" w:tentative="1">
      <w:start w:val="1"/>
      <w:numFmt w:val="decimalEnclosedCircle"/>
      <w:lvlText w:val="%6"/>
      <w:lvlJc w:val="left"/>
      <w:pPr>
        <w:tabs>
          <w:tab w:val="num" w:pos="3438"/>
        </w:tabs>
        <w:ind w:left="3438" w:hanging="420"/>
      </w:pPr>
    </w:lvl>
    <w:lvl w:ilvl="6" w:tplc="6E6EDCBC" w:tentative="1">
      <w:start w:val="1"/>
      <w:numFmt w:val="decimal"/>
      <w:lvlText w:val="%7."/>
      <w:lvlJc w:val="left"/>
      <w:pPr>
        <w:tabs>
          <w:tab w:val="num" w:pos="3858"/>
        </w:tabs>
        <w:ind w:left="3858" w:hanging="420"/>
      </w:pPr>
    </w:lvl>
    <w:lvl w:ilvl="7" w:tplc="D40EB880" w:tentative="1">
      <w:start w:val="1"/>
      <w:numFmt w:val="aiueoFullWidth"/>
      <w:lvlText w:val="(%8)"/>
      <w:lvlJc w:val="left"/>
      <w:pPr>
        <w:tabs>
          <w:tab w:val="num" w:pos="4278"/>
        </w:tabs>
        <w:ind w:left="4278" w:hanging="420"/>
      </w:pPr>
    </w:lvl>
    <w:lvl w:ilvl="8" w:tplc="B024EF66" w:tentative="1">
      <w:start w:val="1"/>
      <w:numFmt w:val="decimalEnclosedCircle"/>
      <w:lvlText w:val="%9"/>
      <w:lvlJc w:val="left"/>
      <w:pPr>
        <w:tabs>
          <w:tab w:val="num" w:pos="4698"/>
        </w:tabs>
        <w:ind w:left="4698" w:hanging="420"/>
      </w:pPr>
    </w:lvl>
  </w:abstractNum>
  <w:abstractNum w:abstractNumId="69">
    <w:nsid w:val="749306FA"/>
    <w:multiLevelType w:val="multilevel"/>
    <w:tmpl w:val="25B63E1C"/>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rPr>
        <w:rFonts w:ascii="Times New Roman" w:hAnsi="Times New Roman" w:cs="Times New Roman" w:hint="default"/>
        <w:sz w:val="22"/>
        <w:szCs w:val="22"/>
      </w:rPr>
    </w:lvl>
    <w:lvl w:ilvl="2">
      <w:start w:val="1"/>
      <w:numFmt w:val="decimal"/>
      <w:lvlText w:val="%1.%2.%3"/>
      <w:lvlJc w:val="left"/>
      <w:pPr>
        <w:tabs>
          <w:tab w:val="num" w:pos="720"/>
        </w:tabs>
        <w:ind w:left="720" w:hanging="720"/>
      </w:pPr>
      <w:rPr>
        <w:color w:val="auto"/>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70">
    <w:nsid w:val="7BD149F3"/>
    <w:multiLevelType w:val="hybridMultilevel"/>
    <w:tmpl w:val="51CEBB5E"/>
    <w:lvl w:ilvl="0" w:tplc="74181FB4">
      <w:start w:val="1"/>
      <w:numFmt w:val="bullet"/>
      <w:pStyle w:val="IPPNumberedListArial"/>
      <w:lvlText w:val=""/>
      <w:lvlJc w:val="left"/>
      <w:pPr>
        <w:tabs>
          <w:tab w:val="num" w:pos="360"/>
        </w:tabs>
        <w:ind w:left="360" w:hanging="360"/>
      </w:pPr>
      <w:rPr>
        <w:rFonts w:ascii="Symbol" w:hAnsi="Symbol" w:hint="default"/>
        <w:color w:val="auto"/>
      </w:rPr>
    </w:lvl>
    <w:lvl w:ilvl="1" w:tplc="8F10EEF4" w:tentative="1">
      <w:start w:val="1"/>
      <w:numFmt w:val="bullet"/>
      <w:lvlText w:val="o"/>
      <w:lvlJc w:val="left"/>
      <w:pPr>
        <w:tabs>
          <w:tab w:val="num" w:pos="1080"/>
        </w:tabs>
        <w:ind w:left="1080" w:hanging="360"/>
      </w:pPr>
      <w:rPr>
        <w:rFonts w:ascii="Courier New" w:hAnsi="Courier New" w:cs="Consolas" w:hint="default"/>
      </w:rPr>
    </w:lvl>
    <w:lvl w:ilvl="2" w:tplc="C208229A" w:tentative="1">
      <w:start w:val="1"/>
      <w:numFmt w:val="bullet"/>
      <w:lvlText w:val=""/>
      <w:lvlJc w:val="left"/>
      <w:pPr>
        <w:tabs>
          <w:tab w:val="num" w:pos="1800"/>
        </w:tabs>
        <w:ind w:left="1800" w:hanging="360"/>
      </w:pPr>
      <w:rPr>
        <w:rFonts w:ascii="Wingdings" w:hAnsi="Wingdings" w:hint="default"/>
      </w:rPr>
    </w:lvl>
    <w:lvl w:ilvl="3" w:tplc="EEF27C18" w:tentative="1">
      <w:start w:val="1"/>
      <w:numFmt w:val="bullet"/>
      <w:lvlText w:val=""/>
      <w:lvlJc w:val="left"/>
      <w:pPr>
        <w:tabs>
          <w:tab w:val="num" w:pos="2520"/>
        </w:tabs>
        <w:ind w:left="2520" w:hanging="360"/>
      </w:pPr>
      <w:rPr>
        <w:rFonts w:ascii="Symbol" w:hAnsi="Symbol" w:hint="default"/>
      </w:rPr>
    </w:lvl>
    <w:lvl w:ilvl="4" w:tplc="4B8E1B22" w:tentative="1">
      <w:start w:val="1"/>
      <w:numFmt w:val="bullet"/>
      <w:lvlText w:val="o"/>
      <w:lvlJc w:val="left"/>
      <w:pPr>
        <w:tabs>
          <w:tab w:val="num" w:pos="3240"/>
        </w:tabs>
        <w:ind w:left="3240" w:hanging="360"/>
      </w:pPr>
      <w:rPr>
        <w:rFonts w:ascii="Courier New" w:hAnsi="Courier New" w:cs="Consolas" w:hint="default"/>
      </w:rPr>
    </w:lvl>
    <w:lvl w:ilvl="5" w:tplc="271CA3A0" w:tentative="1">
      <w:start w:val="1"/>
      <w:numFmt w:val="bullet"/>
      <w:lvlText w:val=""/>
      <w:lvlJc w:val="left"/>
      <w:pPr>
        <w:tabs>
          <w:tab w:val="num" w:pos="3960"/>
        </w:tabs>
        <w:ind w:left="3960" w:hanging="360"/>
      </w:pPr>
      <w:rPr>
        <w:rFonts w:ascii="Wingdings" w:hAnsi="Wingdings" w:hint="default"/>
      </w:rPr>
    </w:lvl>
    <w:lvl w:ilvl="6" w:tplc="D3C02C0A" w:tentative="1">
      <w:start w:val="1"/>
      <w:numFmt w:val="bullet"/>
      <w:lvlText w:val=""/>
      <w:lvlJc w:val="left"/>
      <w:pPr>
        <w:tabs>
          <w:tab w:val="num" w:pos="4680"/>
        </w:tabs>
        <w:ind w:left="4680" w:hanging="360"/>
      </w:pPr>
      <w:rPr>
        <w:rFonts w:ascii="Symbol" w:hAnsi="Symbol" w:hint="default"/>
      </w:rPr>
    </w:lvl>
    <w:lvl w:ilvl="7" w:tplc="FC96A254" w:tentative="1">
      <w:start w:val="1"/>
      <w:numFmt w:val="bullet"/>
      <w:lvlText w:val="o"/>
      <w:lvlJc w:val="left"/>
      <w:pPr>
        <w:tabs>
          <w:tab w:val="num" w:pos="5400"/>
        </w:tabs>
        <w:ind w:left="5400" w:hanging="360"/>
      </w:pPr>
      <w:rPr>
        <w:rFonts w:ascii="Courier New" w:hAnsi="Courier New" w:cs="Consolas" w:hint="default"/>
      </w:rPr>
    </w:lvl>
    <w:lvl w:ilvl="8" w:tplc="1E88ADD4" w:tentative="1">
      <w:start w:val="1"/>
      <w:numFmt w:val="bullet"/>
      <w:lvlText w:val=""/>
      <w:lvlJc w:val="left"/>
      <w:pPr>
        <w:tabs>
          <w:tab w:val="num" w:pos="6120"/>
        </w:tabs>
        <w:ind w:left="6120" w:hanging="360"/>
      </w:pPr>
      <w:rPr>
        <w:rFonts w:ascii="Wingdings" w:hAnsi="Wingdings" w:hint="default"/>
      </w:rPr>
    </w:lvl>
  </w:abstractNum>
  <w:abstractNum w:abstractNumId="71">
    <w:nsid w:val="7CAA628E"/>
    <w:multiLevelType w:val="hybridMultilevel"/>
    <w:tmpl w:val="36EA3B62"/>
    <w:lvl w:ilvl="0" w:tplc="9D22A2B4">
      <w:start w:val="1"/>
      <w:numFmt w:val="bullet"/>
      <w:pStyle w:val="DashListLev4"/>
      <w:lvlText w:val=""/>
      <w:lvlJc w:val="left"/>
      <w:pPr>
        <w:tabs>
          <w:tab w:val="num" w:pos="720"/>
        </w:tabs>
        <w:ind w:left="720" w:hanging="360"/>
      </w:pPr>
      <w:rPr>
        <w:rFonts w:ascii="Symbol" w:hAnsi="Symbol" w:hint="default"/>
      </w:rPr>
    </w:lvl>
    <w:lvl w:ilvl="1" w:tplc="49721496" w:tentative="1">
      <w:start w:val="1"/>
      <w:numFmt w:val="bullet"/>
      <w:lvlText w:val="o"/>
      <w:lvlJc w:val="left"/>
      <w:pPr>
        <w:tabs>
          <w:tab w:val="num" w:pos="1440"/>
        </w:tabs>
        <w:ind w:left="1440" w:hanging="360"/>
      </w:pPr>
      <w:rPr>
        <w:rFonts w:ascii="Courier New" w:hAnsi="Courier New" w:cs="Consolas" w:hint="default"/>
      </w:rPr>
    </w:lvl>
    <w:lvl w:ilvl="2" w:tplc="049E9CF0" w:tentative="1">
      <w:start w:val="1"/>
      <w:numFmt w:val="bullet"/>
      <w:lvlText w:val=""/>
      <w:lvlJc w:val="left"/>
      <w:pPr>
        <w:tabs>
          <w:tab w:val="num" w:pos="2160"/>
        </w:tabs>
        <w:ind w:left="2160" w:hanging="360"/>
      </w:pPr>
      <w:rPr>
        <w:rFonts w:ascii="Wingdings" w:hAnsi="Wingdings" w:hint="default"/>
      </w:rPr>
    </w:lvl>
    <w:lvl w:ilvl="3" w:tplc="1F0EB0A4" w:tentative="1">
      <w:start w:val="1"/>
      <w:numFmt w:val="bullet"/>
      <w:lvlText w:val=""/>
      <w:lvlJc w:val="left"/>
      <w:pPr>
        <w:tabs>
          <w:tab w:val="num" w:pos="2880"/>
        </w:tabs>
        <w:ind w:left="2880" w:hanging="360"/>
      </w:pPr>
      <w:rPr>
        <w:rFonts w:ascii="Symbol" w:hAnsi="Symbol" w:hint="default"/>
      </w:rPr>
    </w:lvl>
    <w:lvl w:ilvl="4" w:tplc="2D184B3E" w:tentative="1">
      <w:start w:val="1"/>
      <w:numFmt w:val="bullet"/>
      <w:lvlText w:val="o"/>
      <w:lvlJc w:val="left"/>
      <w:pPr>
        <w:tabs>
          <w:tab w:val="num" w:pos="3600"/>
        </w:tabs>
        <w:ind w:left="3600" w:hanging="360"/>
      </w:pPr>
      <w:rPr>
        <w:rFonts w:ascii="Courier New" w:hAnsi="Courier New" w:cs="Consolas" w:hint="default"/>
      </w:rPr>
    </w:lvl>
    <w:lvl w:ilvl="5" w:tplc="1AB2A380" w:tentative="1">
      <w:start w:val="1"/>
      <w:numFmt w:val="bullet"/>
      <w:lvlText w:val=""/>
      <w:lvlJc w:val="left"/>
      <w:pPr>
        <w:tabs>
          <w:tab w:val="num" w:pos="4320"/>
        </w:tabs>
        <w:ind w:left="4320" w:hanging="360"/>
      </w:pPr>
      <w:rPr>
        <w:rFonts w:ascii="Wingdings" w:hAnsi="Wingdings" w:hint="default"/>
      </w:rPr>
    </w:lvl>
    <w:lvl w:ilvl="6" w:tplc="F4E82FFE" w:tentative="1">
      <w:start w:val="1"/>
      <w:numFmt w:val="bullet"/>
      <w:lvlText w:val=""/>
      <w:lvlJc w:val="left"/>
      <w:pPr>
        <w:tabs>
          <w:tab w:val="num" w:pos="5040"/>
        </w:tabs>
        <w:ind w:left="5040" w:hanging="360"/>
      </w:pPr>
      <w:rPr>
        <w:rFonts w:ascii="Symbol" w:hAnsi="Symbol" w:hint="default"/>
      </w:rPr>
    </w:lvl>
    <w:lvl w:ilvl="7" w:tplc="7E90F43A" w:tentative="1">
      <w:start w:val="1"/>
      <w:numFmt w:val="bullet"/>
      <w:lvlText w:val="o"/>
      <w:lvlJc w:val="left"/>
      <w:pPr>
        <w:tabs>
          <w:tab w:val="num" w:pos="5760"/>
        </w:tabs>
        <w:ind w:left="5760" w:hanging="360"/>
      </w:pPr>
      <w:rPr>
        <w:rFonts w:ascii="Courier New" w:hAnsi="Courier New" w:cs="Consolas" w:hint="default"/>
      </w:rPr>
    </w:lvl>
    <w:lvl w:ilvl="8" w:tplc="E1D675C6"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28"/>
  </w:num>
  <w:num w:numId="3">
    <w:abstractNumId w:val="0"/>
  </w:num>
  <w:num w:numId="4">
    <w:abstractNumId w:val="41"/>
  </w:num>
  <w:num w:numId="5">
    <w:abstractNumId w:val="51"/>
  </w:num>
  <w:num w:numId="6">
    <w:abstractNumId w:val="69"/>
  </w:num>
  <w:num w:numId="7">
    <w:abstractNumId w:val="19"/>
  </w:num>
  <w:num w:numId="8">
    <w:abstractNumId w:val="52"/>
  </w:num>
  <w:num w:numId="9">
    <w:abstractNumId w:val="5"/>
  </w:num>
  <w:num w:numId="10">
    <w:abstractNumId w:val="21"/>
  </w:num>
  <w:num w:numId="11">
    <w:abstractNumId w:val="59"/>
  </w:num>
  <w:num w:numId="12">
    <w:abstractNumId w:val="55"/>
  </w:num>
  <w:num w:numId="13">
    <w:abstractNumId w:val="22"/>
  </w:num>
  <w:num w:numId="14">
    <w:abstractNumId w:val="32"/>
  </w:num>
  <w:num w:numId="15">
    <w:abstractNumId w:val="68"/>
  </w:num>
  <w:num w:numId="16">
    <w:abstractNumId w:val="44"/>
  </w:num>
  <w:num w:numId="17">
    <w:abstractNumId w:val="54"/>
  </w:num>
  <w:num w:numId="18">
    <w:abstractNumId w:val="40"/>
  </w:num>
  <w:num w:numId="19">
    <w:abstractNumId w:val="60"/>
  </w:num>
  <w:num w:numId="20">
    <w:abstractNumId w:val="15"/>
  </w:num>
  <w:num w:numId="21">
    <w:abstractNumId w:val="33"/>
  </w:num>
  <w:num w:numId="22">
    <w:abstractNumId w:val="2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6"/>
  </w:num>
  <w:num w:numId="24">
    <w:abstractNumId w:val="53"/>
  </w:num>
  <w:num w:numId="25">
    <w:abstractNumId w:val="45"/>
  </w:num>
  <w:num w:numId="26">
    <w:abstractNumId w:val="46"/>
  </w:num>
  <w:num w:numId="27">
    <w:abstractNumId w:val="8"/>
  </w:num>
  <w:num w:numId="28">
    <w:abstractNumId w:val="61"/>
  </w:num>
  <w:num w:numId="29">
    <w:abstractNumId w:val="64"/>
  </w:num>
  <w:num w:numId="30">
    <w:abstractNumId w:val="20"/>
  </w:num>
  <w:num w:numId="31">
    <w:abstractNumId w:val="30"/>
  </w:num>
  <w:num w:numId="32">
    <w:abstractNumId w:val="43"/>
  </w:num>
  <w:num w:numId="33">
    <w:abstractNumId w:val="37"/>
  </w:num>
  <w:num w:numId="34">
    <w:abstractNumId w:val="31"/>
  </w:num>
  <w:num w:numId="35">
    <w:abstractNumId w:val="34"/>
  </w:num>
  <w:num w:numId="36">
    <w:abstractNumId w:val="13"/>
  </w:num>
  <w:num w:numId="37">
    <w:abstractNumId w:val="6"/>
  </w:num>
  <w:num w:numId="38">
    <w:abstractNumId w:val="71"/>
  </w:num>
  <w:num w:numId="39">
    <w:abstractNumId w:val="58"/>
  </w:num>
  <w:num w:numId="40">
    <w:abstractNumId w:val="35"/>
  </w:num>
  <w:num w:numId="41">
    <w:abstractNumId w:val="9"/>
  </w:num>
  <w:num w:numId="42">
    <w:abstractNumId w:val="66"/>
  </w:num>
  <w:num w:numId="43">
    <w:abstractNumId w:val="57"/>
  </w:num>
  <w:num w:numId="44">
    <w:abstractNumId w:val="23"/>
  </w:num>
  <w:num w:numId="45">
    <w:abstractNumId w:val="70"/>
  </w:num>
  <w:num w:numId="46">
    <w:abstractNumId w:val="27"/>
  </w:num>
  <w:num w:numId="47">
    <w:abstractNumId w:val="47"/>
  </w:num>
  <w:num w:numId="48">
    <w:abstractNumId w:val="11"/>
  </w:num>
  <w:num w:numId="49">
    <w:abstractNumId w:val="16"/>
  </w:num>
  <w:num w:numId="50">
    <w:abstractNumId w:val="38"/>
  </w:num>
  <w:num w:numId="51">
    <w:abstractNumId w:val="14"/>
  </w:num>
  <w:num w:numId="52">
    <w:abstractNumId w:val="48"/>
  </w:num>
  <w:num w:numId="53">
    <w:abstractNumId w:val="17"/>
  </w:num>
  <w:num w:numId="54">
    <w:abstractNumId w:val="56"/>
  </w:num>
  <w:num w:numId="55">
    <w:abstractNumId w:val="25"/>
  </w:num>
  <w:num w:numId="56">
    <w:abstractNumId w:val="24"/>
  </w:num>
  <w:num w:numId="57">
    <w:abstractNumId w:val="62"/>
  </w:num>
  <w:num w:numId="58">
    <w:abstractNumId w:val="49"/>
  </w:num>
  <w:num w:numId="59">
    <w:abstractNumId w:val="26"/>
  </w:num>
  <w:num w:numId="60">
    <w:abstractNumId w:val="42"/>
  </w:num>
  <w:num w:numId="61">
    <w:abstractNumId w:val="7"/>
  </w:num>
  <w:num w:numId="62">
    <w:abstractNumId w:val="18"/>
  </w:num>
  <w:num w:numId="63">
    <w:abstractNumId w:val="10"/>
  </w:num>
  <w:num w:numId="64">
    <w:abstractNumId w:val="67"/>
  </w:num>
  <w:num w:numId="65">
    <w:abstractNumId w:val="65"/>
  </w:num>
  <w:num w:numId="66">
    <w:abstractNumId w:val="39"/>
  </w:num>
  <w:num w:numId="67">
    <w:abstractNumId w:val="63"/>
  </w:num>
  <w:num w:numId="68">
    <w:abstractNumId w:val="2"/>
  </w:num>
  <w:num w:numId="69">
    <w:abstractNumId w:val="3"/>
  </w:num>
  <w:num w:numId="70">
    <w:abstractNumId w:val="50"/>
  </w:num>
  <w:num w:numId="71">
    <w:abstractNumId w:val="12"/>
  </w:num>
  <w:numIdMacAtCleanup w:val="6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n Verdonik (CTR)">
    <w15:presenceInfo w15:providerId="None" w15:userId="Dan Verdonik (CT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5"/>
  <w:mirrorMargins/>
  <w:hideSpellingErrors/>
  <w:activeWritingStyle w:appName="MSWord" w:lang="en-GB" w:vendorID="6" w:dllVersion="2" w:checkStyle="1"/>
  <w:activeWritingStyle w:appName="MSWord" w:lang="en-GB" w:vendorID="5" w:dllVersion="2" w:checkStyle="1"/>
  <w:activeWritingStyle w:appName="MSWord" w:lang="en-GB" w:vendorID="8" w:dllVersion="513" w:checkStyle="1"/>
  <w:activeWritingStyle w:appName="MSWord" w:lang="en-US" w:vendorID="8" w:dllVersion="513" w:checkStyle="1"/>
  <w:activeWritingStyle w:appName="MSWord" w:lang="en-AU" w:vendorID="8" w:dllVersion="513" w:checkStyle="1"/>
  <w:activeWritingStyle w:appName="MSWord" w:lang="nl-NL" w:vendorID="1" w:dllVersion="512" w:checkStyle="1"/>
  <w:activeWritingStyle w:appName="MSWord" w:lang="en-NZ" w:vendorID="8" w:dllVersion="513" w:checkStyle="1"/>
  <w:activeWritingStyle w:appName="MSWord" w:lang="en-CA" w:vendorID="8" w:dllVersion="513" w:checkStyle="1"/>
  <w:activeWritingStyle w:appName="MSWord" w:lang="en-029" w:vendorID="8" w:dllVersion="513" w:checkStyle="1"/>
  <w:activeWritingStyle w:appName="MSWord" w:lang="en-ZA" w:vendorID="8" w:dllVersion="513" w:checkStyle="1"/>
  <w:activeWritingStyle w:appName="MSWord" w:lang="it-IT" w:vendorID="3" w:dllVersion="517" w:checkStyle="1"/>
  <w:proofState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851"/>
  <w:doNotHyphenateCaps/>
  <w:displayHorizontalDrawingGridEvery w:val="0"/>
  <w:displayVerticalDrawingGridEvery w:val="0"/>
  <w:doNotUseMarginsForDrawingGridOrigin/>
  <w:noPunctuationKerning/>
  <w:characterSpacingControl w:val="doNotCompress"/>
  <w:hdrShapeDefaults>
    <o:shapedefaults v:ext="edit" spidmax="2066"/>
    <o:shapelayout v:ext="edit">
      <o:idmap v:ext="edit" data="2"/>
    </o:shapelayout>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0967"/>
    <w:rsid w:val="000002D2"/>
    <w:rsid w:val="0000233D"/>
    <w:rsid w:val="00003F99"/>
    <w:rsid w:val="0000789E"/>
    <w:rsid w:val="00011693"/>
    <w:rsid w:val="0001208A"/>
    <w:rsid w:val="000121EB"/>
    <w:rsid w:val="00015FF3"/>
    <w:rsid w:val="00021656"/>
    <w:rsid w:val="00023E06"/>
    <w:rsid w:val="0002461B"/>
    <w:rsid w:val="00027EEE"/>
    <w:rsid w:val="00030BF7"/>
    <w:rsid w:val="000317F7"/>
    <w:rsid w:val="00034252"/>
    <w:rsid w:val="00035756"/>
    <w:rsid w:val="0004337A"/>
    <w:rsid w:val="00047E9C"/>
    <w:rsid w:val="00050238"/>
    <w:rsid w:val="00050268"/>
    <w:rsid w:val="00053765"/>
    <w:rsid w:val="00054011"/>
    <w:rsid w:val="000575C6"/>
    <w:rsid w:val="00064F81"/>
    <w:rsid w:val="00071E26"/>
    <w:rsid w:val="000740FC"/>
    <w:rsid w:val="00084DD9"/>
    <w:rsid w:val="00085261"/>
    <w:rsid w:val="000853E4"/>
    <w:rsid w:val="00086DBA"/>
    <w:rsid w:val="00091DDE"/>
    <w:rsid w:val="000A0CDC"/>
    <w:rsid w:val="000A35BA"/>
    <w:rsid w:val="000A7099"/>
    <w:rsid w:val="000B112E"/>
    <w:rsid w:val="000B3584"/>
    <w:rsid w:val="000B53B1"/>
    <w:rsid w:val="000C1A06"/>
    <w:rsid w:val="000C1A64"/>
    <w:rsid w:val="000C7EFA"/>
    <w:rsid w:val="000D6BA0"/>
    <w:rsid w:val="000E065C"/>
    <w:rsid w:val="00101106"/>
    <w:rsid w:val="001016FF"/>
    <w:rsid w:val="0010207A"/>
    <w:rsid w:val="0011140B"/>
    <w:rsid w:val="00113452"/>
    <w:rsid w:val="00115DB4"/>
    <w:rsid w:val="00125246"/>
    <w:rsid w:val="00132C6A"/>
    <w:rsid w:val="0013442A"/>
    <w:rsid w:val="001348D5"/>
    <w:rsid w:val="00135F4F"/>
    <w:rsid w:val="0015746F"/>
    <w:rsid w:val="00165E88"/>
    <w:rsid w:val="00166B94"/>
    <w:rsid w:val="00177452"/>
    <w:rsid w:val="00192CD6"/>
    <w:rsid w:val="001966C9"/>
    <w:rsid w:val="001A03FB"/>
    <w:rsid w:val="001A501A"/>
    <w:rsid w:val="001A7577"/>
    <w:rsid w:val="001B213B"/>
    <w:rsid w:val="001B7DE2"/>
    <w:rsid w:val="001C1CF5"/>
    <w:rsid w:val="001C5E46"/>
    <w:rsid w:val="001D3775"/>
    <w:rsid w:val="001E0ED6"/>
    <w:rsid w:val="001E2E6D"/>
    <w:rsid w:val="001E6351"/>
    <w:rsid w:val="001F0D0D"/>
    <w:rsid w:val="001F1E0D"/>
    <w:rsid w:val="001F5725"/>
    <w:rsid w:val="00203E52"/>
    <w:rsid w:val="00204AA0"/>
    <w:rsid w:val="0021274D"/>
    <w:rsid w:val="00214CD9"/>
    <w:rsid w:val="00215425"/>
    <w:rsid w:val="002203A5"/>
    <w:rsid w:val="002210A2"/>
    <w:rsid w:val="002216FF"/>
    <w:rsid w:val="00230CEE"/>
    <w:rsid w:val="00232963"/>
    <w:rsid w:val="00237BFA"/>
    <w:rsid w:val="00240812"/>
    <w:rsid w:val="00240E37"/>
    <w:rsid w:val="0024285E"/>
    <w:rsid w:val="002434ED"/>
    <w:rsid w:val="00243A3C"/>
    <w:rsid w:val="00255612"/>
    <w:rsid w:val="00255995"/>
    <w:rsid w:val="002578F4"/>
    <w:rsid w:val="00260C5C"/>
    <w:rsid w:val="00260E9A"/>
    <w:rsid w:val="002635F7"/>
    <w:rsid w:val="00267711"/>
    <w:rsid w:val="00271786"/>
    <w:rsid w:val="00271CAA"/>
    <w:rsid w:val="00274196"/>
    <w:rsid w:val="00284AC1"/>
    <w:rsid w:val="002878D4"/>
    <w:rsid w:val="00296CD3"/>
    <w:rsid w:val="002A4A87"/>
    <w:rsid w:val="002A4E6F"/>
    <w:rsid w:val="002B4DA6"/>
    <w:rsid w:val="002B7818"/>
    <w:rsid w:val="002D15FF"/>
    <w:rsid w:val="002D1FC6"/>
    <w:rsid w:val="002F2114"/>
    <w:rsid w:val="002F2119"/>
    <w:rsid w:val="002F28DC"/>
    <w:rsid w:val="00300D32"/>
    <w:rsid w:val="0030141E"/>
    <w:rsid w:val="00301F5A"/>
    <w:rsid w:val="00302856"/>
    <w:rsid w:val="00312589"/>
    <w:rsid w:val="00313318"/>
    <w:rsid w:val="00314538"/>
    <w:rsid w:val="00321E9C"/>
    <w:rsid w:val="00323E9F"/>
    <w:rsid w:val="00326F62"/>
    <w:rsid w:val="00335D5A"/>
    <w:rsid w:val="0033796A"/>
    <w:rsid w:val="00341904"/>
    <w:rsid w:val="00343A2F"/>
    <w:rsid w:val="00343FA0"/>
    <w:rsid w:val="00350B22"/>
    <w:rsid w:val="00351235"/>
    <w:rsid w:val="003514D8"/>
    <w:rsid w:val="00353210"/>
    <w:rsid w:val="003552E6"/>
    <w:rsid w:val="003571AA"/>
    <w:rsid w:val="00357734"/>
    <w:rsid w:val="00357AA5"/>
    <w:rsid w:val="0036416F"/>
    <w:rsid w:val="003649EB"/>
    <w:rsid w:val="00366BC6"/>
    <w:rsid w:val="003723F5"/>
    <w:rsid w:val="00382983"/>
    <w:rsid w:val="00390A12"/>
    <w:rsid w:val="00393F63"/>
    <w:rsid w:val="00394A7A"/>
    <w:rsid w:val="003954A6"/>
    <w:rsid w:val="003A02B3"/>
    <w:rsid w:val="003A706C"/>
    <w:rsid w:val="003D3418"/>
    <w:rsid w:val="003E1921"/>
    <w:rsid w:val="003E428B"/>
    <w:rsid w:val="003E7046"/>
    <w:rsid w:val="003F20B7"/>
    <w:rsid w:val="003F378F"/>
    <w:rsid w:val="003F6D1E"/>
    <w:rsid w:val="0040537B"/>
    <w:rsid w:val="00413BE5"/>
    <w:rsid w:val="00413E4A"/>
    <w:rsid w:val="00420C18"/>
    <w:rsid w:val="004271A6"/>
    <w:rsid w:val="004317D0"/>
    <w:rsid w:val="004334B7"/>
    <w:rsid w:val="00435064"/>
    <w:rsid w:val="00436143"/>
    <w:rsid w:val="00440F61"/>
    <w:rsid w:val="004463D8"/>
    <w:rsid w:val="00446D33"/>
    <w:rsid w:val="00452299"/>
    <w:rsid w:val="0045350D"/>
    <w:rsid w:val="004654D3"/>
    <w:rsid w:val="0048044D"/>
    <w:rsid w:val="00485BEF"/>
    <w:rsid w:val="00490312"/>
    <w:rsid w:val="00492FE0"/>
    <w:rsid w:val="00494A75"/>
    <w:rsid w:val="00494CC5"/>
    <w:rsid w:val="00497F61"/>
    <w:rsid w:val="004A3050"/>
    <w:rsid w:val="004A3A81"/>
    <w:rsid w:val="004B0ED1"/>
    <w:rsid w:val="004B10C9"/>
    <w:rsid w:val="004B356F"/>
    <w:rsid w:val="004B466D"/>
    <w:rsid w:val="004C4B88"/>
    <w:rsid w:val="004C71DF"/>
    <w:rsid w:val="004D142F"/>
    <w:rsid w:val="004D1972"/>
    <w:rsid w:val="004D2431"/>
    <w:rsid w:val="004D2D1B"/>
    <w:rsid w:val="004D415D"/>
    <w:rsid w:val="004D571E"/>
    <w:rsid w:val="004D6002"/>
    <w:rsid w:val="004D7168"/>
    <w:rsid w:val="004E7AC5"/>
    <w:rsid w:val="004E7F60"/>
    <w:rsid w:val="004F10BF"/>
    <w:rsid w:val="00502410"/>
    <w:rsid w:val="00502484"/>
    <w:rsid w:val="00506F55"/>
    <w:rsid w:val="00520D77"/>
    <w:rsid w:val="00523E05"/>
    <w:rsid w:val="00526B70"/>
    <w:rsid w:val="00537A3B"/>
    <w:rsid w:val="005403D7"/>
    <w:rsid w:val="00545DFA"/>
    <w:rsid w:val="005467DE"/>
    <w:rsid w:val="00547D5B"/>
    <w:rsid w:val="005631AF"/>
    <w:rsid w:val="005676A4"/>
    <w:rsid w:val="00570D24"/>
    <w:rsid w:val="00591AA8"/>
    <w:rsid w:val="0059722B"/>
    <w:rsid w:val="005A40B0"/>
    <w:rsid w:val="005A7240"/>
    <w:rsid w:val="005B0DF4"/>
    <w:rsid w:val="005B1FC8"/>
    <w:rsid w:val="005B3236"/>
    <w:rsid w:val="005B3245"/>
    <w:rsid w:val="005B7B41"/>
    <w:rsid w:val="005C1ABF"/>
    <w:rsid w:val="005C77D9"/>
    <w:rsid w:val="005D20A9"/>
    <w:rsid w:val="005D4F4E"/>
    <w:rsid w:val="005D6D19"/>
    <w:rsid w:val="005E44AE"/>
    <w:rsid w:val="005F5DCC"/>
    <w:rsid w:val="006005AE"/>
    <w:rsid w:val="0060093C"/>
    <w:rsid w:val="00604D11"/>
    <w:rsid w:val="006077BC"/>
    <w:rsid w:val="00610FED"/>
    <w:rsid w:val="00612A68"/>
    <w:rsid w:val="0062091A"/>
    <w:rsid w:val="00630CAD"/>
    <w:rsid w:val="00635A6A"/>
    <w:rsid w:val="00640263"/>
    <w:rsid w:val="00642375"/>
    <w:rsid w:val="00642379"/>
    <w:rsid w:val="00642C39"/>
    <w:rsid w:val="00644510"/>
    <w:rsid w:val="00646C98"/>
    <w:rsid w:val="00656E7D"/>
    <w:rsid w:val="006579E0"/>
    <w:rsid w:val="00664765"/>
    <w:rsid w:val="006658DD"/>
    <w:rsid w:val="00665A8D"/>
    <w:rsid w:val="00671FC9"/>
    <w:rsid w:val="006804DF"/>
    <w:rsid w:val="0068175C"/>
    <w:rsid w:val="00687DCE"/>
    <w:rsid w:val="006916EA"/>
    <w:rsid w:val="006A713F"/>
    <w:rsid w:val="006B0F72"/>
    <w:rsid w:val="006B186E"/>
    <w:rsid w:val="006B1E31"/>
    <w:rsid w:val="006B1E7E"/>
    <w:rsid w:val="006B52E0"/>
    <w:rsid w:val="006B65C1"/>
    <w:rsid w:val="006D19B7"/>
    <w:rsid w:val="006D7DDA"/>
    <w:rsid w:val="006E13B3"/>
    <w:rsid w:val="006E4E8B"/>
    <w:rsid w:val="006E5CD1"/>
    <w:rsid w:val="006E5F80"/>
    <w:rsid w:val="006F1F1D"/>
    <w:rsid w:val="006F33D8"/>
    <w:rsid w:val="006F5B91"/>
    <w:rsid w:val="006F6BA3"/>
    <w:rsid w:val="0070164A"/>
    <w:rsid w:val="00702336"/>
    <w:rsid w:val="00705C9D"/>
    <w:rsid w:val="0070607D"/>
    <w:rsid w:val="00713E4B"/>
    <w:rsid w:val="00720A99"/>
    <w:rsid w:val="00725450"/>
    <w:rsid w:val="00727F81"/>
    <w:rsid w:val="00731629"/>
    <w:rsid w:val="007340E4"/>
    <w:rsid w:val="00741C5D"/>
    <w:rsid w:val="00744AFE"/>
    <w:rsid w:val="0074507E"/>
    <w:rsid w:val="00747F35"/>
    <w:rsid w:val="00762536"/>
    <w:rsid w:val="0076540F"/>
    <w:rsid w:val="00765ED6"/>
    <w:rsid w:val="00766033"/>
    <w:rsid w:val="00767B1E"/>
    <w:rsid w:val="00787F71"/>
    <w:rsid w:val="00793810"/>
    <w:rsid w:val="007A2694"/>
    <w:rsid w:val="007B0435"/>
    <w:rsid w:val="007C3005"/>
    <w:rsid w:val="007C3101"/>
    <w:rsid w:val="007D7F62"/>
    <w:rsid w:val="007E51F4"/>
    <w:rsid w:val="007E5803"/>
    <w:rsid w:val="007F0D47"/>
    <w:rsid w:val="007F17BC"/>
    <w:rsid w:val="007F78CB"/>
    <w:rsid w:val="00806A8C"/>
    <w:rsid w:val="00807C7E"/>
    <w:rsid w:val="008100AC"/>
    <w:rsid w:val="00814B16"/>
    <w:rsid w:val="008153B8"/>
    <w:rsid w:val="00815D88"/>
    <w:rsid w:val="008209F6"/>
    <w:rsid w:val="00834995"/>
    <w:rsid w:val="008350E2"/>
    <w:rsid w:val="0083708E"/>
    <w:rsid w:val="00841011"/>
    <w:rsid w:val="00841BDE"/>
    <w:rsid w:val="00841D8E"/>
    <w:rsid w:val="008425C0"/>
    <w:rsid w:val="00851B0C"/>
    <w:rsid w:val="008522C0"/>
    <w:rsid w:val="008530E3"/>
    <w:rsid w:val="00857553"/>
    <w:rsid w:val="0086014F"/>
    <w:rsid w:val="00862BA7"/>
    <w:rsid w:val="00863544"/>
    <w:rsid w:val="00871C44"/>
    <w:rsid w:val="008754D6"/>
    <w:rsid w:val="00876EBB"/>
    <w:rsid w:val="00882312"/>
    <w:rsid w:val="0088370B"/>
    <w:rsid w:val="00892D99"/>
    <w:rsid w:val="008A4BB2"/>
    <w:rsid w:val="008A683D"/>
    <w:rsid w:val="008B329D"/>
    <w:rsid w:val="008C3A0C"/>
    <w:rsid w:val="008D06EA"/>
    <w:rsid w:val="008D6B84"/>
    <w:rsid w:val="008E1961"/>
    <w:rsid w:val="008E38F6"/>
    <w:rsid w:val="008F1795"/>
    <w:rsid w:val="008F4CB1"/>
    <w:rsid w:val="0090695C"/>
    <w:rsid w:val="00914F15"/>
    <w:rsid w:val="009159BE"/>
    <w:rsid w:val="009224F6"/>
    <w:rsid w:val="0093171A"/>
    <w:rsid w:val="00934436"/>
    <w:rsid w:val="00935013"/>
    <w:rsid w:val="009403A3"/>
    <w:rsid w:val="009427BE"/>
    <w:rsid w:val="00942E2A"/>
    <w:rsid w:val="00943D38"/>
    <w:rsid w:val="00944592"/>
    <w:rsid w:val="009501A1"/>
    <w:rsid w:val="0095076E"/>
    <w:rsid w:val="0095770A"/>
    <w:rsid w:val="009605D2"/>
    <w:rsid w:val="00960E85"/>
    <w:rsid w:val="009635D0"/>
    <w:rsid w:val="00990039"/>
    <w:rsid w:val="0099336B"/>
    <w:rsid w:val="00993D68"/>
    <w:rsid w:val="009947B5"/>
    <w:rsid w:val="009963E3"/>
    <w:rsid w:val="0099794D"/>
    <w:rsid w:val="009A61B8"/>
    <w:rsid w:val="009A632C"/>
    <w:rsid w:val="009A793A"/>
    <w:rsid w:val="009B0083"/>
    <w:rsid w:val="009B3CF6"/>
    <w:rsid w:val="009B498E"/>
    <w:rsid w:val="009C2717"/>
    <w:rsid w:val="009C72E2"/>
    <w:rsid w:val="009C7E14"/>
    <w:rsid w:val="009E555F"/>
    <w:rsid w:val="009F7700"/>
    <w:rsid w:val="00A04150"/>
    <w:rsid w:val="00A07D31"/>
    <w:rsid w:val="00A12A40"/>
    <w:rsid w:val="00A140B1"/>
    <w:rsid w:val="00A1743E"/>
    <w:rsid w:val="00A17B6D"/>
    <w:rsid w:val="00A20F61"/>
    <w:rsid w:val="00A20FB3"/>
    <w:rsid w:val="00A26F2C"/>
    <w:rsid w:val="00A27572"/>
    <w:rsid w:val="00A3229B"/>
    <w:rsid w:val="00A42A5D"/>
    <w:rsid w:val="00A438EC"/>
    <w:rsid w:val="00A47D9E"/>
    <w:rsid w:val="00A60067"/>
    <w:rsid w:val="00A635AA"/>
    <w:rsid w:val="00A64E06"/>
    <w:rsid w:val="00A66B22"/>
    <w:rsid w:val="00A66F2B"/>
    <w:rsid w:val="00A722E2"/>
    <w:rsid w:val="00A753C9"/>
    <w:rsid w:val="00A81889"/>
    <w:rsid w:val="00A81C39"/>
    <w:rsid w:val="00A8345B"/>
    <w:rsid w:val="00A86901"/>
    <w:rsid w:val="00A872CF"/>
    <w:rsid w:val="00A9146B"/>
    <w:rsid w:val="00A92FC8"/>
    <w:rsid w:val="00A95C0E"/>
    <w:rsid w:val="00AA1A8F"/>
    <w:rsid w:val="00AA5C26"/>
    <w:rsid w:val="00AB5433"/>
    <w:rsid w:val="00AB5696"/>
    <w:rsid w:val="00AB65FA"/>
    <w:rsid w:val="00AC7131"/>
    <w:rsid w:val="00AC793B"/>
    <w:rsid w:val="00AC79C3"/>
    <w:rsid w:val="00AD33E5"/>
    <w:rsid w:val="00AD4B2A"/>
    <w:rsid w:val="00AF10B7"/>
    <w:rsid w:val="00AF4B87"/>
    <w:rsid w:val="00AF4D90"/>
    <w:rsid w:val="00B00967"/>
    <w:rsid w:val="00B06D4E"/>
    <w:rsid w:val="00B12346"/>
    <w:rsid w:val="00B2021F"/>
    <w:rsid w:val="00B25ED1"/>
    <w:rsid w:val="00B32918"/>
    <w:rsid w:val="00B36B60"/>
    <w:rsid w:val="00B40426"/>
    <w:rsid w:val="00B41212"/>
    <w:rsid w:val="00B42070"/>
    <w:rsid w:val="00B43E3E"/>
    <w:rsid w:val="00B448E0"/>
    <w:rsid w:val="00B5074E"/>
    <w:rsid w:val="00B508CB"/>
    <w:rsid w:val="00B552BC"/>
    <w:rsid w:val="00B64762"/>
    <w:rsid w:val="00B77294"/>
    <w:rsid w:val="00B80FE4"/>
    <w:rsid w:val="00B81731"/>
    <w:rsid w:val="00B92517"/>
    <w:rsid w:val="00BA2B00"/>
    <w:rsid w:val="00BA2F3A"/>
    <w:rsid w:val="00BA2FF0"/>
    <w:rsid w:val="00BB1944"/>
    <w:rsid w:val="00BB3EB4"/>
    <w:rsid w:val="00BB5801"/>
    <w:rsid w:val="00BB5ABE"/>
    <w:rsid w:val="00BC12BF"/>
    <w:rsid w:val="00BC1D91"/>
    <w:rsid w:val="00BC4FC5"/>
    <w:rsid w:val="00BD0313"/>
    <w:rsid w:val="00BE4BB0"/>
    <w:rsid w:val="00BE5ED3"/>
    <w:rsid w:val="00BF2381"/>
    <w:rsid w:val="00BF5037"/>
    <w:rsid w:val="00C02CD6"/>
    <w:rsid w:val="00C04B5C"/>
    <w:rsid w:val="00C10C17"/>
    <w:rsid w:val="00C12244"/>
    <w:rsid w:val="00C1629F"/>
    <w:rsid w:val="00C16FD6"/>
    <w:rsid w:val="00C203E5"/>
    <w:rsid w:val="00C271CA"/>
    <w:rsid w:val="00C31D4B"/>
    <w:rsid w:val="00C33FF9"/>
    <w:rsid w:val="00C40A7B"/>
    <w:rsid w:val="00C55283"/>
    <w:rsid w:val="00C66CFE"/>
    <w:rsid w:val="00C761B6"/>
    <w:rsid w:val="00C915BD"/>
    <w:rsid w:val="00C948A7"/>
    <w:rsid w:val="00CA5E9C"/>
    <w:rsid w:val="00CA5F28"/>
    <w:rsid w:val="00CA7923"/>
    <w:rsid w:val="00CB1CD6"/>
    <w:rsid w:val="00CB2FE2"/>
    <w:rsid w:val="00CB63AD"/>
    <w:rsid w:val="00CB66F5"/>
    <w:rsid w:val="00CC3BD4"/>
    <w:rsid w:val="00CD7C35"/>
    <w:rsid w:val="00CE338D"/>
    <w:rsid w:val="00CE595C"/>
    <w:rsid w:val="00CF018E"/>
    <w:rsid w:val="00CF01A0"/>
    <w:rsid w:val="00CF4FF2"/>
    <w:rsid w:val="00D0040D"/>
    <w:rsid w:val="00D048EE"/>
    <w:rsid w:val="00D137D9"/>
    <w:rsid w:val="00D14238"/>
    <w:rsid w:val="00D15CC2"/>
    <w:rsid w:val="00D243B1"/>
    <w:rsid w:val="00D2563A"/>
    <w:rsid w:val="00D3337C"/>
    <w:rsid w:val="00D378B1"/>
    <w:rsid w:val="00D445FC"/>
    <w:rsid w:val="00D44C95"/>
    <w:rsid w:val="00D456E7"/>
    <w:rsid w:val="00D46945"/>
    <w:rsid w:val="00D54787"/>
    <w:rsid w:val="00D55228"/>
    <w:rsid w:val="00D610BD"/>
    <w:rsid w:val="00D6181C"/>
    <w:rsid w:val="00D64079"/>
    <w:rsid w:val="00D67529"/>
    <w:rsid w:val="00D675A4"/>
    <w:rsid w:val="00D7239A"/>
    <w:rsid w:val="00D732CA"/>
    <w:rsid w:val="00D75C0B"/>
    <w:rsid w:val="00D763B0"/>
    <w:rsid w:val="00D91E18"/>
    <w:rsid w:val="00D92087"/>
    <w:rsid w:val="00D95100"/>
    <w:rsid w:val="00D971B6"/>
    <w:rsid w:val="00D971C2"/>
    <w:rsid w:val="00DA0F78"/>
    <w:rsid w:val="00DB1117"/>
    <w:rsid w:val="00DB47D7"/>
    <w:rsid w:val="00DB6D67"/>
    <w:rsid w:val="00DD3F35"/>
    <w:rsid w:val="00DD6C8B"/>
    <w:rsid w:val="00DD7190"/>
    <w:rsid w:val="00DD72BF"/>
    <w:rsid w:val="00DD7735"/>
    <w:rsid w:val="00DE1EB5"/>
    <w:rsid w:val="00DE227A"/>
    <w:rsid w:val="00DE618A"/>
    <w:rsid w:val="00DF0B15"/>
    <w:rsid w:val="00DF2192"/>
    <w:rsid w:val="00DF3205"/>
    <w:rsid w:val="00DF5AAA"/>
    <w:rsid w:val="00DF70DE"/>
    <w:rsid w:val="00E0764E"/>
    <w:rsid w:val="00E15FE9"/>
    <w:rsid w:val="00E16716"/>
    <w:rsid w:val="00E215A1"/>
    <w:rsid w:val="00E36F5A"/>
    <w:rsid w:val="00E4327F"/>
    <w:rsid w:val="00E54195"/>
    <w:rsid w:val="00E54C2F"/>
    <w:rsid w:val="00E551DE"/>
    <w:rsid w:val="00E5540A"/>
    <w:rsid w:val="00E57ABC"/>
    <w:rsid w:val="00E641A0"/>
    <w:rsid w:val="00E70C38"/>
    <w:rsid w:val="00E7263D"/>
    <w:rsid w:val="00E73B08"/>
    <w:rsid w:val="00E77979"/>
    <w:rsid w:val="00E82B31"/>
    <w:rsid w:val="00E95DA1"/>
    <w:rsid w:val="00EA4ADE"/>
    <w:rsid w:val="00EA5E5E"/>
    <w:rsid w:val="00EA689F"/>
    <w:rsid w:val="00EB02E6"/>
    <w:rsid w:val="00EB2FEC"/>
    <w:rsid w:val="00EC1910"/>
    <w:rsid w:val="00EC1E56"/>
    <w:rsid w:val="00EC36CB"/>
    <w:rsid w:val="00EC430B"/>
    <w:rsid w:val="00EC67F3"/>
    <w:rsid w:val="00EE5FF1"/>
    <w:rsid w:val="00EF3582"/>
    <w:rsid w:val="00F00DE0"/>
    <w:rsid w:val="00F02E32"/>
    <w:rsid w:val="00F117BC"/>
    <w:rsid w:val="00F12A62"/>
    <w:rsid w:val="00F14098"/>
    <w:rsid w:val="00F21FFB"/>
    <w:rsid w:val="00F2315C"/>
    <w:rsid w:val="00F23856"/>
    <w:rsid w:val="00F35D24"/>
    <w:rsid w:val="00F44104"/>
    <w:rsid w:val="00F46063"/>
    <w:rsid w:val="00F5693D"/>
    <w:rsid w:val="00F65B85"/>
    <w:rsid w:val="00F73340"/>
    <w:rsid w:val="00F75FC5"/>
    <w:rsid w:val="00F8137D"/>
    <w:rsid w:val="00F82C7C"/>
    <w:rsid w:val="00F86AB9"/>
    <w:rsid w:val="00F926DD"/>
    <w:rsid w:val="00F941D9"/>
    <w:rsid w:val="00F95F7D"/>
    <w:rsid w:val="00F96A33"/>
    <w:rsid w:val="00F97357"/>
    <w:rsid w:val="00FA775E"/>
    <w:rsid w:val="00FB338C"/>
    <w:rsid w:val="00FB50B1"/>
    <w:rsid w:val="00FC14E4"/>
    <w:rsid w:val="00FD1E75"/>
    <w:rsid w:val="00FD2274"/>
    <w:rsid w:val="00FD2654"/>
    <w:rsid w:val="00FD4EE9"/>
    <w:rsid w:val="00FD766E"/>
    <w:rsid w:val="00FE44D6"/>
    <w:rsid w:val="00FE63E1"/>
    <w:rsid w:val="00FF50A3"/>
    <w:rsid w:val="00FF7D5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6"/>
    <o:shapelayout v:ext="edit">
      <o:idmap v:ext="edit" data="1"/>
    </o:shapelayout>
  </w:shapeDefaults>
  <w:decimalSymbol w:val="."/>
  <w:listSeparator w:val=","/>
  <w14:docId w14:val="574C9E2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New Roman" w:hAnsi="Times" w:cs="Times New Roman"/>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line number" w:uiPriority="0"/>
    <w:lsdException w:name="page number" w:uiPriority="0"/>
    <w:lsdException w:name="endnote reference" w:uiPriority="0"/>
    <w:lsdException w:name="List Bullet" w:uiPriority="0"/>
    <w:lsdException w:name="List Number" w:uiPriority="0"/>
    <w:lsdException w:name="List Number 5"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pacing w:after="240"/>
    </w:pPr>
    <w:rPr>
      <w:rFonts w:ascii="Times New Roman" w:hAnsi="Times New Roman"/>
      <w:color w:val="000000"/>
      <w:sz w:val="22"/>
      <w:lang w:val="en-GB" w:eastAsia="zh-CN"/>
    </w:rPr>
  </w:style>
  <w:style w:type="paragraph" w:styleId="Heading1">
    <w:name w:val="heading 1"/>
    <w:aliases w:val="Para (1),Heading 1 Char1 Char,Heading 1 Char Char Char,Para (1) Char Char Char,Para (1) Char1 Char,Heading 1 Char1,Heading 1 Char Char,Para (1) Char Char,Para (1) Char1,Heading 1 Char1 Char Char,Heading 1 Char,Heading 1 Char1 Char Char Char"/>
    <w:basedOn w:val="Normal"/>
    <w:next w:val="Normal"/>
    <w:autoRedefine/>
    <w:uiPriority w:val="9"/>
    <w:qFormat/>
    <w:rsid w:val="00413E4A"/>
    <w:pPr>
      <w:keepNext/>
      <w:spacing w:before="120"/>
      <w:ind w:left="810" w:hanging="810"/>
      <w:outlineLvl w:val="0"/>
    </w:pPr>
    <w:rPr>
      <w:sz w:val="28"/>
    </w:rPr>
  </w:style>
  <w:style w:type="paragraph" w:styleId="Heading2">
    <w:name w:val="heading 2"/>
    <w:aliases w:val="SubPara (a),Heading 2 Char1 Char,SubPara (a) Char1 Char,Heading 2 Char3 Char Char,Heading 2 Char Char2 Char Char,Heading 2 Char1 Char Char1 Char Char,SubPara (a) Char Char Char1 Char Char,Heading 2 Char Char Char Char1 Char Char,Heading 2 C..."/>
    <w:basedOn w:val="Heading1"/>
    <w:next w:val="Normal"/>
    <w:autoRedefine/>
    <w:uiPriority w:val="9"/>
    <w:qFormat/>
    <w:rsid w:val="00FE44D6"/>
    <w:pPr>
      <w:widowControl w:val="0"/>
      <w:tabs>
        <w:tab w:val="left" w:pos="720"/>
      </w:tabs>
      <w:autoSpaceDE w:val="0"/>
      <w:autoSpaceDN w:val="0"/>
      <w:adjustRightInd w:val="0"/>
      <w:spacing w:before="240"/>
      <w:ind w:left="720" w:right="29" w:hanging="720"/>
      <w:outlineLvl w:val="1"/>
    </w:pPr>
    <w:rPr>
      <w:rFonts w:eastAsia="MS Mincho"/>
      <w:b/>
      <w:snapToGrid w:val="0"/>
      <w:color w:val="auto"/>
      <w:sz w:val="24"/>
      <w:szCs w:val="22"/>
      <w:lang w:val="en-US" w:eastAsia="en-US"/>
    </w:rPr>
  </w:style>
  <w:style w:type="paragraph" w:styleId="Heading3">
    <w:name w:val="heading 3"/>
    <w:aliases w:val="Heading 3 Char1 Char,Heading 3 Char Char Char,Char Char Char Char,Char Char1 Char,Sec"/>
    <w:basedOn w:val="Heading2"/>
    <w:next w:val="Normal"/>
    <w:autoRedefine/>
    <w:uiPriority w:val="9"/>
    <w:qFormat/>
    <w:rsid w:val="004D571E"/>
    <w:pPr>
      <w:keepLines/>
      <w:spacing w:before="120"/>
      <w:outlineLvl w:val="2"/>
    </w:pPr>
    <w:rPr>
      <w:b w:val="0"/>
      <w:i/>
    </w:rPr>
  </w:style>
  <w:style w:type="paragraph" w:styleId="Heading4">
    <w:name w:val="heading 4"/>
    <w:aliases w:val="MainPara"/>
    <w:basedOn w:val="Heading3"/>
    <w:next w:val="Normal"/>
    <w:autoRedefine/>
    <w:uiPriority w:val="9"/>
    <w:qFormat/>
    <w:rsid w:val="003D3418"/>
    <w:pPr>
      <w:keepLines w:val="0"/>
      <w:autoSpaceDE/>
      <w:autoSpaceDN/>
      <w:adjustRightInd/>
      <w:spacing w:before="0" w:after="60" w:line="276" w:lineRule="auto"/>
      <w:ind w:left="1440" w:right="0"/>
      <w:outlineLvl w:val="3"/>
    </w:pPr>
    <w:rPr>
      <w:b/>
      <w:i w:val="0"/>
      <w:sz w:val="22"/>
      <w:lang w:val="en-GB"/>
    </w:rPr>
  </w:style>
  <w:style w:type="paragraph" w:styleId="Heading5">
    <w:name w:val="heading 5"/>
    <w:aliases w:val="Subpara 2"/>
    <w:basedOn w:val="Heading1"/>
    <w:next w:val="Normal"/>
    <w:autoRedefine/>
    <w:uiPriority w:val="9"/>
    <w:qFormat/>
    <w:rsid w:val="00BB3EB4"/>
    <w:pPr>
      <w:widowControl w:val="0"/>
      <w:ind w:left="1702" w:firstLine="0"/>
      <w:outlineLvl w:val="4"/>
    </w:pPr>
    <w:rPr>
      <w:i/>
      <w:sz w:val="20"/>
    </w:rPr>
  </w:style>
  <w:style w:type="paragraph" w:styleId="Heading6">
    <w:name w:val="heading 6"/>
    <w:aliases w:val="Subpara 3"/>
    <w:basedOn w:val="Normal"/>
    <w:next w:val="Normal"/>
    <w:uiPriority w:val="9"/>
    <w:qFormat/>
    <w:pPr>
      <w:keepNext/>
      <w:tabs>
        <w:tab w:val="left" w:pos="230"/>
        <w:tab w:val="left" w:pos="1877"/>
      </w:tabs>
      <w:spacing w:before="48"/>
      <w:outlineLvl w:val="5"/>
    </w:pPr>
  </w:style>
  <w:style w:type="paragraph" w:styleId="Heading7">
    <w:name w:val="heading 7"/>
    <w:aliases w:val="Subpara 4"/>
    <w:basedOn w:val="Normal"/>
    <w:next w:val="Normal"/>
    <w:uiPriority w:val="9"/>
    <w:qFormat/>
    <w:pPr>
      <w:keepNext/>
      <w:numPr>
        <w:ilvl w:val="6"/>
        <w:numId w:val="6"/>
      </w:numPr>
      <w:spacing w:before="48"/>
      <w:jc w:val="center"/>
      <w:outlineLvl w:val="6"/>
    </w:pPr>
    <w:rPr>
      <w:b/>
    </w:rPr>
  </w:style>
  <w:style w:type="paragraph" w:styleId="Heading8">
    <w:name w:val="heading 8"/>
    <w:aliases w:val="Subpara 5"/>
    <w:basedOn w:val="Normal"/>
    <w:next w:val="Normal"/>
    <w:uiPriority w:val="9"/>
    <w:qFormat/>
    <w:pPr>
      <w:keepNext/>
      <w:numPr>
        <w:ilvl w:val="7"/>
        <w:numId w:val="6"/>
      </w:numPr>
      <w:tabs>
        <w:tab w:val="left" w:pos="2160"/>
        <w:tab w:val="left" w:pos="2880"/>
        <w:tab w:val="left" w:pos="3600"/>
        <w:tab w:val="left" w:pos="6480"/>
        <w:tab w:val="left" w:pos="7290"/>
        <w:tab w:val="left" w:pos="7920"/>
        <w:tab w:val="left" w:pos="8640"/>
      </w:tabs>
      <w:spacing w:line="240" w:lineRule="exact"/>
      <w:outlineLvl w:val="7"/>
    </w:pPr>
    <w:rPr>
      <w:b/>
    </w:rPr>
  </w:style>
  <w:style w:type="paragraph" w:styleId="Heading9">
    <w:name w:val="heading 9"/>
    <w:aliases w:val="Subpara 6"/>
    <w:basedOn w:val="Normal"/>
    <w:next w:val="Normal"/>
    <w:uiPriority w:val="9"/>
    <w:qFormat/>
    <w:pPr>
      <w:keepNext/>
      <w:numPr>
        <w:ilvl w:val="8"/>
        <w:numId w:val="6"/>
      </w:numPr>
      <w:spacing w:line="240" w:lineRule="atLeast"/>
      <w:jc w:val="center"/>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rChar2">
    <w:name w:val="Char Char2"/>
    <w:locked/>
    <w:rPr>
      <w:b/>
      <w:noProof w:val="0"/>
      <w:color w:val="000000"/>
      <w:sz w:val="28"/>
      <w:lang w:val="en-GB" w:eastAsia="zh-CN" w:bidi="ar-SA"/>
    </w:rPr>
  </w:style>
  <w:style w:type="character" w:customStyle="1" w:styleId="SubParaaCharChar">
    <w:name w:val="SubPara (a) Char Char"/>
    <w:rPr>
      <w:b/>
      <w:noProof w:val="0"/>
      <w:snapToGrid w:val="0"/>
      <w:color w:val="000000"/>
      <w:sz w:val="24"/>
      <w:szCs w:val="24"/>
      <w:lang w:val="en-GB" w:eastAsia="zh-CN" w:bidi="ar-SA"/>
    </w:rPr>
  </w:style>
  <w:style w:type="paragraph" w:styleId="BodyText">
    <w:name w:val="Body Text"/>
    <w:aliases w:val=" Char Char,Char Char,Body Text Char Char Char Char Char,Body Text Char Char Char Char"/>
    <w:basedOn w:val="Normal"/>
    <w:uiPriority w:val="99"/>
    <w:pPr>
      <w:spacing w:line="240" w:lineRule="atLeast"/>
    </w:pPr>
  </w:style>
  <w:style w:type="paragraph" w:styleId="Footer">
    <w:name w:val="footer"/>
    <w:basedOn w:val="Normal"/>
    <w:uiPriority w:val="99"/>
    <w:pPr>
      <w:tabs>
        <w:tab w:val="center" w:pos="4320"/>
        <w:tab w:val="right" w:pos="8640"/>
      </w:tabs>
    </w:pPr>
  </w:style>
  <w:style w:type="character" w:styleId="PageNumber">
    <w:name w:val="page number"/>
    <w:basedOn w:val="DefaultParagraphFont"/>
  </w:style>
  <w:style w:type="paragraph" w:styleId="Header">
    <w:name w:val="header"/>
    <w:aliases w:val="EthylHeader"/>
    <w:basedOn w:val="Normal"/>
    <w:link w:val="HeaderChar1"/>
    <w:uiPriority w:val="99"/>
    <w:pPr>
      <w:tabs>
        <w:tab w:val="center" w:pos="4320"/>
        <w:tab w:val="right" w:pos="8640"/>
      </w:tabs>
    </w:pPr>
  </w:style>
  <w:style w:type="paragraph" w:customStyle="1" w:styleId="ChapterHeading">
    <w:name w:val="Chapter Heading"/>
    <w:basedOn w:val="Heading1"/>
    <w:pPr>
      <w:keepNext w:val="0"/>
      <w:keepLines/>
      <w:ind w:left="2520" w:hanging="1440"/>
    </w:pPr>
    <w:rPr>
      <w:sz w:val="32"/>
    </w:rPr>
  </w:style>
  <w:style w:type="paragraph" w:customStyle="1" w:styleId="Bullet">
    <w:name w:val="Bullet"/>
    <w:basedOn w:val="Normal"/>
    <w:pPr>
      <w:numPr>
        <w:numId w:val="1"/>
      </w:numPr>
      <w:tabs>
        <w:tab w:val="left" w:pos="1531"/>
      </w:tabs>
      <w:spacing w:before="60" w:after="60"/>
    </w:pPr>
  </w:style>
  <w:style w:type="character" w:styleId="FootnoteReference">
    <w:name w:val="footnote reference"/>
    <w:aliases w:val="Footnote text,16 Point,Superscript 6 Point,number,Footnote reference number,Footnote symbol,note TESI,-E Fußnotenzeichen,SUPERS,stylish,ftref,Footnote Reference Superscript,-E Fuﬂnotenzeichen,-E Fuûnotenzeichen,EN Footnote Reference"/>
    <w:uiPriority w:val="99"/>
    <w:rPr>
      <w:vertAlign w:val="superscript"/>
    </w:rPr>
  </w:style>
  <w:style w:type="paragraph" w:styleId="ListBullet">
    <w:name w:val="List Bullet"/>
    <w:basedOn w:val="Normal"/>
    <w:pPr>
      <w:widowControl w:val="0"/>
      <w:ind w:left="425" w:hanging="425"/>
    </w:pPr>
    <w:rPr>
      <w:color w:val="auto"/>
    </w:rPr>
  </w:style>
  <w:style w:type="paragraph" w:styleId="ListNumber">
    <w:name w:val="List Number"/>
    <w:basedOn w:val="Normal"/>
    <w:pPr>
      <w:widowControl w:val="0"/>
      <w:spacing w:before="120"/>
      <w:ind w:left="1512" w:hanging="432"/>
    </w:pPr>
    <w:rPr>
      <w:color w:val="auto"/>
    </w:rPr>
  </w:style>
  <w:style w:type="paragraph" w:styleId="FootnoteText">
    <w:name w:val="footnote text"/>
    <w:aliases w:val="Geneva 9,Font: Geneva 9,Boston 10,f,Fußnotentextf,-E Fußnotentext,Fußnotentext Ursprung,-E Fußnotentext1,-E Fußnotentext2,-E Fußnotentext3,Fußnotentext Char1,Fußnotentext Char Char,Fußnotentext Char1 Char Char"/>
    <w:basedOn w:val="Normal"/>
    <w:uiPriority w:val="99"/>
    <w:pPr>
      <w:widowControl w:val="0"/>
    </w:pPr>
    <w:rPr>
      <w:color w:val="auto"/>
      <w:sz w:val="20"/>
    </w:rPr>
  </w:style>
  <w:style w:type="paragraph" w:styleId="BodyTextIndent">
    <w:name w:val="Body Text Indent"/>
    <w:basedOn w:val="Normal"/>
    <w:pPr>
      <w:spacing w:line="240" w:lineRule="atLeast"/>
      <w:ind w:left="2127" w:hanging="993"/>
    </w:pPr>
  </w:style>
  <w:style w:type="character" w:styleId="LineNumber">
    <w:name w:val="line number"/>
    <w:basedOn w:val="DefaultParagraphFont"/>
  </w:style>
  <w:style w:type="paragraph" w:customStyle="1" w:styleId="SummaryShading">
    <w:name w:val="Summary Shading"/>
    <w:basedOn w:val="Normal"/>
    <w:pPr>
      <w:shd w:val="pct5" w:color="808080" w:fill="auto"/>
      <w:spacing w:before="120" w:after="120"/>
      <w:jc w:val="both"/>
    </w:pPr>
    <w:rPr>
      <w:rFonts w:ascii="Garamond" w:hAnsi="Garamond"/>
      <w:color w:val="auto"/>
    </w:rPr>
  </w:style>
  <w:style w:type="paragraph" w:customStyle="1" w:styleId="MainText">
    <w:name w:val="Main Text"/>
    <w:pPr>
      <w:widowControl w:val="0"/>
      <w:spacing w:line="240" w:lineRule="exact"/>
      <w:ind w:left="567" w:hanging="567"/>
    </w:pPr>
    <w:rPr>
      <w:color w:val="000000"/>
      <w:lang w:val="en-US" w:eastAsia="zh-CN"/>
    </w:rPr>
  </w:style>
  <w:style w:type="paragraph" w:customStyle="1" w:styleId="Paragraph">
    <w:name w:val="Paragraph"/>
    <w:basedOn w:val="Normal"/>
    <w:pPr>
      <w:spacing w:before="120" w:after="120"/>
      <w:jc w:val="both"/>
    </w:pPr>
    <w:rPr>
      <w:rFonts w:ascii="Garamond" w:hAnsi="Garamond"/>
      <w:lang w:val="de-DE"/>
    </w:rPr>
  </w:style>
  <w:style w:type="paragraph" w:customStyle="1" w:styleId="DotPoints">
    <w:name w:val="Dot Points"/>
    <w:basedOn w:val="Normal"/>
    <w:pPr>
      <w:spacing w:after="60"/>
      <w:ind w:left="709" w:right="284" w:hanging="284"/>
      <w:jc w:val="both"/>
    </w:pPr>
    <w:rPr>
      <w:rFonts w:ascii="Garamond" w:hAnsi="Garamond"/>
      <w:color w:val="auto"/>
    </w:rPr>
  </w:style>
  <w:style w:type="paragraph" w:customStyle="1" w:styleId="Style1">
    <w:name w:val="Style1"/>
    <w:basedOn w:val="Normal"/>
    <w:link w:val="Style1Char"/>
    <w:qFormat/>
    <w:pPr>
      <w:spacing w:before="120" w:after="120" w:line="360" w:lineRule="auto"/>
    </w:pPr>
    <w:rPr>
      <w:rFonts w:ascii="Garamond" w:hAnsi="Garamond"/>
      <w:color w:val="auto"/>
      <w:lang w:val="en-AU"/>
    </w:rPr>
  </w:style>
  <w:style w:type="paragraph" w:customStyle="1" w:styleId="TableColumnHeading">
    <w:name w:val="Table Column Heading"/>
    <w:basedOn w:val="Normal"/>
    <w:pPr>
      <w:spacing w:before="80" w:after="120"/>
      <w:jc w:val="center"/>
    </w:pPr>
    <w:rPr>
      <w:rFonts w:ascii="Arial Narrow" w:hAnsi="Arial Narrow"/>
      <w:b/>
      <w:color w:val="auto"/>
      <w:sz w:val="20"/>
    </w:rPr>
  </w:style>
  <w:style w:type="paragraph" w:customStyle="1" w:styleId="TableDetails">
    <w:name w:val="Table Details"/>
    <w:basedOn w:val="Normal"/>
    <w:pPr>
      <w:spacing w:before="60" w:after="60"/>
      <w:ind w:left="113" w:right="113"/>
      <w:jc w:val="both"/>
    </w:pPr>
    <w:rPr>
      <w:rFonts w:ascii="Arial Narrow" w:hAnsi="Arial Narrow"/>
      <w:color w:val="auto"/>
      <w:sz w:val="20"/>
    </w:rPr>
  </w:style>
  <w:style w:type="paragraph" w:customStyle="1" w:styleId="TableHeading">
    <w:name w:val="Table Heading"/>
    <w:basedOn w:val="Normal"/>
    <w:pPr>
      <w:spacing w:before="120" w:after="120"/>
      <w:ind w:left="1134" w:hanging="1134"/>
      <w:jc w:val="both"/>
    </w:pPr>
    <w:rPr>
      <w:rFonts w:ascii="Arial" w:hAnsi="Arial"/>
      <w:b/>
      <w:color w:val="auto"/>
      <w:sz w:val="20"/>
    </w:rPr>
  </w:style>
  <w:style w:type="paragraph" w:customStyle="1" w:styleId="References">
    <w:name w:val="References"/>
    <w:basedOn w:val="Normal"/>
    <w:pPr>
      <w:keepLines/>
      <w:spacing w:before="60" w:after="60"/>
      <w:ind w:left="1134" w:hanging="1134"/>
      <w:jc w:val="both"/>
    </w:pPr>
    <w:rPr>
      <w:rFonts w:ascii="Garamond" w:hAnsi="Garamond"/>
      <w:color w:val="auto"/>
      <w:sz w:val="20"/>
    </w:rPr>
  </w:style>
  <w:style w:type="character" w:styleId="Hyperlink">
    <w:name w:val="Hyperlink"/>
    <w:uiPriority w:val="99"/>
    <w:rPr>
      <w:color w:val="0000FF"/>
      <w:u w:val="single"/>
    </w:rPr>
  </w:style>
  <w:style w:type="paragraph" w:styleId="Caption">
    <w:name w:val="caption"/>
    <w:basedOn w:val="Normal"/>
    <w:next w:val="Normal"/>
    <w:uiPriority w:val="35"/>
    <w:qFormat/>
    <w:pPr>
      <w:spacing w:line="240" w:lineRule="atLeast"/>
      <w:ind w:left="1077"/>
    </w:pPr>
    <w:rPr>
      <w:i/>
    </w:rPr>
  </w:style>
  <w:style w:type="character" w:styleId="CommentReference">
    <w:name w:val="annotation reference"/>
    <w:uiPriority w:val="99"/>
    <w:semiHidden/>
    <w:rPr>
      <w:sz w:val="16"/>
    </w:rPr>
  </w:style>
  <w:style w:type="paragraph" w:styleId="CommentText">
    <w:name w:val="annotation text"/>
    <w:basedOn w:val="Normal"/>
    <w:uiPriority w:val="99"/>
    <w:semiHidden/>
    <w:pPr>
      <w:widowControl w:val="0"/>
    </w:pPr>
    <w:rPr>
      <w:rFonts w:ascii="Arial" w:hAnsi="Arial"/>
      <w:color w:val="auto"/>
      <w:sz w:val="20"/>
    </w:rPr>
  </w:style>
  <w:style w:type="character" w:customStyle="1" w:styleId="CharChar1">
    <w:name w:val="Char Char1"/>
    <w:rPr>
      <w:rFonts w:ascii="Arial" w:hAnsi="Arial"/>
      <w:noProof w:val="0"/>
      <w:lang w:val="en-GB" w:eastAsia="zh-CN" w:bidi="ar-SA"/>
    </w:rPr>
  </w:style>
  <w:style w:type="paragraph" w:styleId="TOC1">
    <w:name w:val="toc 1"/>
    <w:basedOn w:val="Normal"/>
    <w:next w:val="Normal"/>
    <w:autoRedefine/>
    <w:uiPriority w:val="39"/>
    <w:qFormat/>
    <w:rsid w:val="00132C6A"/>
    <w:pPr>
      <w:spacing w:before="120" w:after="0"/>
    </w:pPr>
    <w:rPr>
      <w:rFonts w:asciiTheme="minorHAnsi" w:hAnsiTheme="minorHAnsi"/>
      <w:b/>
      <w:caps/>
      <w:szCs w:val="22"/>
    </w:rPr>
  </w:style>
  <w:style w:type="paragraph" w:styleId="TOC2">
    <w:name w:val="toc 2"/>
    <w:basedOn w:val="Normal"/>
    <w:next w:val="Normal"/>
    <w:autoRedefine/>
    <w:uiPriority w:val="39"/>
    <w:qFormat/>
    <w:rsid w:val="006579E0"/>
    <w:pPr>
      <w:tabs>
        <w:tab w:val="left" w:pos="1268"/>
        <w:tab w:val="right" w:leader="dot" w:pos="9015"/>
      </w:tabs>
      <w:spacing w:after="0"/>
      <w:ind w:left="1260" w:hanging="1040"/>
    </w:pPr>
    <w:rPr>
      <w:rFonts w:asciiTheme="minorHAnsi" w:hAnsiTheme="minorHAnsi"/>
      <w:b/>
      <w:smallCaps/>
      <w:noProof/>
      <w:szCs w:val="22"/>
    </w:rPr>
  </w:style>
  <w:style w:type="paragraph" w:styleId="TOC3">
    <w:name w:val="toc 3"/>
    <w:basedOn w:val="Normal"/>
    <w:next w:val="Normal"/>
    <w:autoRedefine/>
    <w:uiPriority w:val="39"/>
    <w:qFormat/>
    <w:rsid w:val="00943D38"/>
    <w:pPr>
      <w:tabs>
        <w:tab w:val="left" w:pos="1260"/>
        <w:tab w:val="right" w:leader="dot" w:pos="9360"/>
      </w:tabs>
      <w:spacing w:after="0"/>
      <w:ind w:left="1260" w:right="-310" w:hanging="820"/>
    </w:pPr>
    <w:rPr>
      <w:rFonts w:asciiTheme="minorHAnsi" w:hAnsiTheme="minorHAnsi"/>
      <w:i/>
      <w:szCs w:val="22"/>
    </w:rPr>
  </w:style>
  <w:style w:type="paragraph" w:styleId="TOC4">
    <w:name w:val="toc 4"/>
    <w:basedOn w:val="Normal"/>
    <w:next w:val="Normal"/>
    <w:autoRedefine/>
    <w:uiPriority w:val="39"/>
    <w:pPr>
      <w:spacing w:after="0"/>
      <w:ind w:left="660"/>
    </w:pPr>
    <w:rPr>
      <w:rFonts w:asciiTheme="minorHAnsi" w:hAnsiTheme="minorHAnsi"/>
      <w:sz w:val="18"/>
      <w:szCs w:val="18"/>
    </w:rPr>
  </w:style>
  <w:style w:type="paragraph" w:styleId="TOC5">
    <w:name w:val="toc 5"/>
    <w:basedOn w:val="Normal"/>
    <w:next w:val="Normal"/>
    <w:autoRedefine/>
    <w:uiPriority w:val="39"/>
    <w:pPr>
      <w:spacing w:after="0"/>
      <w:ind w:left="880"/>
    </w:pPr>
    <w:rPr>
      <w:rFonts w:asciiTheme="minorHAnsi" w:hAnsiTheme="minorHAnsi"/>
      <w:sz w:val="18"/>
      <w:szCs w:val="18"/>
    </w:rPr>
  </w:style>
  <w:style w:type="paragraph" w:styleId="TOC6">
    <w:name w:val="toc 6"/>
    <w:basedOn w:val="Normal"/>
    <w:next w:val="Normal"/>
    <w:autoRedefine/>
    <w:uiPriority w:val="39"/>
    <w:pPr>
      <w:spacing w:after="0"/>
      <w:ind w:left="1100"/>
    </w:pPr>
    <w:rPr>
      <w:rFonts w:asciiTheme="minorHAnsi" w:hAnsiTheme="minorHAnsi"/>
      <w:sz w:val="18"/>
      <w:szCs w:val="18"/>
    </w:rPr>
  </w:style>
  <w:style w:type="paragraph" w:styleId="TOC7">
    <w:name w:val="toc 7"/>
    <w:basedOn w:val="Normal"/>
    <w:next w:val="Normal"/>
    <w:autoRedefine/>
    <w:uiPriority w:val="39"/>
    <w:pPr>
      <w:spacing w:after="0"/>
      <w:ind w:left="1320"/>
    </w:pPr>
    <w:rPr>
      <w:rFonts w:asciiTheme="minorHAnsi" w:hAnsiTheme="minorHAnsi"/>
      <w:sz w:val="18"/>
      <w:szCs w:val="18"/>
    </w:rPr>
  </w:style>
  <w:style w:type="paragraph" w:styleId="TOC8">
    <w:name w:val="toc 8"/>
    <w:basedOn w:val="Normal"/>
    <w:next w:val="Normal"/>
    <w:autoRedefine/>
    <w:uiPriority w:val="39"/>
    <w:pPr>
      <w:spacing w:after="0"/>
      <w:ind w:left="1540"/>
    </w:pPr>
    <w:rPr>
      <w:rFonts w:asciiTheme="minorHAnsi" w:hAnsiTheme="minorHAnsi"/>
      <w:sz w:val="18"/>
      <w:szCs w:val="18"/>
    </w:rPr>
  </w:style>
  <w:style w:type="paragraph" w:styleId="TOC9">
    <w:name w:val="toc 9"/>
    <w:basedOn w:val="Normal"/>
    <w:next w:val="Normal"/>
    <w:autoRedefine/>
    <w:uiPriority w:val="39"/>
    <w:pPr>
      <w:spacing w:after="0"/>
      <w:ind w:left="1760"/>
    </w:pPr>
    <w:rPr>
      <w:rFonts w:asciiTheme="minorHAnsi" w:hAnsiTheme="minorHAnsi"/>
      <w:sz w:val="18"/>
      <w:szCs w:val="18"/>
    </w:rPr>
  </w:style>
  <w:style w:type="paragraph" w:customStyle="1" w:styleId="Table-Labels">
    <w:name w:val="Table-Labels"/>
    <w:basedOn w:val="Normal"/>
    <w:next w:val="Normal"/>
    <w:pPr>
      <w:keepNext/>
      <w:keepLines/>
      <w:spacing w:after="60"/>
      <w:ind w:left="2160" w:hanging="1080"/>
    </w:pPr>
    <w:rPr>
      <w:i/>
    </w:rPr>
  </w:style>
  <w:style w:type="paragraph" w:styleId="DocumentMap">
    <w:name w:val="Document Map"/>
    <w:basedOn w:val="Normal"/>
    <w:uiPriority w:val="99"/>
    <w:semiHidden/>
    <w:pPr>
      <w:shd w:val="clear" w:color="auto" w:fill="000080"/>
    </w:pPr>
    <w:rPr>
      <w:rFonts w:ascii="Tahoma" w:hAnsi="Tahoma"/>
    </w:rPr>
  </w:style>
  <w:style w:type="paragraph" w:customStyle="1" w:styleId="Table">
    <w:name w:val="Table"/>
    <w:basedOn w:val="Normal"/>
    <w:pPr>
      <w:keepLines/>
      <w:spacing w:after="0"/>
      <w:ind w:left="72" w:right="72"/>
    </w:pPr>
    <w:rPr>
      <w:snapToGrid w:val="0"/>
      <w:sz w:val="20"/>
    </w:rPr>
  </w:style>
  <w:style w:type="paragraph" w:customStyle="1" w:styleId="Tabel">
    <w:name w:val="Tabel"/>
    <w:basedOn w:val="Normal"/>
    <w:pPr>
      <w:spacing w:after="120"/>
    </w:pPr>
  </w:style>
  <w:style w:type="paragraph" w:styleId="BlockText">
    <w:name w:val="Block Text"/>
    <w:basedOn w:val="Normal"/>
    <w:pPr>
      <w:spacing w:before="120" w:after="120"/>
      <w:ind w:left="450" w:right="566"/>
      <w:jc w:val="both"/>
    </w:pPr>
    <w:rPr>
      <w:rFonts w:ascii="Garamond" w:hAnsi="Garamond"/>
      <w:i/>
      <w:color w:val="auto"/>
    </w:rPr>
  </w:style>
  <w:style w:type="paragraph" w:customStyle="1" w:styleId="Document">
    <w:name w:val="Document"/>
    <w:basedOn w:val="Normal"/>
    <w:pPr>
      <w:spacing w:after="0"/>
      <w:jc w:val="center"/>
    </w:pPr>
    <w:rPr>
      <w:rFonts w:ascii="CG Times" w:hAnsi="CG Times"/>
    </w:rPr>
  </w:style>
  <w:style w:type="paragraph" w:customStyle="1" w:styleId="Bibliogrphy">
    <w:name w:val="Bibliogrphy"/>
    <w:basedOn w:val="Normal"/>
    <w:pPr>
      <w:spacing w:after="0"/>
      <w:ind w:left="720" w:firstLine="720"/>
    </w:pPr>
    <w:rPr>
      <w:rFonts w:ascii="CG Times" w:hAnsi="CG Times"/>
    </w:rPr>
  </w:style>
  <w:style w:type="paragraph" w:customStyle="1" w:styleId="TechInit">
    <w:name w:val="Tech Init"/>
    <w:basedOn w:val="Normal"/>
    <w:pPr>
      <w:spacing w:after="0"/>
    </w:pPr>
    <w:rPr>
      <w:rFonts w:ascii="CG Times" w:hAnsi="CG Times"/>
    </w:rPr>
  </w:style>
  <w:style w:type="paragraph" w:customStyle="1" w:styleId="Technical">
    <w:name w:val="Technical"/>
    <w:basedOn w:val="Normal"/>
    <w:pPr>
      <w:spacing w:after="0"/>
    </w:pPr>
    <w:rPr>
      <w:rFonts w:ascii="CG Times" w:hAnsi="CG Times"/>
    </w:rPr>
  </w:style>
  <w:style w:type="paragraph" w:customStyle="1" w:styleId="Pleading">
    <w:name w:val="Pleading"/>
    <w:basedOn w:val="Normal"/>
    <w:pPr>
      <w:tabs>
        <w:tab w:val="right" w:pos="288"/>
      </w:tabs>
      <w:spacing w:after="0"/>
    </w:pPr>
    <w:rPr>
      <w:rFonts w:ascii="CG Times" w:hAnsi="CG Times"/>
    </w:rPr>
  </w:style>
  <w:style w:type="paragraph" w:customStyle="1" w:styleId="BulletList">
    <w:name w:val="Bullet List"/>
    <w:basedOn w:val="Normal"/>
    <w:pPr>
      <w:spacing w:after="0"/>
      <w:ind w:left="720"/>
    </w:pPr>
    <w:rPr>
      <w:rFonts w:ascii="Roman" w:hAnsi="Roman"/>
      <w:color w:val="auto"/>
      <w:lang w:val="it-IT"/>
    </w:rPr>
  </w:style>
  <w:style w:type="character" w:styleId="FollowedHyperlink">
    <w:name w:val="FollowedHyperlink"/>
    <w:uiPriority w:val="99"/>
    <w:rPr>
      <w:color w:val="800080"/>
      <w:u w:val="single"/>
    </w:rPr>
  </w:style>
  <w:style w:type="paragraph" w:styleId="Title">
    <w:name w:val="Title"/>
    <w:basedOn w:val="Normal"/>
    <w:link w:val="TitleChar1"/>
    <w:uiPriority w:val="10"/>
    <w:qFormat/>
    <w:pPr>
      <w:spacing w:line="240" w:lineRule="atLeast"/>
      <w:jc w:val="center"/>
    </w:pPr>
    <w:rPr>
      <w:b/>
      <w:sz w:val="32"/>
    </w:rPr>
  </w:style>
  <w:style w:type="paragraph" w:customStyle="1" w:styleId="Outline">
    <w:name w:val="Outline"/>
    <w:basedOn w:val="Normal"/>
    <w:pPr>
      <w:spacing w:before="240" w:after="0"/>
    </w:pPr>
    <w:rPr>
      <w:rFonts w:eastAsia="SimSun"/>
      <w:color w:val="auto"/>
      <w:kern w:val="28"/>
    </w:rPr>
  </w:style>
  <w:style w:type="paragraph" w:customStyle="1" w:styleId="Body">
    <w:name w:val="Body"/>
    <w:pPr>
      <w:widowControl w:val="0"/>
    </w:pPr>
    <w:rPr>
      <w:rFonts w:ascii="Times New Roman" w:hAnsi="Times New Roman"/>
      <w:sz w:val="24"/>
      <w:lang w:val="en-GB" w:eastAsia="zh-CN"/>
    </w:rPr>
  </w:style>
  <w:style w:type="character" w:styleId="EndnoteReference">
    <w:name w:val="endnote reference"/>
    <w:semiHidden/>
    <w:rPr>
      <w:vertAlign w:val="superscript"/>
    </w:rPr>
  </w:style>
  <w:style w:type="paragraph" w:customStyle="1" w:styleId="DefaultText">
    <w:name w:val="Default Text"/>
    <w:basedOn w:val="Normal"/>
    <w:pPr>
      <w:autoSpaceDE w:val="0"/>
      <w:autoSpaceDN w:val="0"/>
      <w:adjustRightInd w:val="0"/>
      <w:spacing w:after="0"/>
    </w:pPr>
    <w:rPr>
      <w:color w:val="auto"/>
    </w:rPr>
  </w:style>
  <w:style w:type="paragraph" w:customStyle="1" w:styleId="MSNormal">
    <w:name w:val="MSNormal"/>
    <w:basedOn w:val="Normal"/>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pPr>
    <w:rPr>
      <w:rFonts w:ascii="Chicago" w:hAnsi="Chicago"/>
      <w:color w:val="auto"/>
    </w:rPr>
  </w:style>
  <w:style w:type="paragraph" w:styleId="PlainText">
    <w:name w:val="Plain Text"/>
    <w:aliases w:val=" Char,Char"/>
    <w:basedOn w:val="Normal"/>
    <w:uiPriority w:val="99"/>
    <w:pPr>
      <w:spacing w:after="0"/>
    </w:pPr>
    <w:rPr>
      <w:rFonts w:ascii="Courier" w:eastAsia="Times" w:hAnsi="Courier"/>
      <w:color w:val="auto"/>
    </w:rPr>
  </w:style>
  <w:style w:type="paragraph" w:customStyle="1" w:styleId="Reference">
    <w:name w:val="Reference"/>
    <w:basedOn w:val="Normal"/>
    <w:pPr>
      <w:spacing w:after="60"/>
      <w:ind w:left="284"/>
    </w:pPr>
    <w:rPr>
      <w:color w:val="auto"/>
    </w:rPr>
  </w:style>
  <w:style w:type="paragraph" w:customStyle="1" w:styleId="Figures">
    <w:name w:val="Figures"/>
    <w:basedOn w:val="Normal"/>
    <w:pPr>
      <w:tabs>
        <w:tab w:val="center" w:pos="4680"/>
      </w:tabs>
      <w:suppressAutoHyphens/>
      <w:overflowPunct w:val="0"/>
      <w:autoSpaceDE w:val="0"/>
      <w:autoSpaceDN w:val="0"/>
      <w:adjustRightInd w:val="0"/>
      <w:spacing w:before="240" w:after="120"/>
      <w:jc w:val="both"/>
      <w:textAlignment w:val="baseline"/>
    </w:pPr>
    <w:rPr>
      <w:b/>
      <w:color w:val="auto"/>
    </w:rPr>
  </w:style>
  <w:style w:type="paragraph" w:styleId="BodyTextIndent2">
    <w:name w:val="Body Text Indent 2"/>
    <w:basedOn w:val="Normal"/>
    <w:pPr>
      <w:widowControl w:val="0"/>
      <w:spacing w:after="0"/>
      <w:ind w:firstLine="720"/>
      <w:jc w:val="both"/>
    </w:pPr>
    <w:rPr>
      <w:snapToGrid w:val="0"/>
      <w:color w:val="auto"/>
    </w:rPr>
  </w:style>
  <w:style w:type="paragraph" w:styleId="BodyTextIndent3">
    <w:name w:val="Body Text Indent 3"/>
    <w:basedOn w:val="Normal"/>
    <w:pPr>
      <w:widowControl w:val="0"/>
      <w:spacing w:after="0"/>
      <w:ind w:firstLine="720"/>
      <w:jc w:val="both"/>
    </w:pPr>
    <w:rPr>
      <w:snapToGrid w:val="0"/>
      <w:color w:val="FF0000"/>
    </w:rPr>
  </w:style>
  <w:style w:type="paragraph" w:styleId="BodyText2">
    <w:name w:val="Body Text 2"/>
    <w:basedOn w:val="Normal"/>
    <w:pPr>
      <w:spacing w:after="0"/>
      <w:jc w:val="center"/>
    </w:pPr>
    <w:rPr>
      <w:color w:val="auto"/>
      <w:sz w:val="48"/>
    </w:rPr>
  </w:style>
  <w:style w:type="paragraph" w:styleId="BodyText3">
    <w:name w:val="Body Text 3"/>
    <w:basedOn w:val="Normal"/>
    <w:pPr>
      <w:spacing w:after="0"/>
      <w:jc w:val="center"/>
    </w:pPr>
    <w:rPr>
      <w:color w:val="auto"/>
      <w:sz w:val="36"/>
    </w:rPr>
  </w:style>
  <w:style w:type="paragraph" w:customStyle="1" w:styleId="DefinitionL">
    <w:name w:val="Definition L"/>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pPr>
    <w:rPr>
      <w:rFonts w:ascii="Times New Roman" w:hAnsi="Times New Roman"/>
      <w:snapToGrid w:val="0"/>
      <w:sz w:val="24"/>
      <w:lang w:val="en-US" w:eastAsia="zh-CN"/>
    </w:rPr>
  </w:style>
  <w:style w:type="paragraph" w:customStyle="1" w:styleId="Tableheading0">
    <w:name w:val="Table heading"/>
    <w:basedOn w:val="Normal"/>
    <w:pPr>
      <w:keepNext/>
      <w:spacing w:before="120"/>
      <w:ind w:left="1984" w:hanging="907"/>
    </w:pPr>
    <w:rPr>
      <w:i/>
      <w:color w:val="auto"/>
    </w:rPr>
  </w:style>
  <w:style w:type="paragraph" w:customStyle="1" w:styleId="Figure">
    <w:name w:val="Figure"/>
    <w:basedOn w:val="Normal"/>
    <w:pPr>
      <w:widowControl w:val="0"/>
      <w:spacing w:line="-240" w:lineRule="auto"/>
      <w:ind w:left="1077"/>
    </w:pPr>
    <w:rPr>
      <w:rFonts w:ascii="Arial" w:hAnsi="Arial"/>
      <w:b/>
      <w:color w:val="auto"/>
    </w:rPr>
  </w:style>
  <w:style w:type="paragraph" w:styleId="Index1">
    <w:name w:val="index 1"/>
    <w:basedOn w:val="Normal"/>
    <w:next w:val="Normal"/>
    <w:autoRedefine/>
    <w:semiHidden/>
    <w:pPr>
      <w:ind w:left="240" w:hanging="240"/>
    </w:pPr>
    <w:rPr>
      <w:color w:val="auto"/>
    </w:rPr>
  </w:style>
  <w:style w:type="paragraph" w:customStyle="1" w:styleId="xl24">
    <w:name w:val="xl24"/>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olor w:val="auto"/>
    </w:rPr>
  </w:style>
  <w:style w:type="paragraph" w:customStyle="1" w:styleId="xl25">
    <w:name w:val="xl25"/>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b/>
      <w:color w:val="auto"/>
    </w:rPr>
  </w:style>
  <w:style w:type="paragraph" w:customStyle="1" w:styleId="xl26">
    <w:name w:val="xl2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b/>
      <w:color w:val="auto"/>
    </w:rPr>
  </w:style>
  <w:style w:type="paragraph" w:customStyle="1" w:styleId="xl27">
    <w:name w:val="xl27"/>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olor w:val="auto"/>
    </w:rPr>
  </w:style>
  <w:style w:type="paragraph" w:customStyle="1" w:styleId="xl28">
    <w:name w:val="xl28"/>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olor w:val="auto"/>
    </w:rPr>
  </w:style>
  <w:style w:type="paragraph" w:customStyle="1" w:styleId="xl29">
    <w:name w:val="xl2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olor w:val="auto"/>
    </w:rPr>
  </w:style>
  <w:style w:type="paragraph" w:customStyle="1" w:styleId="xl30">
    <w:name w:val="xl30"/>
    <w:basedOn w:val="Normal"/>
    <w:pPr>
      <w:pBdr>
        <w:top w:val="single" w:sz="4" w:space="0" w:color="auto"/>
        <w:left w:val="single" w:sz="4" w:space="0" w:color="auto"/>
        <w:bottom w:val="single" w:sz="4" w:space="0" w:color="auto"/>
      </w:pBdr>
      <w:spacing w:before="100" w:beforeAutospacing="1" w:after="100" w:afterAutospacing="1"/>
      <w:textAlignment w:val="top"/>
    </w:pPr>
    <w:rPr>
      <w:rFonts w:ascii="Arial" w:eastAsia="Arial Unicode MS" w:hAnsi="Arial"/>
      <w:color w:val="auto"/>
    </w:rPr>
  </w:style>
  <w:style w:type="paragraph" w:customStyle="1" w:styleId="xl31">
    <w:name w:val="xl3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eastAsia="Arial Unicode MS" w:hAnsi="Arial"/>
      <w:color w:val="auto"/>
    </w:rPr>
  </w:style>
  <w:style w:type="paragraph" w:customStyle="1" w:styleId="xl32">
    <w:name w:val="xl32"/>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b/>
      <w:color w:val="auto"/>
    </w:rPr>
  </w:style>
  <w:style w:type="paragraph" w:customStyle="1" w:styleId="xl33">
    <w:name w:val="xl3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b/>
      <w:color w:val="auto"/>
    </w:rPr>
  </w:style>
  <w:style w:type="character" w:styleId="Strong">
    <w:name w:val="Strong"/>
    <w:qFormat/>
    <w:rPr>
      <w:b/>
    </w:rPr>
  </w:style>
  <w:style w:type="paragraph" w:styleId="BalloonText">
    <w:name w:val="Balloon Text"/>
    <w:basedOn w:val="Normal"/>
    <w:uiPriority w:val="99"/>
    <w:rPr>
      <w:rFonts w:ascii="Tahoma" w:eastAsia="SimSun" w:hAnsi="Tahoma"/>
      <w:sz w:val="16"/>
    </w:rPr>
  </w:style>
  <w:style w:type="paragraph" w:styleId="NormalWeb">
    <w:name w:val="Normal (Web)"/>
    <w:basedOn w:val="Normal"/>
    <w:uiPriority w:val="99"/>
    <w:pPr>
      <w:spacing w:before="100" w:after="100"/>
    </w:pPr>
    <w:rPr>
      <w:color w:val="auto"/>
      <w:lang w:val="en-US"/>
    </w:rPr>
  </w:style>
  <w:style w:type="paragraph" w:customStyle="1" w:styleId="Thesisheading1">
    <w:name w:val="Thesisheading1"/>
    <w:basedOn w:val="BodyTextIndent2"/>
    <w:pPr>
      <w:widowControl/>
      <w:numPr>
        <w:numId w:val="2"/>
      </w:numPr>
      <w:spacing w:line="360" w:lineRule="auto"/>
    </w:pPr>
    <w:rPr>
      <w:rFonts w:ascii="Arial" w:hAnsi="Arial"/>
      <w:b/>
      <w:caps/>
      <w:snapToGrid/>
      <w:sz w:val="32"/>
    </w:rPr>
  </w:style>
  <w:style w:type="paragraph" w:customStyle="1" w:styleId="Thesisheading4">
    <w:name w:val="Thesisheading4"/>
    <w:basedOn w:val="Heading3"/>
    <w:pPr>
      <w:numPr>
        <w:ilvl w:val="2"/>
        <w:numId w:val="2"/>
      </w:numPr>
      <w:tabs>
        <w:tab w:val="clear" w:pos="720"/>
        <w:tab w:val="num" w:pos="2880"/>
      </w:tabs>
      <w:spacing w:line="360" w:lineRule="auto"/>
      <w:ind w:left="2880" w:hanging="360"/>
    </w:pPr>
    <w:rPr>
      <w:rFonts w:ascii="Arial" w:hAnsi="Arial"/>
      <w:b/>
      <w:snapToGrid/>
    </w:rPr>
  </w:style>
  <w:style w:type="paragraph" w:customStyle="1" w:styleId="font5">
    <w:name w:val="font5"/>
    <w:basedOn w:val="Normal"/>
    <w:pPr>
      <w:spacing w:before="100" w:after="100"/>
    </w:pPr>
    <w:rPr>
      <w:rFonts w:ascii="Arial" w:eastAsia="Arial Unicode MS" w:hAnsi="Arial"/>
      <w:color w:val="00FF00"/>
      <w:sz w:val="20"/>
      <w:lang w:val="en-AU"/>
    </w:rPr>
  </w:style>
  <w:style w:type="paragraph" w:customStyle="1" w:styleId="xl34">
    <w:name w:val="xl34"/>
    <w:basedOn w:val="Normal"/>
    <w:pPr>
      <w:pBdr>
        <w:left w:val="single" w:sz="4" w:space="0" w:color="auto"/>
        <w:bottom w:val="single" w:sz="4" w:space="0" w:color="auto"/>
        <w:right w:val="single" w:sz="4" w:space="0" w:color="auto"/>
      </w:pBdr>
      <w:spacing w:before="100" w:after="100"/>
      <w:textAlignment w:val="top"/>
    </w:pPr>
    <w:rPr>
      <w:rFonts w:ascii="Arial" w:eastAsia="Arial Unicode MS" w:hAnsi="Arial"/>
      <w:color w:val="auto"/>
      <w:lang w:val="en-AU"/>
    </w:rPr>
  </w:style>
  <w:style w:type="paragraph" w:customStyle="1" w:styleId="xl35">
    <w:name w:val="xl35"/>
    <w:basedOn w:val="Normal"/>
    <w:pPr>
      <w:pBdr>
        <w:left w:val="single" w:sz="4" w:space="0" w:color="auto"/>
        <w:bottom w:val="single" w:sz="4" w:space="0" w:color="auto"/>
        <w:right w:val="single" w:sz="4" w:space="0" w:color="auto"/>
      </w:pBdr>
      <w:spacing w:before="100" w:after="100"/>
      <w:textAlignment w:val="top"/>
    </w:pPr>
    <w:rPr>
      <w:rFonts w:ascii="Arial" w:eastAsia="Arial Unicode MS" w:hAnsi="Arial"/>
      <w:color w:val="auto"/>
      <w:lang w:val="en-AU"/>
    </w:rPr>
  </w:style>
  <w:style w:type="paragraph" w:customStyle="1" w:styleId="xl36">
    <w:name w:val="xl36"/>
    <w:basedOn w:val="Normal"/>
    <w:pPr>
      <w:pBdr>
        <w:top w:val="single" w:sz="4" w:space="0" w:color="auto"/>
        <w:left w:val="single" w:sz="4" w:space="0" w:color="auto"/>
        <w:bottom w:val="single" w:sz="4" w:space="0" w:color="auto"/>
        <w:right w:val="single" w:sz="4" w:space="0" w:color="auto"/>
      </w:pBdr>
      <w:spacing w:before="100" w:after="100"/>
      <w:textAlignment w:val="top"/>
    </w:pPr>
    <w:rPr>
      <w:rFonts w:ascii="Arial" w:eastAsia="Arial Unicode MS" w:hAnsi="Arial"/>
      <w:color w:val="auto"/>
      <w:lang w:val="en-AU"/>
    </w:rPr>
  </w:style>
  <w:style w:type="paragraph" w:customStyle="1" w:styleId="xl37">
    <w:name w:val="xl37"/>
    <w:basedOn w:val="Normal"/>
    <w:pPr>
      <w:pBdr>
        <w:top w:val="single" w:sz="4" w:space="0" w:color="auto"/>
        <w:left w:val="single" w:sz="4" w:space="0" w:color="auto"/>
        <w:bottom w:val="single" w:sz="4" w:space="0" w:color="auto"/>
        <w:right w:val="single" w:sz="4" w:space="0" w:color="auto"/>
      </w:pBdr>
      <w:spacing w:before="100" w:after="100"/>
      <w:textAlignment w:val="top"/>
    </w:pPr>
    <w:rPr>
      <w:rFonts w:ascii="Arial" w:eastAsia="Arial Unicode MS" w:hAnsi="Arial"/>
      <w:color w:val="auto"/>
      <w:lang w:val="en-AU"/>
    </w:rPr>
  </w:style>
  <w:style w:type="paragraph" w:customStyle="1" w:styleId="xl38">
    <w:name w:val="xl38"/>
    <w:basedOn w:val="Normal"/>
    <w:pPr>
      <w:pBdr>
        <w:top w:val="single" w:sz="4" w:space="0" w:color="auto"/>
        <w:left w:val="single" w:sz="4" w:space="0" w:color="auto"/>
        <w:bottom w:val="single" w:sz="4" w:space="0" w:color="auto"/>
        <w:right w:val="single" w:sz="4" w:space="0" w:color="auto"/>
      </w:pBdr>
      <w:spacing w:before="100" w:after="100"/>
      <w:textAlignment w:val="top"/>
    </w:pPr>
    <w:rPr>
      <w:rFonts w:ascii="Arial" w:eastAsia="Arial Unicode MS" w:hAnsi="Arial"/>
      <w:color w:val="auto"/>
      <w:lang w:val="en-AU"/>
    </w:rPr>
  </w:style>
  <w:style w:type="paragraph" w:customStyle="1" w:styleId="xl39">
    <w:name w:val="xl39"/>
    <w:basedOn w:val="Normal"/>
    <w:pPr>
      <w:pBdr>
        <w:top w:val="single" w:sz="4" w:space="0" w:color="auto"/>
        <w:left w:val="single" w:sz="4" w:space="0" w:color="auto"/>
        <w:bottom w:val="single" w:sz="4" w:space="0" w:color="auto"/>
        <w:right w:val="single" w:sz="4" w:space="0" w:color="auto"/>
      </w:pBdr>
      <w:shd w:val="clear" w:color="auto" w:fill="FFFFFF"/>
      <w:spacing w:before="100" w:after="100"/>
      <w:jc w:val="both"/>
      <w:textAlignment w:val="top"/>
    </w:pPr>
    <w:rPr>
      <w:rFonts w:ascii="Arial" w:eastAsia="Arial Unicode MS" w:hAnsi="Arial"/>
      <w:color w:val="auto"/>
      <w:lang w:val="en-AU"/>
    </w:rPr>
  </w:style>
  <w:style w:type="paragraph" w:customStyle="1" w:styleId="xl40">
    <w:name w:val="xl40"/>
    <w:basedOn w:val="Normal"/>
    <w:pPr>
      <w:pBdr>
        <w:top w:val="single" w:sz="4" w:space="0" w:color="auto"/>
        <w:left w:val="single" w:sz="4" w:space="0" w:color="auto"/>
        <w:bottom w:val="single" w:sz="4" w:space="0" w:color="auto"/>
        <w:right w:val="single" w:sz="4" w:space="0" w:color="auto"/>
      </w:pBdr>
      <w:shd w:val="clear" w:color="auto" w:fill="FFFFFF"/>
      <w:spacing w:before="100" w:after="100"/>
      <w:textAlignment w:val="top"/>
    </w:pPr>
    <w:rPr>
      <w:rFonts w:ascii="Arial" w:eastAsia="Arial Unicode MS" w:hAnsi="Arial"/>
      <w:color w:val="auto"/>
      <w:lang w:val="en-AU"/>
    </w:rPr>
  </w:style>
  <w:style w:type="paragraph" w:customStyle="1" w:styleId="xl41">
    <w:name w:val="xl41"/>
    <w:basedOn w:val="Normal"/>
    <w:pPr>
      <w:spacing w:before="100" w:after="100"/>
    </w:pPr>
    <w:rPr>
      <w:rFonts w:ascii="Arial" w:eastAsia="Arial Unicode MS" w:hAnsi="Arial"/>
      <w:color w:val="auto"/>
      <w:lang w:val="en-AU"/>
    </w:rPr>
  </w:style>
  <w:style w:type="paragraph" w:customStyle="1" w:styleId="xl42">
    <w:name w:val="xl42"/>
    <w:basedOn w:val="Normal"/>
    <w:pPr>
      <w:pBdr>
        <w:top w:val="single" w:sz="4" w:space="0" w:color="auto"/>
        <w:left w:val="single" w:sz="4" w:space="0" w:color="000000"/>
        <w:right w:val="single" w:sz="4" w:space="0" w:color="auto"/>
      </w:pBdr>
      <w:spacing w:before="100" w:after="100"/>
      <w:textAlignment w:val="top"/>
    </w:pPr>
    <w:rPr>
      <w:rFonts w:ascii="Arial" w:eastAsia="Arial Unicode MS" w:hAnsi="Arial"/>
      <w:color w:val="auto"/>
      <w:lang w:val="en-AU"/>
    </w:rPr>
  </w:style>
  <w:style w:type="paragraph" w:customStyle="1" w:styleId="xl43">
    <w:name w:val="xl43"/>
    <w:basedOn w:val="Normal"/>
    <w:pPr>
      <w:spacing w:before="100" w:after="100"/>
      <w:jc w:val="center"/>
    </w:pPr>
    <w:rPr>
      <w:rFonts w:ascii="Arial" w:eastAsia="Arial Unicode MS" w:hAnsi="Arial"/>
      <w:color w:val="auto"/>
      <w:lang w:val="en-AU"/>
    </w:rPr>
  </w:style>
  <w:style w:type="paragraph" w:customStyle="1" w:styleId="xl44">
    <w:name w:val="xl44"/>
    <w:basedOn w:val="Normal"/>
    <w:pPr>
      <w:spacing w:before="100" w:after="100"/>
      <w:textAlignment w:val="top"/>
    </w:pPr>
    <w:rPr>
      <w:rFonts w:ascii="Arial" w:eastAsia="Arial Unicode MS" w:hAnsi="Arial"/>
      <w:color w:val="auto"/>
      <w:lang w:val="en-AU"/>
    </w:rPr>
  </w:style>
  <w:style w:type="paragraph" w:customStyle="1" w:styleId="xl45">
    <w:name w:val="xl45"/>
    <w:basedOn w:val="Normal"/>
    <w:pPr>
      <w:pBdr>
        <w:top w:val="single" w:sz="4" w:space="0" w:color="auto"/>
        <w:left w:val="single" w:sz="4" w:space="0" w:color="auto"/>
        <w:bottom w:val="single" w:sz="4" w:space="0" w:color="auto"/>
        <w:right w:val="single" w:sz="4" w:space="0" w:color="auto"/>
      </w:pBdr>
      <w:spacing w:before="100" w:after="100"/>
      <w:jc w:val="center"/>
      <w:textAlignment w:val="top"/>
    </w:pPr>
    <w:rPr>
      <w:rFonts w:ascii="Arial" w:eastAsia="Arial Unicode MS" w:hAnsi="Arial"/>
      <w:color w:val="auto"/>
      <w:lang w:val="en-AU"/>
    </w:rPr>
  </w:style>
  <w:style w:type="paragraph" w:customStyle="1" w:styleId="xl46">
    <w:name w:val="xl46"/>
    <w:basedOn w:val="Normal"/>
    <w:pPr>
      <w:pBdr>
        <w:top w:val="single" w:sz="4" w:space="0" w:color="auto"/>
        <w:left w:val="single" w:sz="4" w:space="0" w:color="auto"/>
        <w:bottom w:val="single" w:sz="4" w:space="0" w:color="auto"/>
        <w:right w:val="single" w:sz="4" w:space="0" w:color="auto"/>
      </w:pBdr>
      <w:shd w:val="clear" w:color="auto" w:fill="FFFFFF"/>
      <w:spacing w:before="100" w:after="100"/>
      <w:textAlignment w:val="top"/>
    </w:pPr>
    <w:rPr>
      <w:rFonts w:ascii="Arial" w:eastAsia="Arial Unicode MS" w:hAnsi="Arial"/>
      <w:color w:val="auto"/>
      <w:lang w:val="en-AU"/>
    </w:rPr>
  </w:style>
  <w:style w:type="paragraph" w:customStyle="1" w:styleId="xl47">
    <w:name w:val="xl47"/>
    <w:basedOn w:val="Normal"/>
    <w:pPr>
      <w:pBdr>
        <w:left w:val="single" w:sz="4" w:space="0" w:color="auto"/>
        <w:bottom w:val="single" w:sz="4" w:space="0" w:color="auto"/>
        <w:right w:val="single" w:sz="4" w:space="0" w:color="auto"/>
      </w:pBdr>
      <w:spacing w:before="100" w:after="100"/>
      <w:jc w:val="center"/>
      <w:textAlignment w:val="top"/>
    </w:pPr>
    <w:rPr>
      <w:rFonts w:ascii="Arial" w:eastAsia="Arial Unicode MS" w:hAnsi="Arial"/>
      <w:color w:val="auto"/>
      <w:lang w:val="en-AU"/>
    </w:rPr>
  </w:style>
  <w:style w:type="paragraph" w:customStyle="1" w:styleId="xl48">
    <w:name w:val="xl48"/>
    <w:basedOn w:val="Normal"/>
    <w:pPr>
      <w:pBdr>
        <w:top w:val="single" w:sz="4" w:space="0" w:color="auto"/>
        <w:left w:val="single" w:sz="4" w:space="0" w:color="auto"/>
        <w:bottom w:val="single" w:sz="4" w:space="0" w:color="auto"/>
        <w:right w:val="single" w:sz="4" w:space="0" w:color="auto"/>
      </w:pBdr>
      <w:spacing w:before="100" w:after="100"/>
      <w:jc w:val="center"/>
      <w:textAlignment w:val="top"/>
    </w:pPr>
    <w:rPr>
      <w:rFonts w:ascii="Arial" w:eastAsia="Arial Unicode MS" w:hAnsi="Arial"/>
      <w:color w:val="auto"/>
      <w:lang w:val="en-AU"/>
    </w:rPr>
  </w:style>
  <w:style w:type="paragraph" w:customStyle="1" w:styleId="xl49">
    <w:name w:val="xl49"/>
    <w:basedOn w:val="Normal"/>
    <w:pPr>
      <w:pBdr>
        <w:left w:val="single" w:sz="4" w:space="0" w:color="auto"/>
        <w:bottom w:val="single" w:sz="4" w:space="0" w:color="auto"/>
        <w:right w:val="single" w:sz="4" w:space="0" w:color="auto"/>
      </w:pBdr>
      <w:spacing w:before="100" w:after="100"/>
      <w:jc w:val="center"/>
      <w:textAlignment w:val="top"/>
    </w:pPr>
    <w:rPr>
      <w:rFonts w:ascii="Arial" w:eastAsia="Arial Unicode MS" w:hAnsi="Arial"/>
      <w:color w:val="auto"/>
      <w:lang w:val="en-AU"/>
    </w:rPr>
  </w:style>
  <w:style w:type="paragraph" w:customStyle="1" w:styleId="xl50">
    <w:name w:val="xl50"/>
    <w:basedOn w:val="Normal"/>
    <w:pPr>
      <w:pBdr>
        <w:top w:val="single" w:sz="4" w:space="0" w:color="auto"/>
        <w:left w:val="single" w:sz="4" w:space="0" w:color="auto"/>
        <w:bottom w:val="single" w:sz="4" w:space="0" w:color="auto"/>
        <w:right w:val="single" w:sz="4" w:space="0" w:color="auto"/>
      </w:pBdr>
      <w:spacing w:before="100" w:after="100"/>
      <w:jc w:val="center"/>
      <w:textAlignment w:val="top"/>
    </w:pPr>
    <w:rPr>
      <w:rFonts w:ascii="Arial" w:eastAsia="Arial Unicode MS" w:hAnsi="Arial"/>
      <w:color w:val="auto"/>
      <w:lang w:val="en-AU"/>
    </w:rPr>
  </w:style>
  <w:style w:type="paragraph" w:customStyle="1" w:styleId="xl51">
    <w:name w:val="xl51"/>
    <w:basedOn w:val="Normal"/>
    <w:pPr>
      <w:pBdr>
        <w:top w:val="single" w:sz="4" w:space="0" w:color="auto"/>
        <w:left w:val="single" w:sz="4" w:space="0" w:color="auto"/>
        <w:bottom w:val="single" w:sz="4" w:space="0" w:color="auto"/>
        <w:right w:val="single" w:sz="4" w:space="0" w:color="auto"/>
      </w:pBdr>
      <w:shd w:val="clear" w:color="auto" w:fill="FFFFFF"/>
      <w:spacing w:before="100" w:after="100"/>
      <w:jc w:val="center"/>
      <w:textAlignment w:val="top"/>
    </w:pPr>
    <w:rPr>
      <w:rFonts w:ascii="Arial" w:eastAsia="Arial Unicode MS" w:hAnsi="Arial"/>
      <w:color w:val="auto"/>
      <w:lang w:val="en-AU"/>
    </w:rPr>
  </w:style>
  <w:style w:type="paragraph" w:customStyle="1" w:styleId="xl52">
    <w:name w:val="xl52"/>
    <w:basedOn w:val="Normal"/>
    <w:pPr>
      <w:pBdr>
        <w:top w:val="single" w:sz="4" w:space="0" w:color="auto"/>
        <w:left w:val="single" w:sz="4" w:space="0" w:color="auto"/>
        <w:bottom w:val="single" w:sz="4" w:space="0" w:color="auto"/>
        <w:right w:val="single" w:sz="4" w:space="0" w:color="auto"/>
      </w:pBdr>
      <w:spacing w:before="100" w:after="100"/>
      <w:jc w:val="center"/>
      <w:textAlignment w:val="top"/>
    </w:pPr>
    <w:rPr>
      <w:rFonts w:ascii="Arial" w:eastAsia="Arial Unicode MS" w:hAnsi="Arial"/>
      <w:color w:val="auto"/>
      <w:lang w:val="en-AU"/>
    </w:rPr>
  </w:style>
  <w:style w:type="paragraph" w:customStyle="1" w:styleId="xl53">
    <w:name w:val="xl53"/>
    <w:basedOn w:val="Normal"/>
    <w:pPr>
      <w:pBdr>
        <w:top w:val="single" w:sz="4" w:space="0" w:color="auto"/>
        <w:left w:val="single" w:sz="4" w:space="0" w:color="auto"/>
        <w:bottom w:val="single" w:sz="4" w:space="0" w:color="auto"/>
        <w:right w:val="single" w:sz="4" w:space="0" w:color="auto"/>
      </w:pBdr>
      <w:spacing w:before="100" w:after="100"/>
      <w:jc w:val="center"/>
      <w:textAlignment w:val="top"/>
    </w:pPr>
    <w:rPr>
      <w:rFonts w:ascii="Arial" w:eastAsia="Arial Unicode MS" w:hAnsi="Arial"/>
      <w:color w:val="auto"/>
      <w:lang w:val="en-AU"/>
    </w:rPr>
  </w:style>
  <w:style w:type="paragraph" w:customStyle="1" w:styleId="xl54">
    <w:name w:val="xl54"/>
    <w:basedOn w:val="Normal"/>
    <w:pPr>
      <w:pBdr>
        <w:top w:val="single" w:sz="4" w:space="0" w:color="auto"/>
        <w:left w:val="single" w:sz="4" w:space="0" w:color="auto"/>
        <w:bottom w:val="single" w:sz="4" w:space="0" w:color="auto"/>
        <w:right w:val="single" w:sz="4" w:space="0" w:color="auto"/>
      </w:pBdr>
      <w:spacing w:before="100" w:after="100"/>
      <w:jc w:val="center"/>
      <w:textAlignment w:val="top"/>
    </w:pPr>
    <w:rPr>
      <w:rFonts w:ascii="Arial" w:eastAsia="Arial Unicode MS" w:hAnsi="Arial"/>
      <w:color w:val="auto"/>
      <w:lang w:val="en-AU"/>
    </w:rPr>
  </w:style>
  <w:style w:type="paragraph" w:customStyle="1" w:styleId="xl55">
    <w:name w:val="xl55"/>
    <w:basedOn w:val="Normal"/>
    <w:pPr>
      <w:pBdr>
        <w:top w:val="single" w:sz="4" w:space="0" w:color="auto"/>
        <w:left w:val="single" w:sz="4" w:space="0" w:color="auto"/>
        <w:bottom w:val="single" w:sz="4" w:space="0" w:color="auto"/>
        <w:right w:val="single" w:sz="4" w:space="0" w:color="auto"/>
      </w:pBdr>
      <w:spacing w:before="100" w:after="100"/>
      <w:jc w:val="center"/>
      <w:textAlignment w:val="top"/>
    </w:pPr>
    <w:rPr>
      <w:rFonts w:ascii="Arial" w:eastAsia="Arial Unicode MS" w:hAnsi="Arial"/>
      <w:color w:val="auto"/>
      <w:lang w:val="en-AU"/>
    </w:rPr>
  </w:style>
  <w:style w:type="paragraph" w:customStyle="1" w:styleId="xl56">
    <w:name w:val="xl56"/>
    <w:basedOn w:val="Normal"/>
    <w:pPr>
      <w:pBdr>
        <w:top w:val="single" w:sz="4" w:space="0" w:color="auto"/>
        <w:left w:val="single" w:sz="4" w:space="0" w:color="auto"/>
        <w:bottom w:val="single" w:sz="4" w:space="0" w:color="auto"/>
        <w:right w:val="single" w:sz="4" w:space="0" w:color="auto"/>
      </w:pBdr>
      <w:spacing w:before="100" w:after="100"/>
      <w:jc w:val="center"/>
      <w:textAlignment w:val="top"/>
    </w:pPr>
    <w:rPr>
      <w:rFonts w:ascii="Arial" w:eastAsia="Arial Unicode MS" w:hAnsi="Arial"/>
      <w:color w:val="auto"/>
      <w:lang w:val="en-AU"/>
    </w:rPr>
  </w:style>
  <w:style w:type="paragraph" w:customStyle="1" w:styleId="Default">
    <w:name w:val="Default"/>
    <w:pPr>
      <w:autoSpaceDE w:val="0"/>
      <w:autoSpaceDN w:val="0"/>
      <w:adjustRightInd w:val="0"/>
    </w:pPr>
    <w:rPr>
      <w:rFonts w:ascii="Times New Roman" w:hAnsi="Times New Roman"/>
      <w:color w:val="000000"/>
      <w:sz w:val="24"/>
      <w:lang w:val="en-US"/>
    </w:rPr>
  </w:style>
  <w:style w:type="paragraph" w:styleId="ListNumber5">
    <w:name w:val="List Number 5"/>
    <w:basedOn w:val="Normal"/>
    <w:pPr>
      <w:numPr>
        <w:numId w:val="3"/>
      </w:numPr>
      <w:tabs>
        <w:tab w:val="clear" w:pos="1492"/>
        <w:tab w:val="num" w:pos="1800"/>
      </w:tabs>
      <w:spacing w:after="0"/>
      <w:ind w:left="1800"/>
    </w:pPr>
    <w:rPr>
      <w:color w:val="auto"/>
      <w:lang w:val="en-US"/>
    </w:rPr>
  </w:style>
  <w:style w:type="paragraph" w:customStyle="1" w:styleId="Sectionheading">
    <w:name w:val="Section heading"/>
    <w:basedOn w:val="Heading2"/>
    <w:pPr>
      <w:spacing w:before="120"/>
      <w:ind w:left="1080" w:hanging="1080"/>
    </w:pPr>
    <w:rPr>
      <w:snapToGrid/>
    </w:rPr>
  </w:style>
  <w:style w:type="paragraph" w:customStyle="1" w:styleId="Sectionsub-heading">
    <w:name w:val="Section sub-heading"/>
    <w:basedOn w:val="Heading3"/>
    <w:pPr>
      <w:spacing w:before="60"/>
      <w:ind w:left="2126" w:hanging="1049"/>
    </w:pPr>
    <w:rPr>
      <w:snapToGrid/>
    </w:rPr>
  </w:style>
  <w:style w:type="paragraph" w:customStyle="1" w:styleId="MainTextIndent">
    <w:name w:val="Main Text Indent"/>
    <w:basedOn w:val="MainText"/>
    <w:pPr>
      <w:tabs>
        <w:tab w:val="left" w:pos="567"/>
      </w:tabs>
      <w:ind w:left="993" w:hanging="993"/>
    </w:pPr>
  </w:style>
  <w:style w:type="paragraph" w:customStyle="1" w:styleId="MainTextDoubleIndent">
    <w:name w:val="Main Text Double Indent"/>
    <w:basedOn w:val="MainTextIndent"/>
    <w:pPr>
      <w:tabs>
        <w:tab w:val="left" w:pos="993"/>
      </w:tabs>
      <w:ind w:left="1418" w:hanging="1418"/>
    </w:pPr>
  </w:style>
  <w:style w:type="paragraph" w:customStyle="1" w:styleId="HeadingSub">
    <w:name w:val="Heading: Sub"/>
    <w:basedOn w:val="MainText"/>
    <w:rPr>
      <w:rFonts w:ascii="Futura" w:hAnsi="Futura"/>
    </w:rPr>
  </w:style>
  <w:style w:type="paragraph" w:customStyle="1" w:styleId="MainTextNon-indent">
    <w:name w:val="Main Text Non-indent"/>
    <w:basedOn w:val="MainText"/>
    <w:pPr>
      <w:ind w:left="0" w:firstLine="0"/>
    </w:pPr>
  </w:style>
  <w:style w:type="paragraph" w:customStyle="1" w:styleId="HeadingSection">
    <w:name w:val="Heading: Section"/>
    <w:basedOn w:val="Normal"/>
    <w:pPr>
      <w:widowControl w:val="0"/>
      <w:tabs>
        <w:tab w:val="left" w:pos="3969"/>
      </w:tabs>
      <w:spacing w:line="360" w:lineRule="exact"/>
      <w:ind w:left="1701" w:hanging="1701"/>
    </w:pPr>
    <w:rPr>
      <w:rFonts w:ascii="Arial" w:hAnsi="Arial"/>
    </w:rPr>
  </w:style>
  <w:style w:type="paragraph" w:customStyle="1" w:styleId="GCDCB12">
    <w:name w:val="GCD_CB12"/>
    <w:basedOn w:val="Normal"/>
    <w:next w:val="Normal"/>
    <w:pPr>
      <w:jc w:val="center"/>
    </w:pPr>
    <w:rPr>
      <w:b/>
      <w:color w:val="auto"/>
    </w:rPr>
  </w:style>
  <w:style w:type="paragraph" w:customStyle="1" w:styleId="Closeup">
    <w:name w:val="Closeup"/>
    <w:basedOn w:val="Normal"/>
    <w:pPr>
      <w:spacing w:after="0"/>
    </w:pPr>
    <w:rPr>
      <w:color w:val="auto"/>
      <w:lang w:eastAsia="ja-JP"/>
    </w:rPr>
  </w:style>
  <w:style w:type="paragraph" w:customStyle="1" w:styleId="ScreenFormat-1">
    <w:name w:val="ScreenFormat-1"/>
    <w:basedOn w:val="Normal"/>
    <w:pPr>
      <w:spacing w:before="120" w:after="120"/>
    </w:pPr>
    <w:rPr>
      <w:color w:val="auto"/>
      <w:sz w:val="32"/>
      <w:lang w:eastAsia="ja-JP"/>
    </w:rPr>
  </w:style>
  <w:style w:type="paragraph" w:customStyle="1" w:styleId="TableText">
    <w:name w:val="TableText"/>
    <w:basedOn w:val="BodyText"/>
    <w:pPr>
      <w:keepLines/>
      <w:spacing w:after="0" w:line="240" w:lineRule="auto"/>
    </w:pPr>
    <w:rPr>
      <w:rFonts w:eastAsia="Times"/>
      <w:color w:val="auto"/>
      <w:sz w:val="20"/>
      <w:lang w:val="en-US" w:eastAsia="ja-JP"/>
    </w:rPr>
  </w:style>
  <w:style w:type="paragraph" w:customStyle="1" w:styleId="Equation">
    <w:name w:val="Equation"/>
    <w:basedOn w:val="BodyText"/>
    <w:pPr>
      <w:keepLines/>
      <w:tabs>
        <w:tab w:val="right" w:pos="9639"/>
      </w:tabs>
      <w:spacing w:after="0" w:line="240" w:lineRule="auto"/>
      <w:ind w:left="567"/>
    </w:pPr>
    <w:rPr>
      <w:rFonts w:eastAsia="Times"/>
      <w:color w:val="auto"/>
      <w:lang w:val="en-US" w:eastAsia="ja-JP"/>
    </w:rPr>
  </w:style>
  <w:style w:type="paragraph" w:customStyle="1" w:styleId="Note">
    <w:name w:val="Note"/>
    <w:basedOn w:val="BodyText"/>
    <w:pPr>
      <w:keepLines/>
      <w:pBdr>
        <w:top w:val="single" w:sz="2" w:space="1" w:color="808080"/>
        <w:left w:val="single" w:sz="2" w:space="4" w:color="808080"/>
        <w:bottom w:val="single" w:sz="2" w:space="1" w:color="808080"/>
        <w:right w:val="single" w:sz="2" w:space="4" w:color="808080"/>
      </w:pBdr>
      <w:spacing w:after="0" w:line="240" w:lineRule="auto"/>
    </w:pPr>
    <w:rPr>
      <w:rFonts w:eastAsia="Times"/>
      <w:i/>
      <w:color w:val="auto"/>
      <w:lang w:val="en-US" w:eastAsia="ja-JP"/>
    </w:rPr>
  </w:style>
  <w:style w:type="paragraph" w:customStyle="1" w:styleId="AR4Listbullet1">
    <w:name w:val="AR4 List bullet 1"/>
    <w:basedOn w:val="Normal"/>
    <w:pPr>
      <w:numPr>
        <w:numId w:val="4"/>
      </w:numPr>
      <w:spacing w:after="0"/>
    </w:pPr>
    <w:rPr>
      <w:rFonts w:ascii="Times" w:eastAsia="Times" w:hAnsi="Times"/>
      <w:color w:val="auto"/>
      <w:lang w:val="en-US" w:eastAsia="ja-JP"/>
    </w:rPr>
  </w:style>
  <w:style w:type="paragraph" w:customStyle="1" w:styleId="OurCaption">
    <w:name w:val="OurCaption"/>
    <w:basedOn w:val="Normal"/>
    <w:pPr>
      <w:spacing w:after="0"/>
      <w:ind w:right="12"/>
    </w:pPr>
    <w:rPr>
      <w:rFonts w:eastAsia="Times"/>
      <w:color w:val="auto"/>
      <w:sz w:val="20"/>
      <w:lang w:eastAsia="ja-JP"/>
    </w:rPr>
  </w:style>
  <w:style w:type="paragraph" w:customStyle="1" w:styleId="Paralevel1">
    <w:name w:val="Para level1"/>
    <w:basedOn w:val="Normal"/>
    <w:autoRedefine/>
    <w:pPr>
      <w:tabs>
        <w:tab w:val="left" w:pos="2070"/>
      </w:tabs>
      <w:suppressAutoHyphens/>
    </w:pPr>
    <w:rPr>
      <w:color w:val="auto"/>
      <w:sz w:val="20"/>
    </w:rPr>
  </w:style>
  <w:style w:type="paragraph" w:customStyle="1" w:styleId="CH4">
    <w:name w:val="CH4"/>
    <w:basedOn w:val="Normal"/>
    <w:autoRedefine/>
    <w:pPr>
      <w:keepNext/>
      <w:keepLines/>
      <w:numPr>
        <w:numId w:val="5"/>
      </w:numPr>
      <w:tabs>
        <w:tab w:val="clear" w:pos="0"/>
        <w:tab w:val="num" w:pos="360"/>
      </w:tabs>
      <w:spacing w:before="120"/>
      <w:ind w:left="0"/>
    </w:pPr>
    <w:rPr>
      <w:b/>
      <w:color w:val="auto"/>
      <w:sz w:val="20"/>
    </w:rPr>
  </w:style>
  <w:style w:type="character" w:customStyle="1" w:styleId="Para1Car">
    <w:name w:val="Para (1) Car"/>
    <w:aliases w:val="Heading 1 Char1 Char Car,Heading 1 Char Char Char Car,Para (1) Char Char Char Car,Para (1) Char1 Char Car,Heading 1 Char1 Car,Heading 1 Char Char Car,Para (1) Char Char Car,Para (1) Char1 Car,Heading 1 Char1 Char Char Car,Heading 1 Char Car"/>
    <w:rPr>
      <w:rFonts w:ascii="Arial" w:eastAsia="MS Mincho" w:hAnsi="Arial" w:cs="Arial"/>
      <w:b/>
      <w:bCs/>
      <w:noProof w:val="0"/>
      <w:kern w:val="32"/>
      <w:sz w:val="32"/>
      <w:szCs w:val="32"/>
      <w:lang w:val="en-US" w:eastAsia="ja-JP" w:bidi="ar-SA"/>
    </w:rPr>
  </w:style>
  <w:style w:type="paragraph" w:customStyle="1" w:styleId="Titulo3">
    <w:name w:val="Titulo 3"/>
    <w:basedOn w:val="Normal"/>
    <w:pPr>
      <w:widowControl w:val="0"/>
      <w:spacing w:after="0"/>
      <w:ind w:left="1185"/>
      <w:jc w:val="both"/>
    </w:pPr>
    <w:rPr>
      <w:rFonts w:eastAsia="MS Mincho"/>
      <w:b/>
      <w:i/>
      <w:color w:val="auto"/>
      <w:kern w:val="2"/>
      <w:lang w:val="en-US" w:eastAsia="ja-JP"/>
    </w:rPr>
  </w:style>
  <w:style w:type="paragraph" w:customStyle="1" w:styleId="Style2">
    <w:name w:val="Style2"/>
    <w:basedOn w:val="Normal"/>
    <w:link w:val="Style2Char"/>
    <w:qFormat/>
    <w:pPr>
      <w:spacing w:after="0"/>
    </w:pPr>
    <w:rPr>
      <w:color w:val="auto"/>
      <w:lang w:eastAsia="en-GB"/>
    </w:rPr>
  </w:style>
  <w:style w:type="paragraph" w:customStyle="1" w:styleId="TEXTO">
    <w:name w:val="TEXTO"/>
    <w:pPr>
      <w:autoSpaceDE w:val="0"/>
      <w:autoSpaceDN w:val="0"/>
      <w:adjustRightInd w:val="0"/>
      <w:jc w:val="both"/>
    </w:pPr>
    <w:rPr>
      <w:rFonts w:ascii="Galliard" w:hAnsi="Galliard"/>
      <w:color w:val="000000"/>
      <w:sz w:val="22"/>
      <w:szCs w:val="22"/>
      <w:lang w:val="en-US"/>
    </w:rPr>
  </w:style>
  <w:style w:type="paragraph" w:customStyle="1" w:styleId="font6">
    <w:name w:val="font6"/>
    <w:basedOn w:val="Normal"/>
    <w:pPr>
      <w:spacing w:before="100" w:beforeAutospacing="1" w:after="100" w:afterAutospacing="1"/>
    </w:pPr>
    <w:rPr>
      <w:rFonts w:ascii="Arial" w:eastAsia="Arial Unicode MS" w:hAnsi="Arial" w:cs="Arial"/>
      <w:color w:val="auto"/>
      <w:sz w:val="20"/>
      <w:lang w:eastAsia="en-US"/>
    </w:rPr>
  </w:style>
  <w:style w:type="paragraph" w:customStyle="1" w:styleId="font7">
    <w:name w:val="font7"/>
    <w:basedOn w:val="Normal"/>
    <w:pPr>
      <w:spacing w:before="100" w:beforeAutospacing="1" w:after="100" w:afterAutospacing="1"/>
    </w:pPr>
    <w:rPr>
      <w:rFonts w:ascii="Arial" w:eastAsia="Arial Unicode MS" w:hAnsi="Arial" w:cs="Arial"/>
      <w:color w:val="FF0000"/>
      <w:sz w:val="20"/>
      <w:lang w:eastAsia="en-US"/>
    </w:rPr>
  </w:style>
  <w:style w:type="paragraph" w:customStyle="1" w:styleId="font8">
    <w:name w:val="font8"/>
    <w:basedOn w:val="Normal"/>
    <w:pPr>
      <w:spacing w:before="100" w:beforeAutospacing="1" w:after="100" w:afterAutospacing="1"/>
    </w:pPr>
    <w:rPr>
      <w:rFonts w:ascii="Arial" w:eastAsia="Arial Unicode MS" w:hAnsi="Arial" w:cs="Arial"/>
      <w:color w:val="0000FF"/>
      <w:sz w:val="20"/>
      <w:lang w:eastAsia="en-US"/>
    </w:rPr>
  </w:style>
  <w:style w:type="paragraph" w:customStyle="1" w:styleId="Normaalweb">
    <w:name w:val="Normaal (web)"/>
    <w:basedOn w:val="Normal"/>
    <w:pPr>
      <w:spacing w:before="100" w:beforeAutospacing="1" w:after="100" w:afterAutospacing="1"/>
    </w:pPr>
    <w:rPr>
      <w:szCs w:val="24"/>
      <w:lang w:val="fr-FR" w:eastAsia="fr-FR"/>
    </w:rPr>
  </w:style>
  <w:style w:type="character" w:customStyle="1" w:styleId="epaltsans1">
    <w:name w:val="epaltsans1"/>
    <w:rPr>
      <w:rFonts w:ascii="Arial" w:hAnsi="Arial" w:cs="Arial" w:hint="default"/>
      <w:sz w:val="16"/>
      <w:szCs w:val="16"/>
    </w:rPr>
  </w:style>
  <w:style w:type="paragraph" w:styleId="List">
    <w:name w:val="List"/>
    <w:basedOn w:val="Normal"/>
    <w:semiHidden/>
    <w:pPr>
      <w:spacing w:after="0"/>
      <w:ind w:left="360" w:hanging="360"/>
    </w:pPr>
    <w:rPr>
      <w:color w:val="auto"/>
      <w:szCs w:val="24"/>
      <w:lang w:val="en-US" w:eastAsia="en-US"/>
    </w:rPr>
  </w:style>
  <w:style w:type="character" w:customStyle="1" w:styleId="w">
    <w:name w:val="w"/>
    <w:basedOn w:val="DefaultParagraphFont"/>
  </w:style>
  <w:style w:type="paragraph" w:customStyle="1" w:styleId="BodyTextLetterBullets">
    <w:name w:val="Body Text + Letter Bullets"/>
    <w:basedOn w:val="BodyText"/>
    <w:pPr>
      <w:tabs>
        <w:tab w:val="num" w:pos="360"/>
      </w:tabs>
      <w:spacing w:before="120" w:after="0" w:line="288" w:lineRule="auto"/>
    </w:pPr>
    <w:rPr>
      <w:color w:val="auto"/>
      <w:szCs w:val="22"/>
      <w:lang w:val="en-US" w:eastAsia="en-US"/>
    </w:rPr>
  </w:style>
  <w:style w:type="paragraph" w:customStyle="1" w:styleId="BodyTextSmallBullets">
    <w:name w:val="Body Text + Small Bullets"/>
    <w:basedOn w:val="BodyText"/>
    <w:pPr>
      <w:tabs>
        <w:tab w:val="num" w:pos="360"/>
      </w:tabs>
      <w:spacing w:after="0" w:line="288" w:lineRule="auto"/>
    </w:pPr>
    <w:rPr>
      <w:color w:val="auto"/>
      <w:szCs w:val="22"/>
      <w:lang w:val="en-AU" w:eastAsia="en-US"/>
    </w:rPr>
  </w:style>
  <w:style w:type="paragraph" w:customStyle="1" w:styleId="BodyTextbullet">
    <w:name w:val="Body Text + bullet"/>
    <w:basedOn w:val="BodyText"/>
    <w:pPr>
      <w:tabs>
        <w:tab w:val="num" w:pos="360"/>
      </w:tabs>
      <w:spacing w:after="0" w:line="288" w:lineRule="auto"/>
    </w:pPr>
    <w:rPr>
      <w:color w:val="auto"/>
      <w:szCs w:val="22"/>
      <w:lang w:val="en-AU" w:eastAsia="en-US"/>
    </w:rPr>
  </w:style>
  <w:style w:type="paragraph" w:customStyle="1" w:styleId="Head1">
    <w:name w:val="Head 1"/>
    <w:basedOn w:val="Normal"/>
    <w:pPr>
      <w:tabs>
        <w:tab w:val="left" w:pos="340"/>
        <w:tab w:val="num" w:pos="720"/>
        <w:tab w:val="left" w:pos="2775"/>
        <w:tab w:val="left" w:pos="6300"/>
      </w:tabs>
      <w:autoSpaceDE w:val="0"/>
      <w:autoSpaceDN w:val="0"/>
      <w:adjustRightInd w:val="0"/>
      <w:spacing w:after="0"/>
      <w:ind w:left="340" w:hanging="340"/>
    </w:pPr>
    <w:rPr>
      <w:rFonts w:eastAsia="MS Mincho"/>
      <w:b/>
      <w:bCs/>
      <w:color w:val="auto"/>
      <w:szCs w:val="24"/>
      <w:lang w:val="en-US" w:eastAsia="en-US"/>
    </w:rPr>
  </w:style>
  <w:style w:type="paragraph" w:customStyle="1" w:styleId="xl57">
    <w:name w:val="xl57"/>
    <w:basedOn w:val="Normal"/>
    <w:pPr>
      <w:shd w:val="clear" w:color="auto" w:fill="FFFFFF"/>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58">
    <w:name w:val="xl58"/>
    <w:basedOn w:val="Normal"/>
    <w:pPr>
      <w:pBdr>
        <w:left w:val="single" w:sz="4" w:space="0" w:color="auto"/>
        <w:right w:val="single" w:sz="4" w:space="0" w:color="auto"/>
      </w:pBdr>
      <w:shd w:val="clear" w:color="auto" w:fill="FFFFFF"/>
      <w:spacing w:before="100" w:beforeAutospacing="1" w:after="100" w:afterAutospacing="1"/>
      <w:jc w:val="center"/>
    </w:pPr>
    <w:rPr>
      <w:rFonts w:ascii="Arial Unicode MS" w:hAnsi="Arial Unicode MS" w:cs="ArialUnicodeMS"/>
      <w:b/>
      <w:bCs/>
      <w:color w:val="auto"/>
      <w:sz w:val="12"/>
      <w:szCs w:val="12"/>
      <w:lang w:val="en-AU" w:eastAsia="en-US"/>
    </w:rPr>
  </w:style>
  <w:style w:type="paragraph" w:customStyle="1" w:styleId="xl59">
    <w:name w:val="xl59"/>
    <w:basedOn w:val="Normal"/>
    <w:pPr>
      <w:shd w:val="clear" w:color="auto" w:fill="FFFFFF"/>
      <w:spacing w:before="100" w:beforeAutospacing="1" w:after="100" w:afterAutospacing="1"/>
      <w:jc w:val="center"/>
    </w:pPr>
    <w:rPr>
      <w:rFonts w:ascii="Arial Unicode MS" w:hAnsi="Arial Unicode MS" w:cs="ArialUnicodeMS"/>
      <w:b/>
      <w:bCs/>
      <w:color w:val="auto"/>
      <w:sz w:val="12"/>
      <w:szCs w:val="12"/>
      <w:lang w:val="en-AU" w:eastAsia="en-US"/>
    </w:rPr>
  </w:style>
  <w:style w:type="paragraph" w:customStyle="1" w:styleId="xl60">
    <w:name w:val="xl60"/>
    <w:basedOn w:val="Normal"/>
    <w:pPr>
      <w:pBdr>
        <w:right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61">
    <w:name w:val="xl61"/>
    <w:basedOn w:val="Normal"/>
    <w:pPr>
      <w:pBdr>
        <w:top w:val="single" w:sz="4" w:space="0" w:color="auto"/>
        <w:bottom w:val="single" w:sz="4" w:space="0" w:color="auto"/>
      </w:pBdr>
      <w:shd w:val="clear" w:color="auto" w:fill="FFFFFF"/>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62">
    <w:name w:val="xl62"/>
    <w:basedOn w:val="Normal"/>
    <w:pPr>
      <w:pBdr>
        <w:top w:val="single" w:sz="4" w:space="0" w:color="auto"/>
        <w:bottom w:val="single" w:sz="4" w:space="0" w:color="auto"/>
      </w:pBdr>
      <w:shd w:val="clear" w:color="auto" w:fill="FFFFFF"/>
      <w:spacing w:before="100" w:beforeAutospacing="1" w:after="100" w:afterAutospacing="1"/>
      <w:jc w:val="center"/>
    </w:pPr>
    <w:rPr>
      <w:rFonts w:ascii="Arial Unicode MS" w:hAnsi="Arial Unicode MS" w:cs="ArialUnicodeMS"/>
      <w:b/>
      <w:bCs/>
      <w:color w:val="auto"/>
      <w:sz w:val="12"/>
      <w:szCs w:val="12"/>
      <w:lang w:val="en-AU" w:eastAsia="en-US"/>
    </w:rPr>
  </w:style>
  <w:style w:type="paragraph" w:customStyle="1" w:styleId="xl63">
    <w:name w:val="xl63"/>
    <w:basedOn w:val="Normal"/>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64">
    <w:name w:val="xl64"/>
    <w:basedOn w:val="Normal"/>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65">
    <w:name w:val="xl65"/>
    <w:basedOn w:val="Normal"/>
    <w:pPr>
      <w:pBdr>
        <w:top w:val="single" w:sz="4" w:space="0" w:color="auto"/>
      </w:pBdr>
      <w:shd w:val="clear" w:color="auto" w:fill="FFFFFF"/>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66">
    <w:name w:val="xl66"/>
    <w:basedOn w:val="Normal"/>
    <w:pPr>
      <w:pBdr>
        <w:top w:val="single" w:sz="4" w:space="0" w:color="auto"/>
        <w:right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67">
    <w:name w:val="xl67"/>
    <w:basedOn w:val="Normal"/>
    <w:pPr>
      <w:pBdr>
        <w:top w:val="single" w:sz="4" w:space="0" w:color="auto"/>
        <w:right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68">
    <w:name w:val="xl68"/>
    <w:basedOn w:val="Normal"/>
    <w:pPr>
      <w:pBdr>
        <w:bottom w:val="single" w:sz="4" w:space="0" w:color="auto"/>
        <w:right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69">
    <w:name w:val="xl69"/>
    <w:basedOn w:val="Normal"/>
    <w:pPr>
      <w:pBdr>
        <w:right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70">
    <w:name w:val="xl70"/>
    <w:basedOn w:val="Normal"/>
    <w:pPr>
      <w:pBdr>
        <w:top w:val="single" w:sz="4" w:space="0" w:color="auto"/>
        <w:left w:val="single" w:sz="4" w:space="0" w:color="auto"/>
        <w:right w:val="single" w:sz="4" w:space="0" w:color="auto"/>
      </w:pBdr>
      <w:spacing w:before="100" w:beforeAutospacing="1" w:after="100" w:afterAutospacing="1"/>
    </w:pPr>
    <w:rPr>
      <w:rFonts w:ascii="Arial Unicode MS" w:hAnsi="Arial Unicode MS" w:cs="ArialUnicodeMS"/>
      <w:color w:val="auto"/>
      <w:sz w:val="12"/>
      <w:szCs w:val="12"/>
      <w:lang w:val="en-AU" w:eastAsia="en-US"/>
    </w:rPr>
  </w:style>
  <w:style w:type="paragraph" w:customStyle="1" w:styleId="xl71">
    <w:name w:val="xl71"/>
    <w:basedOn w:val="Normal"/>
    <w:pPr>
      <w:pBdr>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72">
    <w:name w:val="xl72"/>
    <w:basedOn w:val="Normal"/>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73">
    <w:name w:val="xl73"/>
    <w:basedOn w:val="Normal"/>
    <w:pPr>
      <w:pBdr>
        <w:right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74">
    <w:name w:val="xl74"/>
    <w:basedOn w:val="Normal"/>
    <w:pPr>
      <w:pBdr>
        <w:top w:val="single" w:sz="4" w:space="0" w:color="auto"/>
        <w:left w:val="single" w:sz="4" w:space="0" w:color="auto"/>
        <w:bottom w:val="single" w:sz="4" w:space="0" w:color="auto"/>
      </w:pBdr>
      <w:shd w:val="clear" w:color="auto" w:fill="FFFFFF"/>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75">
    <w:name w:val="xl75"/>
    <w:basedOn w:val="Normal"/>
    <w:pPr>
      <w:pBdr>
        <w:right w:val="single" w:sz="4" w:space="0" w:color="auto"/>
      </w:pBd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76">
    <w:name w:val="xl76"/>
    <w:basedOn w:val="Normal"/>
    <w:pPr>
      <w:pBdr>
        <w:left w:val="single" w:sz="4" w:space="0" w:color="auto"/>
      </w:pBdr>
      <w:shd w:val="clear" w:color="auto" w:fill="FFFFFF"/>
      <w:spacing w:before="100" w:beforeAutospacing="1" w:after="100" w:afterAutospacing="1"/>
      <w:jc w:val="center"/>
    </w:pPr>
    <w:rPr>
      <w:rFonts w:ascii="Arial Unicode MS" w:hAnsi="Arial Unicode MS" w:cs="ArialUnicodeMS"/>
      <w:b/>
      <w:bCs/>
      <w:color w:val="auto"/>
      <w:sz w:val="12"/>
      <w:szCs w:val="12"/>
      <w:lang w:val="en-AU" w:eastAsia="en-US"/>
    </w:rPr>
  </w:style>
  <w:style w:type="paragraph" w:customStyle="1" w:styleId="xl77">
    <w:name w:val="xl77"/>
    <w:basedOn w:val="Normal"/>
    <w:pPr>
      <w:pBdr>
        <w:right w:val="single" w:sz="4" w:space="0" w:color="auto"/>
      </w:pBdr>
      <w:shd w:val="clear" w:color="auto" w:fill="FFFFFF"/>
      <w:spacing w:before="100" w:beforeAutospacing="1" w:after="100" w:afterAutospacing="1"/>
      <w:jc w:val="center"/>
    </w:pPr>
    <w:rPr>
      <w:rFonts w:ascii="Arial Unicode MS" w:hAnsi="Arial Unicode MS" w:cs="ArialUnicodeMS"/>
      <w:b/>
      <w:bCs/>
      <w:color w:val="auto"/>
      <w:sz w:val="12"/>
      <w:szCs w:val="12"/>
      <w:lang w:val="en-AU" w:eastAsia="en-US"/>
    </w:rPr>
  </w:style>
  <w:style w:type="paragraph" w:customStyle="1" w:styleId="xl78">
    <w:name w:val="xl78"/>
    <w:basedOn w:val="Normal"/>
    <w:pPr>
      <w:pBdr>
        <w:left w:val="single" w:sz="4" w:space="0" w:color="auto"/>
        <w:right w:val="single" w:sz="4" w:space="0" w:color="auto"/>
      </w:pBdr>
      <w:shd w:val="clear" w:color="auto" w:fill="FFFFFF"/>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79">
    <w:name w:val="xl79"/>
    <w:basedOn w:val="Normal"/>
    <w:pPr>
      <w:pBdr>
        <w:left w:val="single" w:sz="4" w:space="0" w:color="auto"/>
        <w:right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80">
    <w:name w:val="xl80"/>
    <w:basedOn w:val="Normal"/>
    <w:pPr>
      <w:pBdr>
        <w:right w:val="single" w:sz="4" w:space="0" w:color="auto"/>
      </w:pBdr>
      <w:shd w:val="clear" w:color="auto" w:fill="FFFFFF"/>
      <w:spacing w:before="100" w:beforeAutospacing="1" w:after="100" w:afterAutospacing="1"/>
    </w:pPr>
    <w:rPr>
      <w:rFonts w:ascii="Arial Unicode MS" w:hAnsi="Arial Unicode MS" w:cs="ArialUnicodeMS"/>
      <w:b/>
      <w:bCs/>
      <w:color w:val="auto"/>
      <w:sz w:val="12"/>
      <w:szCs w:val="12"/>
      <w:lang w:val="en-AU" w:eastAsia="en-US"/>
    </w:rPr>
  </w:style>
  <w:style w:type="paragraph" w:customStyle="1" w:styleId="xl81">
    <w:name w:val="xl81"/>
    <w:basedOn w:val="Normal"/>
    <w:pPr>
      <w:pBdr>
        <w:left w:val="single" w:sz="4" w:space="0" w:color="auto"/>
        <w:bottom w:val="single" w:sz="4" w:space="0" w:color="auto"/>
      </w:pBdr>
      <w:shd w:val="clear" w:color="auto" w:fill="FFFFFF"/>
      <w:spacing w:before="100" w:beforeAutospacing="1" w:after="100" w:afterAutospacing="1"/>
      <w:jc w:val="center"/>
    </w:pPr>
    <w:rPr>
      <w:rFonts w:ascii="Arial Unicode MS" w:hAnsi="Arial Unicode MS" w:cs="ArialUnicodeMS"/>
      <w:b/>
      <w:bCs/>
      <w:color w:val="auto"/>
      <w:sz w:val="12"/>
      <w:szCs w:val="12"/>
      <w:lang w:val="en-AU" w:eastAsia="en-US"/>
    </w:rPr>
  </w:style>
  <w:style w:type="paragraph" w:customStyle="1" w:styleId="xl82">
    <w:name w:val="xl82"/>
    <w:basedOn w:val="Normal"/>
    <w:pPr>
      <w:pBdr>
        <w:bottom w:val="single" w:sz="4" w:space="0" w:color="auto"/>
        <w:right w:val="single" w:sz="4" w:space="0" w:color="auto"/>
      </w:pBdr>
      <w:shd w:val="clear" w:color="auto" w:fill="FFFFFF"/>
      <w:spacing w:before="100" w:beforeAutospacing="1" w:after="100" w:afterAutospacing="1"/>
      <w:jc w:val="center"/>
    </w:pPr>
    <w:rPr>
      <w:rFonts w:ascii="Arial Unicode MS" w:hAnsi="Arial Unicode MS" w:cs="ArialUnicodeMS"/>
      <w:b/>
      <w:bCs/>
      <w:color w:val="auto"/>
      <w:sz w:val="12"/>
      <w:szCs w:val="12"/>
      <w:lang w:val="en-AU" w:eastAsia="en-US"/>
    </w:rPr>
  </w:style>
  <w:style w:type="paragraph" w:customStyle="1" w:styleId="xl83">
    <w:name w:val="xl83"/>
    <w:basedOn w:val="Normal"/>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84">
    <w:name w:val="xl84"/>
    <w:basedOn w:val="Normal"/>
    <w:pPr>
      <w:pBdr>
        <w:bottom w:val="single" w:sz="4" w:space="0" w:color="auto"/>
        <w:right w:val="single" w:sz="4" w:space="0" w:color="auto"/>
      </w:pBdr>
      <w:shd w:val="clear" w:color="auto" w:fill="FFFFFF"/>
      <w:spacing w:before="100" w:beforeAutospacing="1" w:after="100" w:afterAutospacing="1"/>
    </w:pPr>
    <w:rPr>
      <w:rFonts w:ascii="Arial Unicode MS" w:hAnsi="Arial Unicode MS" w:cs="ArialUnicodeMS"/>
      <w:b/>
      <w:bCs/>
      <w:color w:val="auto"/>
      <w:sz w:val="12"/>
      <w:szCs w:val="12"/>
      <w:lang w:val="en-AU" w:eastAsia="en-US"/>
    </w:rPr>
  </w:style>
  <w:style w:type="paragraph" w:customStyle="1" w:styleId="xl85">
    <w:name w:val="xl85"/>
    <w:basedOn w:val="Normal"/>
    <w:pPr>
      <w:pBdr>
        <w:left w:val="single" w:sz="4" w:space="0" w:color="auto"/>
        <w:bottom w:val="single" w:sz="4" w:space="0" w:color="auto"/>
        <w:right w:val="single" w:sz="4" w:space="0" w:color="auto"/>
      </w:pBdr>
      <w:spacing w:before="100" w:beforeAutospacing="1" w:after="100" w:afterAutospacing="1"/>
    </w:pPr>
    <w:rPr>
      <w:rFonts w:ascii="Arial Unicode MS" w:hAnsi="Arial Unicode MS" w:cs="ArialUnicodeMS"/>
      <w:color w:val="auto"/>
      <w:sz w:val="12"/>
      <w:szCs w:val="12"/>
      <w:lang w:val="en-AU" w:eastAsia="en-US"/>
    </w:rPr>
  </w:style>
  <w:style w:type="paragraph" w:customStyle="1" w:styleId="xl86">
    <w:name w:val="xl8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87">
    <w:name w:val="xl87"/>
    <w:basedOn w:val="Normal"/>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88">
    <w:name w:val="xl88"/>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hAnsi="Arial Unicode MS" w:cs="ArialUnicodeMS"/>
      <w:b/>
      <w:bCs/>
      <w:color w:val="auto"/>
      <w:sz w:val="12"/>
      <w:szCs w:val="12"/>
      <w:lang w:val="en-AU" w:eastAsia="en-US"/>
    </w:rPr>
  </w:style>
  <w:style w:type="paragraph" w:customStyle="1" w:styleId="xl89">
    <w:name w:val="xl89"/>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90">
    <w:name w:val="xl90"/>
    <w:basedOn w:val="Normal"/>
    <w:pPr>
      <w:pBdr>
        <w:top w:val="single" w:sz="4" w:space="0" w:color="auto"/>
        <w:left w:val="single" w:sz="4" w:space="0" w:color="auto"/>
        <w:bottom w:val="single" w:sz="4" w:space="0" w:color="auto"/>
      </w:pBdr>
      <w:shd w:val="clear" w:color="auto" w:fill="FFFFFF"/>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91">
    <w:name w:val="xl91"/>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92">
    <w:name w:val="xl92"/>
    <w:basedOn w:val="Normal"/>
    <w:pPr>
      <w:pBdr>
        <w:top w:val="single" w:sz="4" w:space="0" w:color="auto"/>
        <w:left w:val="single" w:sz="4" w:space="0" w:color="auto"/>
        <w:right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93">
    <w:name w:val="xl93"/>
    <w:basedOn w:val="Normal"/>
    <w:pPr>
      <w:pBdr>
        <w:left w:val="single" w:sz="4" w:space="0" w:color="auto"/>
        <w:bottom w:val="single" w:sz="4" w:space="0" w:color="auto"/>
        <w:right w:val="single" w:sz="4" w:space="0" w:color="auto"/>
      </w:pBdr>
      <w:spacing w:before="100" w:beforeAutospacing="1" w:after="100" w:afterAutospacing="1"/>
    </w:pPr>
    <w:rPr>
      <w:rFonts w:ascii="Arial Unicode MS" w:hAnsi="Arial Unicode MS" w:cs="ArialUnicodeMS"/>
      <w:color w:val="auto"/>
      <w:sz w:val="12"/>
      <w:szCs w:val="12"/>
      <w:lang w:val="en-AU" w:eastAsia="en-US"/>
    </w:rPr>
  </w:style>
  <w:style w:type="paragraph" w:customStyle="1" w:styleId="xl94">
    <w:name w:val="xl94"/>
    <w:basedOn w:val="Normal"/>
    <w:pPr>
      <w:pBdr>
        <w:top w:val="single" w:sz="4" w:space="0" w:color="auto"/>
        <w:bottom w:val="single" w:sz="4" w:space="0" w:color="auto"/>
      </w:pBd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95">
    <w:name w:val="xl95"/>
    <w:basedOn w:val="Normal"/>
    <w:pPr>
      <w:pBdr>
        <w:top w:val="single" w:sz="4" w:space="0" w:color="auto"/>
        <w:left w:val="single" w:sz="4" w:space="0" w:color="auto"/>
        <w:bottom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96">
    <w:name w:val="xl96"/>
    <w:basedOn w:val="Normal"/>
    <w:pPr>
      <w:pBdr>
        <w:top w:val="single" w:sz="4" w:space="0" w:color="auto"/>
        <w:bottom w:val="single" w:sz="4" w:space="0" w:color="auto"/>
        <w:right w:val="single" w:sz="4" w:space="0" w:color="auto"/>
      </w:pBd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97">
    <w:name w:val="xl97"/>
    <w:basedOn w:val="Normal"/>
    <w:pPr>
      <w:pBdr>
        <w:top w:val="single" w:sz="4" w:space="0" w:color="auto"/>
        <w:bottom w:val="single" w:sz="4" w:space="0" w:color="auto"/>
      </w:pBdr>
      <w:spacing w:before="100" w:beforeAutospacing="1" w:after="100" w:afterAutospacing="1"/>
    </w:pPr>
    <w:rPr>
      <w:rFonts w:ascii="Arial Unicode MS" w:hAnsi="Arial Unicode MS" w:cs="ArialUnicodeMS"/>
      <w:color w:val="auto"/>
      <w:szCs w:val="24"/>
      <w:lang w:val="en-AU" w:eastAsia="en-US"/>
    </w:rPr>
  </w:style>
  <w:style w:type="paragraph" w:customStyle="1" w:styleId="xl98">
    <w:name w:val="xl98"/>
    <w:basedOn w:val="Normal"/>
    <w:pPr>
      <w:pBdr>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99">
    <w:name w:val="xl99"/>
    <w:basedOn w:val="Normal"/>
    <w:pPr>
      <w:pBdr>
        <w:top w:val="single" w:sz="4" w:space="0" w:color="auto"/>
        <w:left w:val="single" w:sz="4" w:space="0" w:color="auto"/>
        <w:right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100">
    <w:name w:val="xl100"/>
    <w:basedOn w:val="Normal"/>
    <w:pPr>
      <w:pBdr>
        <w:top w:val="single" w:sz="4" w:space="0" w:color="auto"/>
        <w:bottom w:val="single" w:sz="4" w:space="0" w:color="auto"/>
        <w:right w:val="single" w:sz="4" w:space="0" w:color="auto"/>
      </w:pBdr>
      <w:spacing w:before="100" w:beforeAutospacing="1" w:after="100" w:afterAutospacing="1"/>
    </w:pPr>
    <w:rPr>
      <w:rFonts w:ascii="Arial Unicode MS" w:hAnsi="Arial Unicode MS" w:cs="ArialUnicodeMS"/>
      <w:color w:val="auto"/>
      <w:szCs w:val="24"/>
      <w:lang w:val="en-AU" w:eastAsia="en-US"/>
    </w:rPr>
  </w:style>
  <w:style w:type="paragraph" w:customStyle="1" w:styleId="xl101">
    <w:name w:val="xl101"/>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hAnsi="Arial Unicode MS" w:cs="ArialUnicodeMS"/>
      <w:color w:val="auto"/>
      <w:sz w:val="12"/>
      <w:szCs w:val="12"/>
      <w:lang w:val="en-AU" w:eastAsia="en-US"/>
    </w:rPr>
  </w:style>
  <w:style w:type="paragraph" w:customStyle="1" w:styleId="xl102">
    <w:name w:val="xl102"/>
    <w:basedOn w:val="Normal"/>
    <w:pPr>
      <w:pBdr>
        <w:top w:val="single" w:sz="4" w:space="0" w:color="auto"/>
        <w:left w:val="single" w:sz="4" w:space="0" w:color="auto"/>
        <w:right w:val="single" w:sz="4" w:space="0" w:color="auto"/>
      </w:pBd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103">
    <w:name w:val="xl103"/>
    <w:basedOn w:val="Normal"/>
    <w:pPr>
      <w:pBdr>
        <w:top w:val="single" w:sz="4" w:space="0" w:color="auto"/>
        <w:left w:val="single" w:sz="4" w:space="0" w:color="auto"/>
      </w:pBd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104">
    <w:name w:val="xl104"/>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hAnsi="Arial Unicode MS" w:cs="ArialUnicodeMS"/>
      <w:b/>
      <w:bCs/>
      <w:color w:val="auto"/>
      <w:sz w:val="12"/>
      <w:szCs w:val="12"/>
      <w:lang w:val="en-AU" w:eastAsia="en-US"/>
    </w:rPr>
  </w:style>
  <w:style w:type="paragraph" w:customStyle="1" w:styleId="xl105">
    <w:name w:val="xl105"/>
    <w:basedOn w:val="Normal"/>
    <w:pPr>
      <w:pBdr>
        <w:top w:val="single" w:sz="4" w:space="0" w:color="auto"/>
        <w:bottom w:val="single" w:sz="4" w:space="0" w:color="auto"/>
      </w:pBdr>
      <w:spacing w:before="100" w:beforeAutospacing="1" w:after="100" w:afterAutospacing="1"/>
    </w:pPr>
    <w:rPr>
      <w:rFonts w:ascii="Arial Unicode MS" w:hAnsi="Arial Unicode MS" w:cs="ArialUnicodeMS"/>
      <w:b/>
      <w:bCs/>
      <w:color w:val="auto"/>
      <w:sz w:val="12"/>
      <w:szCs w:val="12"/>
      <w:lang w:val="en-AU" w:eastAsia="en-US"/>
    </w:rPr>
  </w:style>
  <w:style w:type="paragraph" w:customStyle="1" w:styleId="xl106">
    <w:name w:val="xl106"/>
    <w:basedOn w:val="Normal"/>
    <w:pPr>
      <w:pBdr>
        <w:top w:val="single" w:sz="4" w:space="0" w:color="auto"/>
        <w:left w:val="single" w:sz="4" w:space="0" w:color="auto"/>
        <w:right w:val="single" w:sz="4" w:space="0" w:color="auto"/>
      </w:pBdr>
      <w:spacing w:before="100" w:beforeAutospacing="1" w:after="100" w:afterAutospacing="1"/>
    </w:pPr>
    <w:rPr>
      <w:rFonts w:ascii="Arial Unicode MS" w:hAnsi="Arial Unicode MS" w:cs="ArialUnicodeMS"/>
      <w:color w:val="auto"/>
      <w:sz w:val="12"/>
      <w:szCs w:val="12"/>
      <w:lang w:val="en-AU" w:eastAsia="en-US"/>
    </w:rPr>
  </w:style>
  <w:style w:type="paragraph" w:customStyle="1" w:styleId="xl107">
    <w:name w:val="xl107"/>
    <w:basedOn w:val="Normal"/>
    <w:pPr>
      <w:pBdr>
        <w:top w:val="single" w:sz="4" w:space="0" w:color="auto"/>
        <w:right w:val="single" w:sz="4" w:space="0" w:color="auto"/>
      </w:pBd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108">
    <w:name w:val="xl108"/>
    <w:basedOn w:val="Normal"/>
    <w:pPr>
      <w:pBdr>
        <w:left w:val="single" w:sz="4" w:space="0" w:color="auto"/>
        <w:right w:val="single" w:sz="4" w:space="0" w:color="auto"/>
      </w:pBd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109">
    <w:name w:val="xl109"/>
    <w:basedOn w:val="Normal"/>
    <w:pPr>
      <w:pBdr>
        <w:top w:val="single" w:sz="4" w:space="0" w:color="auto"/>
        <w:left w:val="single" w:sz="4" w:space="0" w:color="auto"/>
        <w:bottom w:val="single" w:sz="4" w:space="0" w:color="auto"/>
      </w:pBdr>
      <w:spacing w:before="100" w:beforeAutospacing="1" w:after="100" w:afterAutospacing="1"/>
      <w:jc w:val="center"/>
    </w:pPr>
    <w:rPr>
      <w:rFonts w:ascii="Arial Unicode MS" w:hAnsi="Arial Unicode MS" w:cs="ArialUnicodeMS"/>
      <w:b/>
      <w:bCs/>
      <w:color w:val="auto"/>
      <w:sz w:val="12"/>
      <w:szCs w:val="12"/>
      <w:lang w:val="en-AU" w:eastAsia="en-US"/>
    </w:rPr>
  </w:style>
  <w:style w:type="paragraph" w:customStyle="1" w:styleId="xl110">
    <w:name w:val="xl110"/>
    <w:basedOn w:val="Normal"/>
    <w:pPr>
      <w:pBdr>
        <w:top w:val="single" w:sz="4" w:space="0" w:color="auto"/>
        <w:bottom w:val="single" w:sz="4" w:space="0" w:color="auto"/>
      </w:pBdr>
      <w:spacing w:before="100" w:beforeAutospacing="1" w:after="100" w:afterAutospacing="1"/>
      <w:jc w:val="center"/>
    </w:pPr>
    <w:rPr>
      <w:rFonts w:ascii="Arial Unicode MS" w:hAnsi="Arial Unicode MS" w:cs="ArialUnicodeMS"/>
      <w:color w:val="auto"/>
      <w:szCs w:val="24"/>
      <w:lang w:val="en-AU" w:eastAsia="en-US"/>
    </w:rPr>
  </w:style>
  <w:style w:type="paragraph" w:customStyle="1" w:styleId="xl111">
    <w:name w:val="xl111"/>
    <w:basedOn w:val="Normal"/>
    <w:pPr>
      <w:pBdr>
        <w:top w:val="single" w:sz="4" w:space="0" w:color="auto"/>
        <w:bottom w:val="single" w:sz="4" w:space="0" w:color="auto"/>
        <w:right w:val="single" w:sz="4" w:space="0" w:color="auto"/>
      </w:pBdr>
      <w:spacing w:before="100" w:beforeAutospacing="1" w:after="100" w:afterAutospacing="1"/>
      <w:jc w:val="center"/>
    </w:pPr>
    <w:rPr>
      <w:rFonts w:ascii="Arial Unicode MS" w:hAnsi="Arial Unicode MS" w:cs="ArialUnicodeMS"/>
      <w:color w:val="auto"/>
      <w:szCs w:val="24"/>
      <w:lang w:val="en-AU" w:eastAsia="en-US"/>
    </w:rPr>
  </w:style>
  <w:style w:type="paragraph" w:customStyle="1" w:styleId="xl112">
    <w:name w:val="xl112"/>
    <w:basedOn w:val="Normal"/>
    <w:pPr>
      <w:pBdr>
        <w:top w:val="single" w:sz="4" w:space="0" w:color="auto"/>
        <w:left w:val="single" w:sz="4" w:space="0" w:color="auto"/>
        <w:bottom w:val="single" w:sz="4" w:space="0" w:color="auto"/>
      </w:pBdr>
      <w:spacing w:before="100" w:beforeAutospacing="1" w:after="100" w:afterAutospacing="1"/>
    </w:pPr>
    <w:rPr>
      <w:rFonts w:ascii="Arial Unicode MS" w:hAnsi="Arial Unicode MS" w:cs="ArialUnicodeMS"/>
      <w:b/>
      <w:bCs/>
      <w:color w:val="auto"/>
      <w:sz w:val="12"/>
      <w:szCs w:val="12"/>
      <w:lang w:val="en-AU" w:eastAsia="en-US"/>
    </w:rPr>
  </w:style>
  <w:style w:type="paragraph" w:customStyle="1" w:styleId="xl113">
    <w:name w:val="xl113"/>
    <w:basedOn w:val="Normal"/>
    <w:pPr>
      <w:pBdr>
        <w:top w:val="single" w:sz="4" w:space="0" w:color="auto"/>
        <w:bottom w:val="single" w:sz="4" w:space="0" w:color="auto"/>
      </w:pBdr>
      <w:spacing w:before="100" w:beforeAutospacing="1" w:after="100" w:afterAutospacing="1"/>
    </w:pPr>
    <w:rPr>
      <w:rFonts w:ascii="Arial Unicode MS" w:hAnsi="Arial Unicode MS" w:cs="ArialUnicodeMS"/>
      <w:color w:val="auto"/>
      <w:sz w:val="12"/>
      <w:szCs w:val="12"/>
      <w:lang w:val="en-AU" w:eastAsia="en-US"/>
    </w:rPr>
  </w:style>
  <w:style w:type="paragraph" w:customStyle="1" w:styleId="xl114">
    <w:name w:val="xl114"/>
    <w:basedOn w:val="Normal"/>
    <w:pPr>
      <w:pBdr>
        <w:right w:val="single" w:sz="4" w:space="0" w:color="auto"/>
      </w:pBdr>
      <w:spacing w:before="100" w:beforeAutospacing="1" w:after="100" w:afterAutospacing="1"/>
    </w:pPr>
    <w:rPr>
      <w:rFonts w:ascii="Arial Unicode MS" w:hAnsi="Arial Unicode MS" w:cs="ArialUnicodeMS"/>
      <w:color w:val="auto"/>
      <w:sz w:val="12"/>
      <w:szCs w:val="12"/>
      <w:lang w:val="en-AU" w:eastAsia="en-US"/>
    </w:rPr>
  </w:style>
  <w:style w:type="paragraph" w:customStyle="1" w:styleId="xl115">
    <w:name w:val="xl115"/>
    <w:basedOn w:val="Normal"/>
    <w:pPr>
      <w:pBdr>
        <w:left w:val="single" w:sz="4" w:space="0" w:color="auto"/>
      </w:pBd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116">
    <w:name w:val="xl116"/>
    <w:basedOn w:val="Normal"/>
    <w:pP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117">
    <w:name w:val="xl117"/>
    <w:basedOn w:val="Normal"/>
    <w:pPr>
      <w:pBdr>
        <w:top w:val="single" w:sz="4" w:space="0" w:color="auto"/>
        <w:left w:val="single" w:sz="4" w:space="0" w:color="auto"/>
        <w:right w:val="single" w:sz="4" w:space="0" w:color="auto"/>
      </w:pBd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118">
    <w:name w:val="xl118"/>
    <w:basedOn w:val="Normal"/>
    <w:pPr>
      <w:pBdr>
        <w:top w:val="single" w:sz="4" w:space="0" w:color="auto"/>
        <w:left w:val="single" w:sz="4" w:space="0" w:color="auto"/>
        <w:right w:val="single" w:sz="4" w:space="0" w:color="auto"/>
      </w:pBd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119">
    <w:name w:val="xl119"/>
    <w:basedOn w:val="Normal"/>
    <w:pP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120">
    <w:name w:val="xl120"/>
    <w:basedOn w:val="Normal"/>
    <w:pPr>
      <w:pBdr>
        <w:top w:val="single" w:sz="4" w:space="0" w:color="auto"/>
        <w:right w:val="single" w:sz="4" w:space="0" w:color="auto"/>
      </w:pBd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121">
    <w:name w:val="xl121"/>
    <w:basedOn w:val="Normal"/>
    <w:pPr>
      <w:pBdr>
        <w:top w:val="single" w:sz="4" w:space="0" w:color="auto"/>
        <w:left w:val="single" w:sz="4" w:space="0" w:color="auto"/>
      </w:pBd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122">
    <w:name w:val="xl122"/>
    <w:basedOn w:val="Normal"/>
    <w:pPr>
      <w:pBdr>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123">
    <w:name w:val="xl123"/>
    <w:basedOn w:val="Normal"/>
    <w:pPr>
      <w:pBdr>
        <w:bottom w:val="single" w:sz="4" w:space="0" w:color="auto"/>
      </w:pBd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124">
    <w:name w:val="xl124"/>
    <w:basedOn w:val="Normal"/>
    <w:pPr>
      <w:pBdr>
        <w:left w:val="single" w:sz="4" w:space="0" w:color="auto"/>
        <w:bottom w:val="single" w:sz="4" w:space="0" w:color="auto"/>
      </w:pBd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125">
    <w:name w:val="xl125"/>
    <w:basedOn w:val="Normal"/>
    <w:pPr>
      <w:pBdr>
        <w:bottom w:val="single" w:sz="4" w:space="0" w:color="auto"/>
        <w:right w:val="single" w:sz="4" w:space="0" w:color="auto"/>
      </w:pBdr>
      <w:spacing w:before="100" w:beforeAutospacing="1" w:after="100" w:afterAutospacing="1"/>
    </w:pPr>
    <w:rPr>
      <w:rFonts w:ascii="Arial Unicode MS" w:hAnsi="Arial Unicode MS" w:cs="ArialUnicodeMS"/>
      <w:color w:val="auto"/>
      <w:sz w:val="12"/>
      <w:szCs w:val="12"/>
      <w:lang w:val="en-AU" w:eastAsia="en-US"/>
    </w:rPr>
  </w:style>
  <w:style w:type="paragraph" w:customStyle="1" w:styleId="xl126">
    <w:name w:val="xl126"/>
    <w:basedOn w:val="Normal"/>
    <w:pPr>
      <w:pBdr>
        <w:top w:val="single" w:sz="4" w:space="0" w:color="auto"/>
        <w:left w:val="single" w:sz="4" w:space="0" w:color="auto"/>
        <w:bottom w:val="single" w:sz="8" w:space="0" w:color="auto"/>
      </w:pBdr>
      <w:spacing w:before="100" w:beforeAutospacing="1" w:after="100" w:afterAutospacing="1"/>
      <w:jc w:val="center"/>
    </w:pPr>
    <w:rPr>
      <w:rFonts w:ascii="Arial" w:hAnsi="Arial" w:cs="Arial"/>
      <w:b/>
      <w:bCs/>
      <w:color w:val="auto"/>
      <w:sz w:val="12"/>
      <w:szCs w:val="12"/>
      <w:lang w:val="en-AU" w:eastAsia="en-US"/>
    </w:rPr>
  </w:style>
  <w:style w:type="paragraph" w:customStyle="1" w:styleId="xl127">
    <w:name w:val="xl127"/>
    <w:basedOn w:val="Normal"/>
    <w:pPr>
      <w:pBdr>
        <w:top w:val="single" w:sz="4" w:space="0" w:color="auto"/>
        <w:bottom w:val="single" w:sz="8" w:space="0" w:color="auto"/>
      </w:pBdr>
      <w:spacing w:before="100" w:beforeAutospacing="1" w:after="100" w:afterAutospacing="1"/>
      <w:jc w:val="center"/>
    </w:pPr>
    <w:rPr>
      <w:rFonts w:ascii="Arial" w:hAnsi="Arial" w:cs="Arial"/>
      <w:b/>
      <w:bCs/>
      <w:color w:val="auto"/>
      <w:sz w:val="12"/>
      <w:szCs w:val="12"/>
      <w:lang w:val="en-AU" w:eastAsia="en-US"/>
    </w:rPr>
  </w:style>
  <w:style w:type="paragraph" w:customStyle="1" w:styleId="xl128">
    <w:name w:val="xl128"/>
    <w:basedOn w:val="Normal"/>
    <w:pPr>
      <w:pBdr>
        <w:top w:val="single" w:sz="4" w:space="0" w:color="auto"/>
        <w:bottom w:val="single" w:sz="8" w:space="0" w:color="auto"/>
        <w:right w:val="single" w:sz="4" w:space="0" w:color="auto"/>
      </w:pBdr>
      <w:spacing w:before="100" w:beforeAutospacing="1" w:after="100" w:afterAutospacing="1"/>
      <w:jc w:val="center"/>
    </w:pPr>
    <w:rPr>
      <w:rFonts w:ascii="Arial" w:hAnsi="Arial" w:cs="Arial"/>
      <w:b/>
      <w:bCs/>
      <w:color w:val="auto"/>
      <w:sz w:val="12"/>
      <w:szCs w:val="12"/>
      <w:lang w:val="en-AU" w:eastAsia="en-US"/>
    </w:rPr>
  </w:style>
  <w:style w:type="paragraph" w:customStyle="1" w:styleId="xl129">
    <w:name w:val="xl129"/>
    <w:basedOn w:val="Normal"/>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130">
    <w:name w:val="xl130"/>
    <w:basedOn w:val="Normal"/>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Unicode MS" w:hAnsi="Arial Unicode MS" w:cs="ArialUnicodeMS"/>
      <w:b/>
      <w:bCs/>
      <w:color w:val="auto"/>
      <w:sz w:val="12"/>
      <w:szCs w:val="12"/>
      <w:lang w:val="en-AU" w:eastAsia="en-US"/>
    </w:rPr>
  </w:style>
  <w:style w:type="paragraph" w:customStyle="1" w:styleId="xl131">
    <w:name w:val="xl131"/>
    <w:basedOn w:val="Normal"/>
    <w:pPr>
      <w:pBdr>
        <w:top w:val="single" w:sz="4" w:space="0" w:color="auto"/>
        <w:bottom w:val="single" w:sz="8" w:space="0" w:color="auto"/>
      </w:pBdr>
      <w:spacing w:before="100" w:beforeAutospacing="1" w:after="100" w:afterAutospacing="1"/>
      <w:jc w:val="center"/>
    </w:pPr>
    <w:rPr>
      <w:rFonts w:ascii="Arial Unicode MS" w:hAnsi="Arial Unicode MS" w:cs="ArialUnicodeMS"/>
      <w:b/>
      <w:bCs/>
      <w:color w:val="auto"/>
      <w:sz w:val="12"/>
      <w:szCs w:val="12"/>
      <w:lang w:val="en-AU" w:eastAsia="en-US"/>
    </w:rPr>
  </w:style>
  <w:style w:type="paragraph" w:customStyle="1" w:styleId="xl132">
    <w:name w:val="xl132"/>
    <w:basedOn w:val="Normal"/>
    <w:pPr>
      <w:pBdr>
        <w:top w:val="single" w:sz="4" w:space="0" w:color="auto"/>
        <w:bottom w:val="single" w:sz="8" w:space="0" w:color="auto"/>
      </w:pBdr>
      <w:spacing w:before="100" w:beforeAutospacing="1" w:after="100" w:afterAutospacing="1"/>
    </w:pPr>
    <w:rPr>
      <w:rFonts w:ascii="Arial Unicode MS" w:hAnsi="Arial Unicode MS" w:cs="ArialUnicodeMS"/>
      <w:color w:val="auto"/>
      <w:sz w:val="12"/>
      <w:szCs w:val="12"/>
      <w:lang w:val="en-AU" w:eastAsia="en-US"/>
    </w:rPr>
  </w:style>
  <w:style w:type="paragraph" w:customStyle="1" w:styleId="xl133">
    <w:name w:val="xl133"/>
    <w:basedOn w:val="Normal"/>
    <w:pPr>
      <w:pBdr>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134">
    <w:name w:val="xl134"/>
    <w:basedOn w:val="Normal"/>
    <w:pPr>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Arial Unicode MS" w:hAnsi="Arial Unicode MS" w:cs="ArialUnicodeMS"/>
      <w:color w:val="auto"/>
      <w:sz w:val="12"/>
      <w:szCs w:val="12"/>
      <w:lang w:val="en-AU" w:eastAsia="en-US"/>
    </w:rPr>
  </w:style>
  <w:style w:type="paragraph" w:customStyle="1" w:styleId="xl135">
    <w:name w:val="xl135"/>
    <w:basedOn w:val="Normal"/>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cs="ArialUnicodeMS"/>
      <w:color w:val="auto"/>
      <w:szCs w:val="24"/>
      <w:lang w:val="en-AU" w:eastAsia="en-US"/>
    </w:rPr>
  </w:style>
  <w:style w:type="paragraph" w:customStyle="1" w:styleId="xl136">
    <w:name w:val="xl136"/>
    <w:basedOn w:val="Normal"/>
    <w:pPr>
      <w:pBdr>
        <w:top w:val="single" w:sz="4" w:space="0" w:color="auto"/>
        <w:bottom w:val="single" w:sz="4" w:space="0" w:color="auto"/>
      </w:pBdr>
      <w:spacing w:before="100" w:beforeAutospacing="1" w:after="100" w:afterAutospacing="1"/>
    </w:pPr>
    <w:rPr>
      <w:rFonts w:ascii="Arial Unicode MS" w:hAnsi="Arial Unicode MS" w:cs="ArialUnicodeMS"/>
      <w:color w:val="auto"/>
      <w:szCs w:val="24"/>
      <w:lang w:val="en-AU" w:eastAsia="en-US"/>
    </w:rPr>
  </w:style>
  <w:style w:type="paragraph" w:customStyle="1" w:styleId="xl137">
    <w:name w:val="xl137"/>
    <w:basedOn w:val="Normal"/>
    <w:pPr>
      <w:pBdr>
        <w:top w:val="single" w:sz="4" w:space="0" w:color="auto"/>
        <w:bottom w:val="single" w:sz="4" w:space="0" w:color="auto"/>
        <w:right w:val="single" w:sz="4" w:space="0" w:color="auto"/>
      </w:pBdr>
      <w:spacing w:before="100" w:beforeAutospacing="1" w:after="100" w:afterAutospacing="1"/>
    </w:pPr>
    <w:rPr>
      <w:rFonts w:ascii="Arial Unicode MS" w:hAnsi="Arial Unicode MS" w:cs="ArialUnicodeMS"/>
      <w:color w:val="auto"/>
      <w:szCs w:val="24"/>
      <w:lang w:val="en-AU" w:eastAsia="en-US"/>
    </w:rPr>
  </w:style>
  <w:style w:type="paragraph" w:customStyle="1" w:styleId="xl138">
    <w:name w:val="xl138"/>
    <w:basedOn w:val="Normal"/>
    <w:pPr>
      <w:pBdr>
        <w:top w:val="single" w:sz="4" w:space="0" w:color="auto"/>
        <w:bottom w:val="single" w:sz="4" w:space="0" w:color="auto"/>
      </w:pBdr>
      <w:spacing w:before="100" w:beforeAutospacing="1" w:after="100" w:afterAutospacing="1"/>
    </w:pPr>
    <w:rPr>
      <w:rFonts w:ascii="Arial" w:hAnsi="Arial" w:cs="Arial"/>
      <w:b/>
      <w:bCs/>
      <w:color w:val="auto"/>
      <w:sz w:val="12"/>
      <w:szCs w:val="12"/>
      <w:lang w:val="en-AU" w:eastAsia="en-US"/>
    </w:rPr>
  </w:style>
  <w:style w:type="paragraph" w:customStyle="1" w:styleId="Anxhead">
    <w:name w:val="Anx head"/>
    <w:basedOn w:val="Normal"/>
    <w:pPr>
      <w:spacing w:after="0"/>
    </w:pPr>
    <w:rPr>
      <w:b/>
      <w:bCs/>
      <w:color w:val="auto"/>
      <w:sz w:val="28"/>
      <w:szCs w:val="28"/>
      <w:lang w:eastAsia="en-US"/>
    </w:rPr>
  </w:style>
  <w:style w:type="paragraph" w:customStyle="1" w:styleId="Anxtitle">
    <w:name w:val="Anx title"/>
    <w:basedOn w:val="Normal"/>
    <w:pPr>
      <w:spacing w:after="0"/>
      <w:ind w:left="1247"/>
    </w:pPr>
    <w:rPr>
      <w:b/>
      <w:bCs/>
      <w:color w:val="auto"/>
      <w:sz w:val="28"/>
      <w:szCs w:val="28"/>
      <w:lang w:eastAsia="en-US"/>
    </w:rPr>
  </w:style>
  <w:style w:type="paragraph" w:customStyle="1" w:styleId="Style10ptAfter6pt1">
    <w:name w:val="Style 10 pt After:  6 pt1"/>
    <w:basedOn w:val="Normal"/>
    <w:autoRedefine/>
    <w:pPr>
      <w:spacing w:after="120"/>
    </w:pPr>
    <w:rPr>
      <w:rFonts w:ascii="Arial" w:hAnsi="Arial"/>
      <w:color w:val="auto"/>
      <w:sz w:val="18"/>
      <w:lang w:eastAsia="en-US"/>
    </w:rPr>
  </w:style>
  <w:style w:type="paragraph" w:customStyle="1" w:styleId="StyleHeading311ptBold">
    <w:name w:val="Style Heading 3 + 11 pt Bold"/>
    <w:basedOn w:val="Heading3"/>
    <w:rPr>
      <w:b/>
      <w:bCs/>
      <w:iCs/>
    </w:rPr>
  </w:style>
  <w:style w:type="paragraph" w:customStyle="1" w:styleId="Subtitle">
    <w:name w:val="Sub title"/>
    <w:basedOn w:val="Heading2"/>
    <w:pPr>
      <w:spacing w:after="0"/>
      <w:ind w:left="1247"/>
    </w:pPr>
    <w:rPr>
      <w:snapToGrid/>
      <w:szCs w:val="24"/>
    </w:rPr>
  </w:style>
  <w:style w:type="character" w:customStyle="1" w:styleId="maintextbldleft1">
    <w:name w:val="maintextbldleft1"/>
    <w:rPr>
      <w:rFonts w:ascii="Arial" w:hAnsi="Arial" w:cs="Arial" w:hint="default"/>
      <w:b/>
      <w:bCs/>
      <w:strike w:val="0"/>
      <w:dstrike w:val="0"/>
      <w:color w:val="000000"/>
      <w:sz w:val="18"/>
      <w:szCs w:val="18"/>
      <w:u w:val="none"/>
      <w:effect w:val="none"/>
    </w:rPr>
  </w:style>
  <w:style w:type="character" w:customStyle="1" w:styleId="maintextleft1">
    <w:name w:val="maintextleft1"/>
    <w:rPr>
      <w:rFonts w:ascii="Arial" w:hAnsi="Arial" w:cs="Arial" w:hint="default"/>
      <w:strike w:val="0"/>
      <w:dstrike w:val="0"/>
      <w:color w:val="000000"/>
      <w:sz w:val="18"/>
      <w:szCs w:val="18"/>
      <w:u w:val="none"/>
      <w:effect w:val="none"/>
    </w:rPr>
  </w:style>
  <w:style w:type="character" w:customStyle="1" w:styleId="Heading1Char2">
    <w:name w:val="Heading 1 Char2"/>
    <w:aliases w:val="Para (1) Char,Heading 1 Char1 Char Char1,Heading 1 Char Char Char Char,Para (1) Char Char Char Char,Para (1) Char1 Char Char,Heading 1 Char1 Char1,Heading 1 Char Char Char1,Para (1) Char Char Char1,Para (1) Char1 Char1,Part Char"/>
    <w:autoRedefine/>
    <w:uiPriority w:val="9"/>
    <w:qFormat/>
    <w:rsid w:val="00B81731"/>
    <w:rPr>
      <w:rFonts w:asciiTheme="minorHAnsi" w:hAnsiTheme="minorHAnsi"/>
      <w:b/>
      <w:sz w:val="28"/>
    </w:rPr>
  </w:style>
  <w:style w:type="character" w:customStyle="1" w:styleId="Heading2Char">
    <w:name w:val="Heading 2 Char"/>
    <w:aliases w:val="SubPara (a) Char,Heading 2 Char1 Char Char,SubPara (a) Char1 Char Char,Heading 2 Char3 Char Char Char,Heading 2 Char Char2 Char Char Char,Heading 2 Char1 Char Char1 Char Char Char,SubPara (a) Char Char Char1 Char Char Char,Heading 2 Char1"/>
    <w:uiPriority w:val="9"/>
    <w:rPr>
      <w:b/>
      <w:noProof w:val="0"/>
      <w:snapToGrid w:val="0"/>
      <w:color w:val="000000"/>
      <w:sz w:val="24"/>
      <w:lang w:val="en-GB" w:eastAsia="zh-CN" w:bidi="ar-SA"/>
    </w:rPr>
  </w:style>
  <w:style w:type="character" w:customStyle="1" w:styleId="Heading3Char">
    <w:name w:val="Heading 3 Char"/>
    <w:aliases w:val="Sec Char"/>
    <w:uiPriority w:val="9"/>
    <w:rPr>
      <w:b w:val="0"/>
      <w:noProof w:val="0"/>
      <w:snapToGrid w:val="0"/>
      <w:color w:val="000000"/>
      <w:sz w:val="24"/>
      <w:lang w:val="en-GB" w:eastAsia="zh-CN" w:bidi="ar-SA"/>
    </w:rPr>
  </w:style>
  <w:style w:type="character" w:customStyle="1" w:styleId="Heading4Char">
    <w:name w:val="Heading 4 Char"/>
    <w:aliases w:val="MainPara Char"/>
    <w:autoRedefine/>
    <w:uiPriority w:val="9"/>
    <w:rsid w:val="00F02E32"/>
    <w:rPr>
      <w:snapToGrid w:val="0"/>
      <w:color w:val="000000"/>
      <w:sz w:val="22"/>
      <w:lang w:val="en-GB" w:eastAsia="zh-CN"/>
    </w:rPr>
  </w:style>
  <w:style w:type="paragraph" w:customStyle="1" w:styleId="StyleHeading311ptBold1">
    <w:name w:val="Style Heading 3 + 11 pt Bold1"/>
    <w:basedOn w:val="Heading3"/>
    <w:rPr>
      <w:b/>
      <w:bCs/>
      <w:iCs/>
    </w:rPr>
  </w:style>
  <w:style w:type="paragraph" w:customStyle="1" w:styleId="ANNEXES">
    <w:name w:val="ANNEXES"/>
    <w:basedOn w:val="Normal"/>
    <w:pPr>
      <w:tabs>
        <w:tab w:val="left" w:pos="1080"/>
      </w:tabs>
      <w:spacing w:before="100" w:beforeAutospacing="1" w:after="100" w:afterAutospacing="1"/>
    </w:pPr>
    <w:rPr>
      <w:b/>
      <w:sz w:val="28"/>
    </w:rPr>
  </w:style>
  <w:style w:type="paragraph" w:customStyle="1" w:styleId="Executivesummary">
    <w:name w:val="Executive summary"/>
    <w:basedOn w:val="TOC1"/>
    <w:rPr>
      <w:b w:val="0"/>
    </w:rPr>
  </w:style>
  <w:style w:type="paragraph" w:customStyle="1" w:styleId="Execlevel2">
    <w:name w:val="Exec level2"/>
    <w:basedOn w:val="Anxhead"/>
    <w:rPr>
      <w:sz w:val="24"/>
    </w:rPr>
  </w:style>
  <w:style w:type="character" w:customStyle="1" w:styleId="AnxheadChar">
    <w:name w:val="Anx head Char"/>
    <w:rPr>
      <w:b/>
      <w:bCs/>
      <w:noProof w:val="0"/>
      <w:sz w:val="28"/>
      <w:szCs w:val="28"/>
      <w:lang w:val="en-GB" w:eastAsia="en-US" w:bidi="ar-SA"/>
    </w:rPr>
  </w:style>
  <w:style w:type="character" w:customStyle="1" w:styleId="Execlevel2Char">
    <w:name w:val="Exec level2 Char"/>
    <w:rPr>
      <w:b/>
      <w:bCs/>
      <w:noProof w:val="0"/>
      <w:sz w:val="24"/>
      <w:szCs w:val="28"/>
      <w:lang w:val="en-GB" w:eastAsia="en-US" w:bidi="ar-SA"/>
    </w:rPr>
  </w:style>
  <w:style w:type="character" w:customStyle="1" w:styleId="a">
    <w:name w:val="_"/>
    <w:basedOn w:val="DefaultParagraphFont"/>
  </w:style>
  <w:style w:type="paragraph" w:styleId="CommentSubject">
    <w:name w:val="annotation subject"/>
    <w:basedOn w:val="CommentText"/>
    <w:next w:val="CommentText"/>
    <w:uiPriority w:val="99"/>
    <w:semiHidden/>
    <w:pPr>
      <w:widowControl/>
      <w:spacing w:after="0"/>
    </w:pPr>
    <w:rPr>
      <w:rFonts w:ascii="Times New Roman" w:hAnsi="Times New Roman"/>
      <w:b/>
      <w:lang w:val="en-US"/>
    </w:rPr>
  </w:style>
  <w:style w:type="paragraph" w:customStyle="1" w:styleId="Indentedbullet">
    <w:name w:val="Indented bullet"/>
    <w:basedOn w:val="Indentedbodytext"/>
    <w:pPr>
      <w:tabs>
        <w:tab w:val="num" w:pos="1440"/>
      </w:tabs>
      <w:ind w:left="1434" w:hanging="357"/>
    </w:pPr>
  </w:style>
  <w:style w:type="paragraph" w:customStyle="1" w:styleId="Indentedbodytext">
    <w:name w:val="Indented body text"/>
    <w:basedOn w:val="Normal"/>
    <w:autoRedefine/>
    <w:pPr>
      <w:spacing w:after="120"/>
    </w:pPr>
    <w:rPr>
      <w:lang w:eastAsia="en-US"/>
    </w:rPr>
  </w:style>
  <w:style w:type="paragraph" w:customStyle="1" w:styleId="Smallnumberedbullet">
    <w:name w:val="Small numbered bullet"/>
    <w:basedOn w:val="Smallbullet"/>
    <w:pPr>
      <w:numPr>
        <w:numId w:val="0"/>
      </w:numPr>
      <w:ind w:left="539" w:hanging="539"/>
    </w:pPr>
  </w:style>
  <w:style w:type="paragraph" w:customStyle="1" w:styleId="Smallbullet">
    <w:name w:val="Small bullet"/>
    <w:basedOn w:val="BodyTextSmallBullets"/>
    <w:autoRedefine/>
    <w:pPr>
      <w:numPr>
        <w:numId w:val="8"/>
      </w:numPr>
      <w:tabs>
        <w:tab w:val="num" w:pos="426"/>
      </w:tabs>
      <w:spacing w:after="240" w:line="240" w:lineRule="auto"/>
      <w:ind w:left="425" w:hanging="425"/>
    </w:pPr>
  </w:style>
  <w:style w:type="paragraph" w:customStyle="1" w:styleId="BodyText1">
    <w:name w:val="Body Text1"/>
    <w:basedOn w:val="Normal"/>
    <w:rPr>
      <w:lang w:eastAsia="en-US"/>
    </w:rPr>
  </w:style>
  <w:style w:type="paragraph" w:customStyle="1" w:styleId="Heading311ptBold">
    <w:name w:val="Heading 3 + 11 pt Bold"/>
    <w:basedOn w:val="Heading3"/>
    <w:pPr>
      <w:numPr>
        <w:ilvl w:val="2"/>
        <w:numId w:val="7"/>
      </w:numPr>
      <w:tabs>
        <w:tab w:val="num" w:pos="1800"/>
      </w:tabs>
      <w:ind w:left="0" w:firstLine="0"/>
    </w:pPr>
    <w:rPr>
      <w:b/>
    </w:rPr>
  </w:style>
  <w:style w:type="paragraph" w:customStyle="1" w:styleId="Table5">
    <w:name w:val="Table 5"/>
    <w:basedOn w:val="Normal"/>
    <w:pPr>
      <w:spacing w:after="0" w:line="240" w:lineRule="exact"/>
      <w:ind w:left="567" w:hanging="567"/>
    </w:pPr>
    <w:rPr>
      <w:sz w:val="18"/>
      <w:lang w:eastAsia="ja-JP"/>
    </w:rPr>
  </w:style>
  <w:style w:type="paragraph" w:customStyle="1" w:styleId="ColorfulList-Accent11">
    <w:name w:val="Colorful List - Accent 11"/>
    <w:basedOn w:val="Normal"/>
    <w:qFormat/>
    <w:pPr>
      <w:spacing w:after="0"/>
      <w:ind w:left="720"/>
    </w:pPr>
    <w:rPr>
      <w:rFonts w:eastAsia="MS Mincho"/>
      <w:color w:val="auto"/>
      <w:szCs w:val="24"/>
      <w:lang w:val="en-US" w:eastAsia="ja-JP"/>
    </w:rPr>
  </w:style>
  <w:style w:type="character" w:customStyle="1" w:styleId="mw-headline">
    <w:name w:val="mw-headline"/>
    <w:basedOn w:val="DefaultParagraphFont"/>
  </w:style>
  <w:style w:type="paragraph" w:customStyle="1" w:styleId="ColorfulList-Accent12">
    <w:name w:val="Colorful List - Accent 12"/>
    <w:basedOn w:val="Normal"/>
    <w:qFormat/>
    <w:pPr>
      <w:spacing w:after="0"/>
    </w:pPr>
    <w:rPr>
      <w:rFonts w:ascii="Cambria" w:eastAsia="Cambria" w:hAnsi="Cambria"/>
      <w:color w:val="auto"/>
      <w:sz w:val="24"/>
      <w:lang w:val="en-US"/>
    </w:rPr>
  </w:style>
  <w:style w:type="paragraph" w:styleId="Subtitle0">
    <w:name w:val="Subtitle"/>
    <w:basedOn w:val="Normal"/>
    <w:uiPriority w:val="11"/>
    <w:qFormat/>
    <w:pPr>
      <w:spacing w:after="0"/>
      <w:jc w:val="center"/>
    </w:pPr>
    <w:rPr>
      <w:rFonts w:eastAsia="MS Mincho"/>
      <w:b/>
      <w:color w:val="auto"/>
      <w:lang w:val="en-US"/>
    </w:rPr>
  </w:style>
  <w:style w:type="paragraph" w:styleId="Revision">
    <w:name w:val="Revision"/>
    <w:hidden/>
    <w:uiPriority w:val="99"/>
    <w:semiHidden/>
    <w:rPr>
      <w:rFonts w:ascii="Times New Roman" w:eastAsia="MS Mincho" w:hAnsi="Times New Roman"/>
      <w:sz w:val="24"/>
      <w:szCs w:val="24"/>
      <w:lang w:val="en-US"/>
    </w:rPr>
  </w:style>
  <w:style w:type="paragraph" w:customStyle="1" w:styleId="StyleHeading3Heading3Char1CharHeading3CharCharCharChar">
    <w:name w:val="Style Heading 3Heading 3 Char1 CharHeading 3 Char Char CharChar ..."/>
    <w:basedOn w:val="Heading3"/>
    <w:rPr>
      <w:iCs/>
    </w:rPr>
  </w:style>
  <w:style w:type="paragraph" w:customStyle="1" w:styleId="ParaQPS">
    <w:name w:val="Para QPS"/>
    <w:basedOn w:val="Normal"/>
    <w:qFormat/>
    <w:pPr>
      <w:spacing w:before="120" w:after="120"/>
      <w:ind w:left="1134"/>
      <w:jc w:val="both"/>
    </w:pPr>
    <w:rPr>
      <w:rFonts w:cs="Cambria"/>
      <w:iCs/>
      <w:color w:val="auto"/>
      <w:szCs w:val="24"/>
      <w:lang w:val="en-US" w:eastAsia="en-US" w:bidi="en-US"/>
    </w:rPr>
  </w:style>
  <w:style w:type="paragraph" w:customStyle="1" w:styleId="ParaQPSItalicindent">
    <w:name w:val="Para QPS Italic indent"/>
    <w:basedOn w:val="ParaQPS"/>
    <w:rPr>
      <w:i/>
      <w:iCs w:val="0"/>
    </w:rPr>
  </w:style>
  <w:style w:type="paragraph" w:customStyle="1" w:styleId="ListParagraph1">
    <w:name w:val="List Paragraph1"/>
    <w:aliases w:val="Bullets"/>
    <w:basedOn w:val="Normal"/>
    <w:pPr>
      <w:numPr>
        <w:numId w:val="18"/>
      </w:numPr>
      <w:spacing w:before="60" w:after="60"/>
      <w:jc w:val="both"/>
    </w:pPr>
    <w:rPr>
      <w:rFonts w:ascii="Arial" w:eastAsia="SimSun" w:hAnsi="Arial" w:cs="Arial"/>
      <w:color w:val="auto"/>
      <w:szCs w:val="22"/>
      <w:lang w:eastAsia="en-GB" w:bidi="en-US"/>
    </w:rPr>
  </w:style>
  <w:style w:type="paragraph" w:styleId="Bibliography">
    <w:name w:val="Bibliography"/>
    <w:basedOn w:val="Normal"/>
    <w:next w:val="Normal"/>
    <w:pPr>
      <w:spacing w:before="120" w:after="120"/>
      <w:ind w:left="1134"/>
      <w:jc w:val="both"/>
    </w:pPr>
    <w:rPr>
      <w:rFonts w:ascii="Calibri" w:eastAsia="SimSun" w:hAnsi="Calibri"/>
      <w:color w:val="auto"/>
      <w:szCs w:val="22"/>
      <w:lang w:bidi="en-US"/>
    </w:rPr>
  </w:style>
  <w:style w:type="paragraph" w:customStyle="1" w:styleId="Footnote">
    <w:name w:val="Footnote"/>
    <w:basedOn w:val="FootnoteText"/>
    <w:pPr>
      <w:widowControl/>
      <w:spacing w:after="0"/>
    </w:pPr>
    <w:rPr>
      <w:rFonts w:eastAsia="SimSun"/>
      <w:sz w:val="18"/>
      <w:szCs w:val="22"/>
      <w:lang w:bidi="en-US"/>
    </w:rPr>
  </w:style>
  <w:style w:type="paragraph" w:customStyle="1" w:styleId="TableforUNEPreport">
    <w:name w:val="Table for UNEP report"/>
    <w:basedOn w:val="Caption"/>
    <w:pPr>
      <w:keepNext/>
      <w:spacing w:after="200" w:line="240" w:lineRule="auto"/>
      <w:ind w:left="0"/>
      <w:jc w:val="both"/>
    </w:pPr>
    <w:rPr>
      <w:rFonts w:ascii="Calibri" w:eastAsia="Calibri" w:hAnsi="Calibri"/>
      <w:b/>
      <w:bCs/>
      <w:i w:val="0"/>
      <w:color w:val="auto"/>
      <w:szCs w:val="18"/>
      <w:lang w:eastAsia="en-GB" w:bidi="en-US"/>
    </w:rPr>
  </w:style>
  <w:style w:type="character" w:customStyle="1" w:styleId="FooterChar">
    <w:name w:val="Footer Char"/>
    <w:uiPriority w:val="99"/>
    <w:rPr>
      <w:rFonts w:eastAsia="SimSun" w:cs="Times New Roman"/>
      <w:noProof w:val="0"/>
      <w:sz w:val="22"/>
      <w:lang w:val="x-none" w:eastAsia="zh-CN"/>
    </w:rPr>
  </w:style>
  <w:style w:type="character" w:customStyle="1" w:styleId="BodyText2Char">
    <w:name w:val="Body Text 2 Char"/>
    <w:rPr>
      <w:rFonts w:ascii="Times New Roman" w:hAnsi="Times New Roman" w:cs="Times New Roman"/>
      <w:b/>
      <w:bCs/>
      <w:sz w:val="24"/>
    </w:rPr>
  </w:style>
  <w:style w:type="paragraph" w:customStyle="1" w:styleId="TitleQPSReport">
    <w:name w:val="Title QPS Report"/>
    <w:basedOn w:val="Normal"/>
    <w:pPr>
      <w:spacing w:before="120" w:after="120"/>
      <w:jc w:val="center"/>
    </w:pPr>
    <w:rPr>
      <w:b/>
      <w:bCs/>
      <w:color w:val="auto"/>
      <w:sz w:val="28"/>
      <w:lang w:bidi="en-US"/>
    </w:rPr>
  </w:style>
  <w:style w:type="paragraph" w:customStyle="1" w:styleId="Bulletdash">
    <w:name w:val="Bullet dash"/>
    <w:basedOn w:val="Normal"/>
    <w:qFormat/>
    <w:pPr>
      <w:numPr>
        <w:numId w:val="19"/>
      </w:numPr>
      <w:spacing w:before="120" w:after="120"/>
      <w:ind w:left="1854"/>
      <w:jc w:val="both"/>
    </w:pPr>
    <w:rPr>
      <w:rFonts w:eastAsia="SimSun"/>
      <w:color w:val="auto"/>
      <w:szCs w:val="22"/>
      <w:lang w:bidi="en-US"/>
    </w:rPr>
  </w:style>
  <w:style w:type="paragraph" w:customStyle="1" w:styleId="Paraleft">
    <w:name w:val="Para left"/>
    <w:basedOn w:val="Normal"/>
    <w:qFormat/>
    <w:pPr>
      <w:keepNext/>
      <w:spacing w:before="120" w:after="120"/>
      <w:ind w:left="1134"/>
    </w:pPr>
    <w:rPr>
      <w:rFonts w:eastAsia="SimSun"/>
      <w:b/>
      <w:bCs/>
      <w:color w:val="auto"/>
      <w:szCs w:val="22"/>
      <w:lang w:eastAsia="ja-JP" w:bidi="en-US"/>
    </w:rPr>
  </w:style>
  <w:style w:type="paragraph" w:customStyle="1" w:styleId="TableandFiguretitles">
    <w:name w:val="Table and Figure titles"/>
    <w:basedOn w:val="Caption"/>
    <w:qFormat/>
    <w:pPr>
      <w:keepNext/>
      <w:spacing w:after="200" w:line="240" w:lineRule="auto"/>
      <w:ind w:left="1134"/>
      <w:jc w:val="both"/>
    </w:pPr>
    <w:rPr>
      <w:rFonts w:eastAsia="SimSun"/>
      <w:b/>
      <w:bCs/>
      <w:i w:val="0"/>
      <w:color w:val="auto"/>
      <w:szCs w:val="22"/>
      <w:lang w:bidi="en-US"/>
    </w:rPr>
  </w:style>
  <w:style w:type="paragraph" w:styleId="TableofFigures">
    <w:name w:val="table of figures"/>
    <w:basedOn w:val="Normal"/>
    <w:next w:val="Normal"/>
    <w:semiHidden/>
    <w:unhideWhenUsed/>
    <w:pPr>
      <w:spacing w:before="120" w:after="120"/>
      <w:ind w:left="1757" w:right="624" w:hanging="1077"/>
      <w:jc w:val="both"/>
    </w:pPr>
    <w:rPr>
      <w:rFonts w:eastAsia="SimSun"/>
      <w:b/>
      <w:caps/>
      <w:color w:val="auto"/>
      <w:szCs w:val="22"/>
      <w:lang w:bidi="en-US"/>
    </w:rPr>
  </w:style>
  <w:style w:type="paragraph" w:customStyle="1" w:styleId="StyleParaQPSItalic">
    <w:name w:val="Style Para QPS + Italic"/>
    <w:basedOn w:val="ParaQPS"/>
    <w:rPr>
      <w:i/>
    </w:rPr>
  </w:style>
  <w:style w:type="paragraph" w:customStyle="1" w:styleId="StyleLeft017cm">
    <w:name w:val="Style Left:  0.17 cm"/>
    <w:basedOn w:val="Normal"/>
    <w:pPr>
      <w:spacing w:before="120" w:after="120"/>
      <w:ind w:left="97"/>
      <w:jc w:val="both"/>
    </w:pPr>
    <w:rPr>
      <w:color w:val="auto"/>
      <w:lang w:bidi="en-US"/>
    </w:rPr>
  </w:style>
  <w:style w:type="paragraph" w:customStyle="1" w:styleId="StyleParaQPS11ptItalic">
    <w:name w:val="Style Para QPS + 11 pt Italic"/>
    <w:basedOn w:val="ParaQPS"/>
    <w:rPr>
      <w:i/>
    </w:rPr>
  </w:style>
  <w:style w:type="paragraph" w:customStyle="1" w:styleId="Bulletnumbered">
    <w:name w:val="Bullet numbered"/>
    <w:basedOn w:val="ParaQPS"/>
    <w:qFormat/>
    <w:pPr>
      <w:numPr>
        <w:numId w:val="21"/>
      </w:numPr>
    </w:pPr>
  </w:style>
  <w:style w:type="paragraph" w:customStyle="1" w:styleId="Annexheader">
    <w:name w:val="Annex header"/>
    <w:basedOn w:val="Header"/>
    <w:pPr>
      <w:tabs>
        <w:tab w:val="clear" w:pos="4320"/>
        <w:tab w:val="clear" w:pos="8640"/>
        <w:tab w:val="center" w:pos="4153"/>
        <w:tab w:val="right" w:pos="8306"/>
      </w:tabs>
      <w:spacing w:after="0" w:line="360" w:lineRule="auto"/>
      <w:ind w:firstLine="720"/>
      <w:jc w:val="center"/>
    </w:pPr>
    <w:rPr>
      <w:rFonts w:ascii="Times New Roman Bold" w:hAnsi="Times New Roman Bold"/>
      <w:b/>
      <w:caps/>
      <w:color w:val="auto"/>
      <w:szCs w:val="24"/>
      <w:lang w:val="en-AU" w:eastAsia="en-US"/>
    </w:rPr>
  </w:style>
  <w:style w:type="paragraph" w:customStyle="1" w:styleId="Execlevel3">
    <w:name w:val="Exec level3"/>
    <w:basedOn w:val="Normal"/>
    <w:pPr>
      <w:tabs>
        <w:tab w:val="left" w:pos="1080"/>
      </w:tabs>
      <w:spacing w:after="0"/>
    </w:pPr>
    <w:rPr>
      <w:b/>
      <w:i/>
    </w:rPr>
  </w:style>
  <w:style w:type="paragraph" w:customStyle="1" w:styleId="0Heading0CharChar1Char">
    <w:name w:val="0 Heading 0 Char Char1 Char"/>
    <w:rPr>
      <w:rFonts w:ascii="Times New Roman" w:hAnsi="Times New Roman"/>
      <w:color w:val="000000"/>
      <w:sz w:val="24"/>
      <w:lang w:val="en-GB"/>
    </w:rPr>
  </w:style>
  <w:style w:type="character" w:customStyle="1" w:styleId="0Heading0CharChar1CharChar">
    <w:name w:val="0 Heading 0 Char Char1 Char Char"/>
    <w:rPr>
      <w:noProof w:val="0"/>
      <w:color w:val="000000"/>
      <w:sz w:val="24"/>
      <w:lang w:val="en-GB" w:eastAsia="en-US" w:bidi="ar-SA"/>
    </w:rPr>
  </w:style>
  <w:style w:type="character" w:customStyle="1" w:styleId="HeaderChar">
    <w:name w:val="Header Char"/>
    <w:aliases w:val="EthylHeader Char"/>
    <w:uiPriority w:val="99"/>
    <w:rPr>
      <w:noProof w:val="0"/>
      <w:color w:val="000000"/>
      <w:sz w:val="24"/>
      <w:lang w:val="en-GB" w:eastAsia="zh-CN"/>
    </w:rPr>
  </w:style>
  <w:style w:type="paragraph" w:customStyle="1" w:styleId="Alt2-LevelLegal1">
    <w:name w:val="Alt 2-Level Legal1"/>
    <w:basedOn w:val="Normal"/>
    <w:next w:val="Normal"/>
    <w:pPr>
      <w:numPr>
        <w:numId w:val="23"/>
      </w:numPr>
      <w:jc w:val="center"/>
      <w:outlineLvl w:val="0"/>
    </w:pPr>
    <w:rPr>
      <w:rFonts w:eastAsia="SimSun"/>
      <w:b/>
      <w:color w:val="auto"/>
      <w:szCs w:val="24"/>
    </w:rPr>
  </w:style>
  <w:style w:type="paragraph" w:customStyle="1" w:styleId="Alt2-LevelLegal2">
    <w:name w:val="Alt 2-Level Legal2"/>
    <w:basedOn w:val="Normal"/>
    <w:pPr>
      <w:numPr>
        <w:ilvl w:val="1"/>
        <w:numId w:val="23"/>
      </w:numPr>
      <w:outlineLvl w:val="1"/>
    </w:pPr>
    <w:rPr>
      <w:rFonts w:eastAsia="SimSun"/>
      <w:b/>
      <w:bCs/>
      <w:szCs w:val="24"/>
    </w:rPr>
  </w:style>
  <w:style w:type="paragraph" w:customStyle="1" w:styleId="Alt2-LevelLegal3">
    <w:name w:val="Alt 2-Level Legal3"/>
    <w:basedOn w:val="Normal"/>
    <w:pPr>
      <w:numPr>
        <w:ilvl w:val="2"/>
        <w:numId w:val="23"/>
      </w:numPr>
      <w:outlineLvl w:val="2"/>
    </w:pPr>
    <w:rPr>
      <w:rFonts w:eastAsia="SimSun"/>
      <w:b/>
      <w:szCs w:val="24"/>
    </w:rPr>
  </w:style>
  <w:style w:type="paragraph" w:customStyle="1" w:styleId="Alt2-LevelLegal4">
    <w:name w:val="Alt 2-Level Legal4"/>
    <w:basedOn w:val="Normal"/>
    <w:pPr>
      <w:numPr>
        <w:ilvl w:val="3"/>
        <w:numId w:val="23"/>
      </w:numPr>
      <w:outlineLvl w:val="3"/>
    </w:pPr>
    <w:rPr>
      <w:rFonts w:eastAsia="SimSun"/>
      <w:szCs w:val="24"/>
    </w:rPr>
  </w:style>
  <w:style w:type="paragraph" w:customStyle="1" w:styleId="Alt2-LevelLegal5">
    <w:name w:val="Alt 2-Level Legal5"/>
    <w:basedOn w:val="Normal"/>
    <w:pPr>
      <w:numPr>
        <w:ilvl w:val="4"/>
        <w:numId w:val="23"/>
      </w:numPr>
      <w:ind w:right="720"/>
      <w:jc w:val="both"/>
      <w:outlineLvl w:val="4"/>
    </w:pPr>
    <w:rPr>
      <w:rFonts w:eastAsia="SimSun"/>
      <w:szCs w:val="24"/>
    </w:rPr>
  </w:style>
  <w:style w:type="paragraph" w:customStyle="1" w:styleId="Alt2-LevelLegal6">
    <w:name w:val="Alt 2-Level Legal6"/>
    <w:basedOn w:val="Normal"/>
    <w:pPr>
      <w:numPr>
        <w:ilvl w:val="5"/>
        <w:numId w:val="23"/>
      </w:numPr>
      <w:jc w:val="both"/>
      <w:outlineLvl w:val="5"/>
    </w:pPr>
    <w:rPr>
      <w:rFonts w:eastAsia="SimSun"/>
      <w:szCs w:val="24"/>
    </w:rPr>
  </w:style>
  <w:style w:type="paragraph" w:customStyle="1" w:styleId="Alt2-LevelLegal7">
    <w:name w:val="Alt 2-Level Legal7"/>
    <w:basedOn w:val="Normal"/>
    <w:pPr>
      <w:numPr>
        <w:ilvl w:val="6"/>
        <w:numId w:val="23"/>
      </w:numPr>
      <w:ind w:left="1440"/>
      <w:outlineLvl w:val="6"/>
    </w:pPr>
    <w:rPr>
      <w:rFonts w:eastAsia="SimSun"/>
      <w:szCs w:val="24"/>
    </w:rPr>
  </w:style>
  <w:style w:type="character" w:styleId="Emphasis">
    <w:name w:val="Emphasis"/>
    <w:uiPriority w:val="20"/>
    <w:qFormat/>
    <w:rPr>
      <w:b/>
      <w:bCs/>
      <w:i/>
      <w:iCs/>
      <w:spacing w:val="10"/>
      <w:bdr w:val="none" w:sz="0" w:space="0" w:color="auto"/>
      <w:shd w:val="clear" w:color="auto" w:fill="auto"/>
    </w:rPr>
  </w:style>
  <w:style w:type="paragraph" w:customStyle="1" w:styleId="NoteLevel21">
    <w:name w:val="Note Level 21"/>
    <w:basedOn w:val="Normal"/>
    <w:qFormat/>
    <w:locked/>
    <w:pPr>
      <w:spacing w:after="0"/>
    </w:pPr>
    <w:rPr>
      <w:rFonts w:ascii="Arial" w:eastAsia="Calibri" w:hAnsi="Arial" w:cs="Consolas"/>
      <w:color w:val="auto"/>
      <w:szCs w:val="22"/>
      <w:lang w:eastAsia="en-US"/>
    </w:rPr>
  </w:style>
  <w:style w:type="paragraph" w:styleId="Quote">
    <w:name w:val="Quote"/>
    <w:basedOn w:val="Normal"/>
    <w:next w:val="Normal"/>
    <w:qFormat/>
    <w:locked/>
    <w:pPr>
      <w:spacing w:before="200" w:after="0"/>
      <w:ind w:left="360" w:right="360"/>
    </w:pPr>
    <w:rPr>
      <w:rFonts w:ascii="Arial" w:eastAsia="Calibri" w:hAnsi="Arial" w:cs="Consolas"/>
      <w:i/>
      <w:iCs/>
      <w:color w:val="auto"/>
      <w:szCs w:val="22"/>
      <w:lang w:eastAsia="en-US"/>
    </w:rPr>
  </w:style>
  <w:style w:type="paragraph" w:styleId="IntenseQuote">
    <w:name w:val="Intense Quote"/>
    <w:basedOn w:val="Normal"/>
    <w:next w:val="Normal"/>
    <w:qFormat/>
    <w:locked/>
    <w:pPr>
      <w:pBdr>
        <w:bottom w:val="single" w:sz="4" w:space="1" w:color="auto"/>
      </w:pBdr>
      <w:spacing w:before="200" w:after="280"/>
      <w:ind w:left="1008" w:right="1152"/>
      <w:jc w:val="both"/>
    </w:pPr>
    <w:rPr>
      <w:rFonts w:ascii="Arial" w:eastAsia="Calibri" w:hAnsi="Arial" w:cs="Consolas"/>
      <w:b/>
      <w:bCs/>
      <w:i/>
      <w:iCs/>
      <w:color w:val="auto"/>
      <w:szCs w:val="22"/>
      <w:lang w:eastAsia="en-US"/>
    </w:rPr>
  </w:style>
  <w:style w:type="character" w:styleId="SubtleEmphasis">
    <w:name w:val="Subtle Emphasis"/>
    <w:qFormat/>
    <w:locked/>
    <w:rPr>
      <w:i/>
      <w:iCs/>
    </w:rPr>
  </w:style>
  <w:style w:type="character" w:styleId="IntenseEmphasis">
    <w:name w:val="Intense Emphasis"/>
    <w:qFormat/>
    <w:locked/>
    <w:rPr>
      <w:b/>
      <w:bCs/>
    </w:rPr>
  </w:style>
  <w:style w:type="character" w:styleId="SubtleReference">
    <w:name w:val="Subtle Reference"/>
    <w:uiPriority w:val="31"/>
    <w:qFormat/>
    <w:locked/>
    <w:rPr>
      <w:smallCaps/>
    </w:rPr>
  </w:style>
  <w:style w:type="character" w:styleId="IntenseReference">
    <w:name w:val="Intense Reference"/>
    <w:qFormat/>
    <w:locked/>
    <w:rPr>
      <w:smallCaps/>
      <w:spacing w:val="5"/>
      <w:u w:val="single"/>
    </w:rPr>
  </w:style>
  <w:style w:type="character" w:styleId="BookTitle">
    <w:name w:val="Book Title"/>
    <w:qFormat/>
    <w:locked/>
    <w:rPr>
      <w:i/>
      <w:iCs/>
      <w:smallCaps/>
      <w:spacing w:val="5"/>
    </w:rPr>
  </w:style>
  <w:style w:type="paragraph" w:styleId="TOCHeading">
    <w:name w:val="TOC Heading"/>
    <w:basedOn w:val="Heading1"/>
    <w:next w:val="Normal"/>
    <w:uiPriority w:val="39"/>
    <w:qFormat/>
    <w:locked/>
    <w:pPr>
      <w:keepLines/>
      <w:spacing w:before="0"/>
      <w:ind w:left="0" w:firstLine="0"/>
      <w:outlineLvl w:val="9"/>
    </w:pPr>
    <w:rPr>
      <w:rFonts w:ascii="Arial" w:hAnsi="Arial"/>
      <w:bCs/>
      <w:color w:val="auto"/>
      <w:sz w:val="32"/>
      <w:szCs w:val="28"/>
      <w:lang w:eastAsia="en-US"/>
    </w:rPr>
  </w:style>
  <w:style w:type="character" w:customStyle="1" w:styleId="PlainTextChar">
    <w:name w:val="Plain Text Char"/>
    <w:uiPriority w:val="99"/>
    <w:rPr>
      <w:rFonts w:ascii="Consolas" w:hAnsi="Consolas" w:cs="Consolas"/>
      <w:noProof w:val="0"/>
      <w:sz w:val="21"/>
      <w:szCs w:val="21"/>
      <w:lang w:val="en-US" w:eastAsia="en-US"/>
    </w:rPr>
  </w:style>
  <w:style w:type="character" w:customStyle="1" w:styleId="BodyTextIndent3Char">
    <w:name w:val="Body Text Indent 3 Char"/>
    <w:rPr>
      <w:rFonts w:ascii="Times New Roman" w:eastAsia="MS Mincho" w:hAnsi="Times New Roman" w:cs="Times New Roman"/>
      <w:noProof w:val="0"/>
      <w:snapToGrid w:val="0"/>
      <w:color w:val="FF0000"/>
      <w:sz w:val="24"/>
      <w:lang w:eastAsia="zh-CN"/>
    </w:rPr>
  </w:style>
  <w:style w:type="character" w:customStyle="1" w:styleId="Para1">
    <w:name w:val="Para (1) (文字)"/>
    <w:aliases w:val="Heading 1 Char1 Char (文字),Heading 1 Char Char Char (文字),Para (1) Char Char Char (文字),Para (1) Char1 Char (文字),Heading 1 Char1 (文字),Heading 1 Char Char (文字),Para (1) Char Char (文字),Para (1) Char1 (文字),Heading 1 Char1 Char Char (文字)"/>
    <w:rPr>
      <w:rFonts w:ascii="Arial" w:eastAsia="MS Mincho" w:hAnsi="Arial" w:cs="Arial"/>
      <w:b/>
      <w:bCs/>
      <w:noProof w:val="0"/>
      <w:kern w:val="32"/>
      <w:sz w:val="32"/>
      <w:szCs w:val="32"/>
      <w:lang w:val="en-US" w:eastAsia="ja-JP" w:bidi="ar-SA"/>
    </w:rPr>
  </w:style>
  <w:style w:type="paragraph" w:customStyle="1" w:styleId="a0">
    <w:name w:val="吹き出し"/>
    <w:basedOn w:val="Normal"/>
    <w:semiHidden/>
    <w:pPr>
      <w:spacing w:after="0"/>
    </w:pPr>
    <w:rPr>
      <w:rFonts w:ascii="Tahoma" w:eastAsia="MS Mincho" w:hAnsi="Tahoma" w:cs="Consolas"/>
      <w:color w:val="auto"/>
      <w:sz w:val="16"/>
      <w:szCs w:val="16"/>
      <w:lang w:val="en-US" w:eastAsia="en-US"/>
    </w:rPr>
  </w:style>
  <w:style w:type="character" w:customStyle="1" w:styleId="SubParaa">
    <w:name w:val="SubPara (a) (文字) (文字)"/>
    <w:rPr>
      <w:rFonts w:ascii="Arial" w:eastAsia="MS Mincho" w:hAnsi="Arial" w:cs="Arial"/>
      <w:b/>
      <w:bCs/>
      <w:i/>
      <w:iCs/>
      <w:noProof w:val="0"/>
      <w:kern w:val="2"/>
      <w:sz w:val="28"/>
      <w:szCs w:val="28"/>
      <w:lang w:val="en-US" w:eastAsia="ja-JP" w:bidi="ar-SA"/>
    </w:rPr>
  </w:style>
  <w:style w:type="character" w:customStyle="1" w:styleId="1">
    <w:name w:val="(文字) (文字)1"/>
    <w:rPr>
      <w:rFonts w:eastAsia="SimSun"/>
      <w:noProof w:val="0"/>
      <w:sz w:val="24"/>
      <w:szCs w:val="24"/>
      <w:lang w:val="en-US" w:eastAsia="zh-CN" w:bidi="ar-SA"/>
    </w:rPr>
  </w:style>
  <w:style w:type="paragraph" w:customStyle="1" w:styleId="a1">
    <w:name w:val="コメント内容"/>
    <w:basedOn w:val="CommentText"/>
    <w:next w:val="CommentText"/>
    <w:pPr>
      <w:widowControl/>
      <w:spacing w:after="0"/>
    </w:pPr>
    <w:rPr>
      <w:rFonts w:ascii="Times New Roman" w:eastAsia="MS Mincho" w:hAnsi="Times New Roman"/>
      <w:b/>
      <w:bCs/>
      <w:lang w:val="en-US" w:eastAsia="en-US"/>
    </w:rPr>
  </w:style>
  <w:style w:type="character" w:customStyle="1" w:styleId="a2">
    <w:name w:val="(文字) (文字)"/>
    <w:rPr>
      <w:rFonts w:eastAsia="SimSun"/>
      <w:b/>
      <w:bCs/>
      <w:noProof w:val="0"/>
      <w:sz w:val="24"/>
      <w:szCs w:val="24"/>
      <w:lang w:val="en-US" w:eastAsia="en-US" w:bidi="ar-SA"/>
    </w:rPr>
  </w:style>
  <w:style w:type="character" w:customStyle="1" w:styleId="CarCar19">
    <w:name w:val="Car Car19"/>
    <w:locked/>
    <w:rPr>
      <w:rFonts w:eastAsia="MS Mincho"/>
      <w:noProof w:val="0"/>
      <w:color w:val="000000"/>
      <w:sz w:val="24"/>
      <w:szCs w:val="24"/>
      <w:lang w:val="en-GB" w:eastAsia="zh-CN" w:bidi="ar-SA"/>
    </w:rPr>
  </w:style>
  <w:style w:type="paragraph" w:customStyle="1" w:styleId="Decisionparagraphs">
    <w:name w:val="Decision paragraphs"/>
    <w:basedOn w:val="Normal"/>
    <w:autoRedefine/>
    <w:pPr>
      <w:spacing w:after="0"/>
    </w:pPr>
    <w:rPr>
      <w:i/>
      <w:color w:val="auto"/>
      <w:lang w:eastAsia="en-US"/>
    </w:rPr>
  </w:style>
  <w:style w:type="paragraph" w:customStyle="1" w:styleId="Style3">
    <w:name w:val="Style3"/>
    <w:basedOn w:val="Heading1"/>
    <w:pPr>
      <w:tabs>
        <w:tab w:val="left" w:pos="0"/>
        <w:tab w:val="left" w:pos="720"/>
        <w:tab w:val="num" w:pos="1492"/>
      </w:tabs>
      <w:spacing w:before="0" w:after="0"/>
      <w:ind w:left="720" w:hanging="720"/>
    </w:pPr>
    <w:rPr>
      <w:szCs w:val="28"/>
    </w:rPr>
  </w:style>
  <w:style w:type="paragraph" w:customStyle="1" w:styleId="Style4">
    <w:name w:val="Style4"/>
    <w:basedOn w:val="Heading2"/>
    <w:qFormat/>
    <w:pPr>
      <w:spacing w:after="0"/>
    </w:pPr>
    <w:rPr>
      <w:snapToGrid/>
    </w:rPr>
  </w:style>
  <w:style w:type="paragraph" w:customStyle="1" w:styleId="Style5">
    <w:name w:val="Style5"/>
    <w:basedOn w:val="Heading311ptBold"/>
    <w:autoRedefine/>
    <w:pPr>
      <w:numPr>
        <w:ilvl w:val="0"/>
        <w:numId w:val="0"/>
      </w:numPr>
      <w:tabs>
        <w:tab w:val="clear" w:pos="1800"/>
        <w:tab w:val="left" w:pos="720"/>
        <w:tab w:val="center" w:pos="1440"/>
      </w:tabs>
      <w:spacing w:before="0" w:after="0"/>
    </w:pPr>
    <w:rPr>
      <w:b w:val="0"/>
      <w:snapToGrid/>
    </w:rPr>
  </w:style>
  <w:style w:type="paragraph" w:customStyle="1" w:styleId="Style6">
    <w:name w:val="Style6"/>
    <w:basedOn w:val="Heading311ptBold"/>
    <w:next w:val="Style5"/>
    <w:pPr>
      <w:numPr>
        <w:ilvl w:val="0"/>
        <w:numId w:val="0"/>
      </w:numPr>
      <w:tabs>
        <w:tab w:val="clear" w:pos="1800"/>
        <w:tab w:val="left" w:pos="720"/>
        <w:tab w:val="center" w:pos="1440"/>
      </w:tabs>
      <w:spacing w:before="0" w:after="0"/>
    </w:pPr>
    <w:rPr>
      <w:b w:val="0"/>
      <w:snapToGrid/>
    </w:rPr>
  </w:style>
  <w:style w:type="paragraph" w:customStyle="1" w:styleId="Style7">
    <w:name w:val="Style7"/>
    <w:basedOn w:val="Heading311ptBold"/>
    <w:pPr>
      <w:numPr>
        <w:ilvl w:val="0"/>
        <w:numId w:val="0"/>
      </w:numPr>
      <w:tabs>
        <w:tab w:val="clear" w:pos="1800"/>
        <w:tab w:val="left" w:pos="720"/>
        <w:tab w:val="center" w:pos="1440"/>
      </w:tabs>
      <w:spacing w:before="0" w:after="0"/>
      <w:ind w:left="720" w:hanging="720"/>
    </w:pPr>
    <w:rPr>
      <w:b w:val="0"/>
      <w:snapToGrid/>
    </w:rPr>
  </w:style>
  <w:style w:type="paragraph" w:customStyle="1" w:styleId="StyleHeading2SubParaaHeading2Char1CharSubParaaChar1">
    <w:name w:val="Style Heading 2SubPara (a)Heading 2 Char1 CharSubPara (a) Char1 ..."/>
    <w:basedOn w:val="Heading2"/>
    <w:autoRedefine/>
    <w:pPr>
      <w:spacing w:after="0"/>
    </w:pPr>
    <w:rPr>
      <w:bCs/>
      <w:snapToGrid/>
      <w:szCs w:val="20"/>
    </w:rPr>
  </w:style>
  <w:style w:type="paragraph" w:customStyle="1" w:styleId="StyleStyleHeading2SubParaaHeading2Char1CharSubParaaCha">
    <w:name w:val="Style Style Heading 2SubPara (a)Heading 2 Char1 CharSubPara (a) Cha..."/>
    <w:basedOn w:val="StyleHeading2SubParaaHeading2Char1CharSubParaaChar1"/>
  </w:style>
  <w:style w:type="paragraph" w:customStyle="1" w:styleId="StyleHeading4Left0Firstline0">
    <w:name w:val="Style Heading 4 + Left:  0&quot; First line:  0&quot;"/>
    <w:basedOn w:val="Heading4"/>
    <w:autoRedefine/>
    <w:pPr>
      <w:spacing w:after="0"/>
      <w:ind w:left="720"/>
    </w:pPr>
    <w:rPr>
      <w:b w:val="0"/>
      <w:bCs/>
      <w:snapToGrid/>
      <w:szCs w:val="20"/>
    </w:rPr>
  </w:style>
  <w:style w:type="paragraph" w:styleId="ListBullet2">
    <w:name w:val="List Bullet 2"/>
    <w:basedOn w:val="Normal"/>
    <w:semiHidden/>
    <w:pPr>
      <w:tabs>
        <w:tab w:val="num" w:pos="643"/>
      </w:tabs>
      <w:spacing w:after="0"/>
      <w:ind w:left="643" w:hanging="360"/>
    </w:pPr>
    <w:rPr>
      <w:color w:val="auto"/>
      <w:szCs w:val="24"/>
      <w:lang w:eastAsia="en-GB"/>
    </w:rPr>
  </w:style>
  <w:style w:type="paragraph" w:styleId="ListBullet3">
    <w:name w:val="List Bullet 3"/>
    <w:basedOn w:val="Normal"/>
    <w:semiHidden/>
    <w:pPr>
      <w:tabs>
        <w:tab w:val="num" w:pos="926"/>
      </w:tabs>
      <w:spacing w:after="0"/>
      <w:ind w:left="926" w:hanging="360"/>
    </w:pPr>
    <w:rPr>
      <w:color w:val="auto"/>
      <w:szCs w:val="24"/>
      <w:lang w:eastAsia="en-GB"/>
    </w:rPr>
  </w:style>
  <w:style w:type="paragraph" w:styleId="ListBullet4">
    <w:name w:val="List Bullet 4"/>
    <w:basedOn w:val="Normal"/>
    <w:semiHidden/>
    <w:pPr>
      <w:tabs>
        <w:tab w:val="num" w:pos="1209"/>
      </w:tabs>
      <w:spacing w:after="0"/>
      <w:ind w:left="1209" w:hanging="360"/>
    </w:pPr>
    <w:rPr>
      <w:color w:val="auto"/>
      <w:szCs w:val="24"/>
      <w:lang w:eastAsia="en-GB"/>
    </w:rPr>
  </w:style>
  <w:style w:type="paragraph" w:customStyle="1" w:styleId="ECMSHeading1">
    <w:name w:val="ECMS Heading 1"/>
    <w:basedOn w:val="Heading1"/>
    <w:pPr>
      <w:spacing w:after="1080"/>
      <w:ind w:left="0" w:firstLine="0"/>
    </w:pPr>
    <w:rPr>
      <w:rFonts w:ascii="Garamond" w:hAnsi="Garamond" w:cs="Arial"/>
      <w:bCs/>
      <w:color w:val="auto"/>
      <w:sz w:val="48"/>
      <w:szCs w:val="18"/>
      <w:lang w:eastAsia="en-GB"/>
    </w:rPr>
  </w:style>
  <w:style w:type="paragraph" w:customStyle="1" w:styleId="ECMStableheader">
    <w:name w:val="ECMS table header"/>
    <w:basedOn w:val="Normal"/>
    <w:pPr>
      <w:spacing w:after="0"/>
      <w:ind w:left="1320" w:hanging="1320"/>
    </w:pPr>
    <w:rPr>
      <w:b/>
      <w:color w:val="auto"/>
      <w:szCs w:val="24"/>
      <w:lang w:eastAsia="en-GB"/>
    </w:rPr>
  </w:style>
  <w:style w:type="paragraph" w:customStyle="1" w:styleId="Paralevel3">
    <w:name w:val="Para level3"/>
    <w:basedOn w:val="Normal"/>
    <w:autoRedefine/>
    <w:pPr>
      <w:numPr>
        <w:numId w:val="26"/>
      </w:numPr>
      <w:tabs>
        <w:tab w:val="clear" w:pos="2892"/>
        <w:tab w:val="num" w:pos="360"/>
      </w:tabs>
      <w:suppressAutoHyphens/>
      <w:spacing w:after="120"/>
      <w:ind w:left="0" w:firstLine="0"/>
    </w:pPr>
    <w:rPr>
      <w:color w:val="auto"/>
      <w:sz w:val="20"/>
      <w:lang w:eastAsia="en-US"/>
    </w:rPr>
  </w:style>
  <w:style w:type="character" w:customStyle="1" w:styleId="ANNEXESChar">
    <w:name w:val="ANNEXES Char"/>
    <w:rPr>
      <w:b/>
      <w:noProof w:val="0"/>
      <w:color w:val="000000"/>
      <w:sz w:val="28"/>
      <w:lang w:val="en-GB" w:eastAsia="zh-CN" w:bidi="ar-SA"/>
    </w:rPr>
  </w:style>
  <w:style w:type="character" w:customStyle="1" w:styleId="BodyTextChar">
    <w:name w:val="Body Text Char"/>
    <w:aliases w:val=" Char Char Char,Char Char Char,Body Text Char Char Char Char Char Char,Body Text Char Char Char Char Char1"/>
    <w:uiPriority w:val="99"/>
    <w:rPr>
      <w:rFonts w:ascii="Times New Roman" w:hAnsi="Times New Roman"/>
      <w:noProof w:val="0"/>
      <w:color w:val="000000"/>
      <w:lang w:val="en-GB" w:eastAsia="zh-CN"/>
    </w:rPr>
  </w:style>
  <w:style w:type="character" w:customStyle="1" w:styleId="BodyTextIndentChar">
    <w:name w:val="Body Text Indent Char"/>
    <w:rPr>
      <w:rFonts w:ascii="Times New Roman" w:hAnsi="Times New Roman"/>
      <w:noProof w:val="0"/>
      <w:color w:val="000000"/>
      <w:lang w:val="en-GB" w:eastAsia="zh-CN"/>
    </w:rPr>
  </w:style>
  <w:style w:type="paragraph" w:customStyle="1" w:styleId="ColorfulShading-Accent31">
    <w:name w:val="Colorful Shading - Accent 31"/>
    <w:basedOn w:val="Normal"/>
    <w:qFormat/>
    <w:pPr>
      <w:spacing w:after="0"/>
    </w:pPr>
    <w:rPr>
      <w:rFonts w:ascii="Cambria" w:eastAsia="Cambria" w:hAnsi="Cambria"/>
      <w:color w:val="auto"/>
      <w:sz w:val="24"/>
      <w:lang w:val="en-US"/>
    </w:rPr>
  </w:style>
  <w:style w:type="paragraph" w:customStyle="1" w:styleId="summarylevel3">
    <w:name w:val="summary level3"/>
    <w:basedOn w:val="Heading3"/>
    <w:next w:val="Normal"/>
    <w:pPr>
      <w:keepLines w:val="0"/>
      <w:suppressLineNumbers/>
      <w:tabs>
        <w:tab w:val="left" w:pos="851"/>
      </w:tabs>
      <w:spacing w:before="100"/>
    </w:pPr>
    <w:rPr>
      <w:rFonts w:ascii="Times New Roman Bold" w:hAnsi="Times New Roman Bold"/>
      <w:snapToGrid/>
      <w:lang w:val="en-AU"/>
    </w:rPr>
  </w:style>
  <w:style w:type="paragraph" w:customStyle="1" w:styleId="intro">
    <w:name w:val="intro"/>
    <w:basedOn w:val="Normal"/>
    <w:pPr>
      <w:spacing w:before="100" w:after="100"/>
    </w:pPr>
    <w:rPr>
      <w:color w:val="auto"/>
      <w:sz w:val="24"/>
      <w:lang w:val="en-US" w:eastAsia="ja-JP"/>
    </w:rPr>
  </w:style>
  <w:style w:type="paragraph" w:customStyle="1" w:styleId="BodyTextLeft">
    <w:name w:val="Body Text Left"/>
    <w:basedOn w:val="Normal"/>
    <w:pPr>
      <w:widowControl w:val="0"/>
    </w:pPr>
    <w:rPr>
      <w:rFonts w:eastAsia="MS Mincho"/>
      <w:color w:val="auto"/>
      <w:kern w:val="2"/>
      <w:sz w:val="24"/>
      <w:lang w:eastAsia="ja-JP"/>
    </w:rPr>
  </w:style>
  <w:style w:type="paragraph" w:customStyle="1" w:styleId="bullet0">
    <w:name w:val="bullet"/>
    <w:basedOn w:val="Normal"/>
    <w:autoRedefine/>
    <w:pPr>
      <w:spacing w:after="0"/>
      <w:ind w:left="1080"/>
    </w:pPr>
    <w:rPr>
      <w:color w:val="auto"/>
      <w:sz w:val="24"/>
    </w:rPr>
  </w:style>
  <w:style w:type="paragraph" w:customStyle="1" w:styleId="ExecSumHeading">
    <w:name w:val="Exec Sum Heading"/>
    <w:basedOn w:val="Heading1"/>
    <w:pPr>
      <w:widowControl w:val="0"/>
      <w:tabs>
        <w:tab w:val="left" w:pos="851"/>
      </w:tabs>
      <w:spacing w:before="240"/>
    </w:pPr>
    <w:rPr>
      <w:rFonts w:ascii="Times New Roman Bold" w:eastAsia="MS Mincho" w:hAnsi="Times New Roman Bold"/>
      <w:color w:val="auto"/>
      <w:kern w:val="32"/>
      <w:sz w:val="30"/>
    </w:rPr>
  </w:style>
  <w:style w:type="character" w:customStyle="1" w:styleId="text">
    <w:name w:val="text"/>
    <w:basedOn w:val="DefaultParagraphFont"/>
  </w:style>
  <w:style w:type="paragraph" w:customStyle="1" w:styleId="StyleHeading1Para1Heading1Char1CharHeading1CharCharC">
    <w:name w:val="Style Heading 1Para (1)Heading 1 Char1 CharHeading 1 Char Char C..."/>
    <w:basedOn w:val="Heading1"/>
    <w:pPr>
      <w:tabs>
        <w:tab w:val="left" w:pos="851"/>
      </w:tabs>
      <w:spacing w:before="240" w:after="60"/>
    </w:pPr>
    <w:rPr>
      <w:rFonts w:ascii="Times New Roman Bold" w:hAnsi="Times New Roman Bold"/>
      <w:kern w:val="32"/>
      <w:sz w:val="30"/>
      <w:lang w:val="en-US"/>
    </w:rPr>
  </w:style>
  <w:style w:type="character" w:customStyle="1" w:styleId="StyleHeading1Para1Heading1Char1CharHeading1CharCharCChar">
    <w:name w:val="Style Heading 1Para (1)Heading 1 Char1 CharHeading 1 Char Char C... Char"/>
    <w:rPr>
      <w:rFonts w:cs="Arial"/>
      <w:b/>
      <w:bCs/>
      <w:noProof w:val="0"/>
      <w:color w:val="000000"/>
      <w:kern w:val="32"/>
      <w:sz w:val="28"/>
      <w:szCs w:val="32"/>
      <w:lang w:val="en-US" w:eastAsia="en-US" w:bidi="ar-SA"/>
    </w:rPr>
  </w:style>
  <w:style w:type="paragraph" w:customStyle="1" w:styleId="StyleBodyTextLeftAfter0pt">
    <w:name w:val="Style Body Text Left + After:  0 pt"/>
    <w:basedOn w:val="BodyTextLeft"/>
    <w:rPr>
      <w:lang w:eastAsia="zh-CN"/>
    </w:rPr>
  </w:style>
  <w:style w:type="paragraph" w:customStyle="1" w:styleId="StyleBodyTextIndent2Firstline0cm">
    <w:name w:val="Style Body Text Indent 2 + First line:  0 cm"/>
    <w:basedOn w:val="BodyTextIndent2"/>
    <w:pPr>
      <w:spacing w:after="240"/>
      <w:ind w:firstLine="0"/>
    </w:pPr>
  </w:style>
  <w:style w:type="paragraph" w:customStyle="1" w:styleId="StyleBodyTextIndent2Firstline0cm1">
    <w:name w:val="Style Body Text Indent 2 + First line:  0 cm1"/>
    <w:basedOn w:val="BodyTextIndent2"/>
    <w:pPr>
      <w:spacing w:after="240"/>
      <w:ind w:firstLine="0"/>
    </w:pPr>
  </w:style>
  <w:style w:type="paragraph" w:customStyle="1" w:styleId="NormalBold">
    <w:name w:val="Normal + Bold"/>
    <w:aliases w:val="Italic,Centered"/>
    <w:basedOn w:val="Execlevel3"/>
    <w:pPr>
      <w:spacing w:after="240"/>
      <w:jc w:val="center"/>
    </w:pPr>
  </w:style>
  <w:style w:type="paragraph" w:styleId="List5">
    <w:name w:val="List 5"/>
    <w:basedOn w:val="Normal"/>
    <w:semiHidden/>
    <w:pPr>
      <w:tabs>
        <w:tab w:val="left" w:pos="4680"/>
        <w:tab w:val="right" w:pos="9360"/>
      </w:tabs>
      <w:spacing w:before="220" w:after="0" w:line="220" w:lineRule="exact"/>
      <w:ind w:left="1800" w:hanging="360"/>
      <w:jc w:val="both"/>
    </w:pPr>
    <w:rPr>
      <w:rFonts w:ascii="Arial" w:hAnsi="Arial"/>
      <w:color w:val="auto"/>
      <w:lang w:val="en-US"/>
    </w:rPr>
  </w:style>
  <w:style w:type="paragraph" w:customStyle="1" w:styleId="enclosures">
    <w:name w:val="enclosures"/>
    <w:basedOn w:val="Normal"/>
    <w:next w:val="Normal"/>
    <w:rsid w:val="00255612"/>
    <w:pPr>
      <w:tabs>
        <w:tab w:val="left" w:pos="720"/>
        <w:tab w:val="right" w:pos="9360"/>
      </w:tabs>
      <w:spacing w:after="0"/>
    </w:pPr>
    <w:rPr>
      <w:rFonts w:ascii="Helvetica" w:hAnsi="Helvetica"/>
      <w:color w:val="auto"/>
      <w:lang w:val="en-US"/>
    </w:rPr>
  </w:style>
  <w:style w:type="character" w:customStyle="1" w:styleId="CommentTextChar1">
    <w:name w:val="Comment Text Char1"/>
    <w:rPr>
      <w:rFonts w:cs="Times New Roman"/>
      <w:noProof w:val="0"/>
      <w:sz w:val="24"/>
      <w:lang w:val="en-US" w:eastAsia="ja-JP"/>
    </w:rPr>
  </w:style>
  <w:style w:type="character" w:customStyle="1" w:styleId="CommentTextChar">
    <w:name w:val="Comment Text Char"/>
    <w:uiPriority w:val="99"/>
    <w:rPr>
      <w:rFonts w:ascii="Times New Roman" w:hAnsi="Times New Roman" w:cs="Times New Roman"/>
      <w:noProof w:val="0"/>
      <w:sz w:val="24"/>
      <w:lang w:val="x-none" w:eastAsia="ja-JP"/>
    </w:rPr>
  </w:style>
  <w:style w:type="character" w:customStyle="1" w:styleId="BalloonTextChar">
    <w:name w:val="Balloon Text Char"/>
    <w:uiPriority w:val="99"/>
    <w:rPr>
      <w:rFonts w:ascii="Tahoma" w:hAnsi="Tahoma" w:cs="MS Mincho"/>
      <w:sz w:val="16"/>
    </w:rPr>
  </w:style>
  <w:style w:type="character" w:customStyle="1" w:styleId="CommentSubjectChar">
    <w:name w:val="Comment Subject Char"/>
    <w:uiPriority w:val="99"/>
    <w:rPr>
      <w:rFonts w:eastAsia="Times New Roman" w:cs="Times New Roman"/>
      <w:b/>
      <w:bCs/>
      <w:noProof w:val="0"/>
      <w:sz w:val="24"/>
      <w:lang w:val="en-US" w:eastAsia="ja-JP"/>
    </w:rPr>
  </w:style>
  <w:style w:type="character" w:customStyle="1" w:styleId="Heading5Char">
    <w:name w:val="Heading 5 Char"/>
    <w:aliases w:val="Subpara 2 Char"/>
    <w:uiPriority w:val="9"/>
    <w:rPr>
      <w:rFonts w:ascii="Cambria" w:eastAsia="Times New Roman" w:hAnsi="Cambria" w:cs="Times New Roman"/>
      <w:color w:val="243F60"/>
    </w:rPr>
  </w:style>
  <w:style w:type="character" w:customStyle="1" w:styleId="Heading6Char">
    <w:name w:val="Heading 6 Char"/>
    <w:aliases w:val="Subpara 3 Char"/>
    <w:uiPriority w:val="9"/>
    <w:rPr>
      <w:rFonts w:ascii="Cambria" w:eastAsia="Times New Roman" w:hAnsi="Cambria" w:cs="Times New Roman"/>
      <w:i/>
      <w:iCs/>
      <w:color w:val="243F60"/>
    </w:rPr>
  </w:style>
  <w:style w:type="character" w:customStyle="1" w:styleId="Heading7Char">
    <w:name w:val="Heading 7 Char"/>
    <w:aliases w:val="Subpara 4 Char"/>
    <w:uiPriority w:val="9"/>
    <w:rPr>
      <w:rFonts w:ascii="Cambria" w:eastAsia="Times New Roman" w:hAnsi="Cambria" w:cs="Times New Roman"/>
      <w:i/>
      <w:iCs/>
      <w:color w:val="404040"/>
    </w:rPr>
  </w:style>
  <w:style w:type="character" w:customStyle="1" w:styleId="Heading8Char">
    <w:name w:val="Heading 8 Char"/>
    <w:aliases w:val="Subpara 5 Char"/>
    <w:uiPriority w:val="9"/>
    <w:rPr>
      <w:rFonts w:ascii="Cambria" w:eastAsia="Times New Roman" w:hAnsi="Cambria" w:cs="Times New Roman"/>
      <w:color w:val="404040"/>
      <w:sz w:val="20"/>
      <w:szCs w:val="20"/>
    </w:rPr>
  </w:style>
  <w:style w:type="character" w:customStyle="1" w:styleId="Heading9Char">
    <w:name w:val="Heading 9 Char"/>
    <w:aliases w:val="Subpara 6 Char"/>
    <w:uiPriority w:val="9"/>
    <w:rPr>
      <w:rFonts w:ascii="Cambria" w:eastAsia="Times New Roman" w:hAnsi="Cambria" w:cs="Times New Roman"/>
      <w:i/>
      <w:iCs/>
      <w:color w:val="404040"/>
      <w:sz w:val="20"/>
      <w:szCs w:val="20"/>
    </w:rPr>
  </w:style>
  <w:style w:type="paragraph" w:customStyle="1" w:styleId="Paraindent">
    <w:name w:val="Para indent"/>
    <w:basedOn w:val="Normal"/>
    <w:qFormat/>
    <w:pPr>
      <w:widowControl w:val="0"/>
      <w:spacing w:before="120" w:after="120"/>
      <w:ind w:left="709" w:right="720"/>
      <w:jc w:val="both"/>
    </w:pPr>
    <w:rPr>
      <w:i/>
      <w:sz w:val="20"/>
    </w:rPr>
  </w:style>
  <w:style w:type="paragraph" w:customStyle="1" w:styleId="BulletsinTable">
    <w:name w:val="Bullets in Table"/>
    <w:basedOn w:val="ListParagraph1"/>
    <w:qFormat/>
    <w:pPr>
      <w:numPr>
        <w:numId w:val="9"/>
      </w:numPr>
      <w:autoSpaceDE w:val="0"/>
      <w:autoSpaceDN w:val="0"/>
      <w:adjustRightInd w:val="0"/>
      <w:ind w:left="720" w:right="720"/>
      <w:jc w:val="left"/>
    </w:pPr>
    <w:rPr>
      <w:rFonts w:ascii="Times New Roman" w:eastAsia="Times New Roman" w:hAnsi="Times New Roman"/>
      <w:i/>
      <w:color w:val="000000"/>
      <w:sz w:val="20"/>
      <w:lang w:val="en"/>
    </w:rPr>
  </w:style>
  <w:style w:type="paragraph" w:customStyle="1" w:styleId="Annex">
    <w:name w:val="Annex"/>
    <w:basedOn w:val="Caption"/>
    <w:qFormat/>
    <w:pPr>
      <w:spacing w:before="100" w:after="100" w:line="240" w:lineRule="auto"/>
      <w:ind w:left="426" w:right="720"/>
    </w:pPr>
    <w:rPr>
      <w:b/>
      <w:caps/>
      <w:color w:val="auto"/>
      <w:sz w:val="20"/>
    </w:rPr>
  </w:style>
  <w:style w:type="paragraph" w:customStyle="1" w:styleId="Tableandfigureheadings">
    <w:name w:val="Table and figure headings"/>
    <w:basedOn w:val="TableofFigures"/>
    <w:qFormat/>
    <w:pPr>
      <w:keepNext/>
      <w:ind w:left="0" w:right="720" w:firstLine="0"/>
      <w:jc w:val="left"/>
    </w:pPr>
    <w:rPr>
      <w:rFonts w:eastAsia="Times New Roman"/>
      <w:i/>
      <w:caps w:val="0"/>
      <w:sz w:val="24"/>
    </w:rPr>
  </w:style>
  <w:style w:type="paragraph" w:customStyle="1" w:styleId="Bulletsnumbered">
    <w:name w:val="Bullets numbered"/>
    <w:basedOn w:val="Paraindent"/>
    <w:qFormat/>
    <w:pPr>
      <w:tabs>
        <w:tab w:val="num" w:pos="720"/>
      </w:tabs>
      <w:ind w:left="1560" w:hanging="720"/>
    </w:pPr>
  </w:style>
  <w:style w:type="paragraph" w:customStyle="1" w:styleId="Style">
    <w:name w:val="Style"/>
    <w:pPr>
      <w:widowControl w:val="0"/>
      <w:numPr>
        <w:numId w:val="29"/>
      </w:numPr>
      <w:tabs>
        <w:tab w:val="clear" w:pos="720"/>
      </w:tabs>
      <w:autoSpaceDE w:val="0"/>
      <w:autoSpaceDN w:val="0"/>
      <w:adjustRightInd w:val="0"/>
      <w:ind w:left="0" w:firstLine="0"/>
    </w:pPr>
    <w:rPr>
      <w:rFonts w:ascii="Arial" w:hAnsi="Arial"/>
      <w:sz w:val="24"/>
      <w:lang w:val="en-GB" w:eastAsia="ko-KR"/>
    </w:rPr>
  </w:style>
  <w:style w:type="paragraph" w:customStyle="1" w:styleId="Chapternumber">
    <w:name w:val="Chapter number"/>
    <w:basedOn w:val="Normal"/>
    <w:pPr>
      <w:widowControl w:val="0"/>
      <w:suppressAutoHyphens/>
      <w:autoSpaceDE w:val="0"/>
      <w:autoSpaceDN w:val="0"/>
      <w:adjustRightInd w:val="0"/>
      <w:spacing w:before="100" w:after="567" w:line="640" w:lineRule="atLeast"/>
      <w:ind w:right="720"/>
      <w:textAlignment w:val="center"/>
    </w:pPr>
    <w:rPr>
      <w:rFonts w:ascii="FrutigerLTStd-Light" w:hAnsi="FrutigerLTStd-Light"/>
      <w:i/>
      <w:sz w:val="60"/>
    </w:rPr>
  </w:style>
  <w:style w:type="paragraph" w:customStyle="1" w:styleId="Tabletext0">
    <w:name w:val="Table text"/>
    <w:basedOn w:val="Normal"/>
    <w:pPr>
      <w:widowControl w:val="0"/>
      <w:suppressAutoHyphens/>
      <w:autoSpaceDE w:val="0"/>
      <w:autoSpaceDN w:val="0"/>
      <w:adjustRightInd w:val="0"/>
      <w:spacing w:before="100" w:after="113" w:line="288" w:lineRule="auto"/>
      <w:ind w:right="720"/>
      <w:textAlignment w:val="center"/>
    </w:pPr>
    <w:rPr>
      <w:rFonts w:ascii="FrutigerLTStd-Light" w:hAnsi="FrutigerLTStd-Light"/>
      <w:i/>
      <w:sz w:val="24"/>
    </w:rPr>
  </w:style>
  <w:style w:type="paragraph" w:customStyle="1" w:styleId="Bodycopynoindent">
    <w:name w:val="Body copy (no indent)"/>
    <w:basedOn w:val="Normal"/>
    <w:pPr>
      <w:widowControl w:val="0"/>
      <w:suppressAutoHyphens/>
      <w:autoSpaceDE w:val="0"/>
      <w:autoSpaceDN w:val="0"/>
      <w:adjustRightInd w:val="0"/>
      <w:spacing w:before="100" w:after="280" w:line="320" w:lineRule="atLeast"/>
      <w:ind w:right="720"/>
      <w:textAlignment w:val="center"/>
    </w:pPr>
    <w:rPr>
      <w:rFonts w:ascii="FrutigerLTStd-Light" w:hAnsi="FrutigerLTStd-Light"/>
      <w:i/>
      <w:sz w:val="24"/>
    </w:rPr>
  </w:style>
  <w:style w:type="paragraph" w:customStyle="1" w:styleId="Bullettext">
    <w:name w:val="Bullet text"/>
    <w:basedOn w:val="Normal"/>
    <w:next w:val="Normal"/>
    <w:pPr>
      <w:widowControl w:val="0"/>
      <w:tabs>
        <w:tab w:val="num" w:pos="851"/>
      </w:tabs>
      <w:suppressAutoHyphens/>
      <w:autoSpaceDE w:val="0"/>
      <w:autoSpaceDN w:val="0"/>
      <w:adjustRightInd w:val="0"/>
      <w:spacing w:before="100" w:after="113" w:line="320" w:lineRule="atLeast"/>
      <w:ind w:left="851" w:right="720" w:hanging="284"/>
      <w:textAlignment w:val="center"/>
    </w:pPr>
    <w:rPr>
      <w:rFonts w:ascii="FrutigerLTStd-Light" w:hAnsi="FrutigerLTStd-Light"/>
      <w:i/>
      <w:sz w:val="24"/>
    </w:rPr>
  </w:style>
  <w:style w:type="paragraph" w:customStyle="1" w:styleId="Bullettextlastline">
    <w:name w:val="Bullet text last line"/>
    <w:basedOn w:val="Normal"/>
    <w:pPr>
      <w:widowControl w:val="0"/>
      <w:tabs>
        <w:tab w:val="num" w:pos="851"/>
      </w:tabs>
      <w:suppressAutoHyphens/>
      <w:autoSpaceDE w:val="0"/>
      <w:autoSpaceDN w:val="0"/>
      <w:adjustRightInd w:val="0"/>
      <w:spacing w:before="100" w:after="280" w:line="320" w:lineRule="atLeast"/>
      <w:ind w:left="851" w:right="720" w:hanging="284"/>
      <w:textAlignment w:val="center"/>
    </w:pPr>
    <w:rPr>
      <w:rFonts w:ascii="FrutigerLTStd-Light" w:hAnsi="FrutigerLTStd-Light"/>
      <w:i/>
      <w:sz w:val="24"/>
    </w:rPr>
  </w:style>
  <w:style w:type="paragraph" w:customStyle="1" w:styleId="Section2numbered">
    <w:name w:val="Section 2 numbered"/>
    <w:pPr>
      <w:tabs>
        <w:tab w:val="num" w:pos="1492"/>
      </w:tabs>
      <w:spacing w:after="227"/>
      <w:ind w:left="1492" w:hanging="360"/>
    </w:pPr>
    <w:rPr>
      <w:rFonts w:ascii="FrutigerLTStd-Light" w:hAnsi="FrutigerLTStd-Light"/>
      <w:color w:val="000000"/>
      <w:sz w:val="24"/>
      <w:lang w:val="en-GB" w:eastAsia="ko-KR"/>
    </w:rPr>
  </w:style>
  <w:style w:type="character" w:customStyle="1" w:styleId="Boldtext">
    <w:name w:val="Bold text"/>
    <w:rPr>
      <w:rFonts w:ascii="FrutigerLTStd-Bold" w:hAnsi="FrutigerLTStd-Bold" w:cs="Verdana"/>
      <w:b/>
      <w:bCs/>
    </w:rPr>
  </w:style>
  <w:style w:type="paragraph" w:customStyle="1" w:styleId="Section3numbered">
    <w:name w:val="Section 3 numbered"/>
    <w:pPr>
      <w:numPr>
        <w:numId w:val="30"/>
      </w:numPr>
      <w:tabs>
        <w:tab w:val="clear" w:pos="720"/>
        <w:tab w:val="num" w:pos="680"/>
      </w:tabs>
      <w:spacing w:after="227"/>
      <w:ind w:left="680" w:hanging="680"/>
    </w:pPr>
    <w:rPr>
      <w:rFonts w:ascii="FrutigerLTStd-Light" w:hAnsi="FrutigerLTStd-Light"/>
      <w:color w:val="000000"/>
      <w:sz w:val="24"/>
      <w:lang w:val="en-GB" w:eastAsia="ko-KR"/>
    </w:rPr>
  </w:style>
  <w:style w:type="paragraph" w:customStyle="1" w:styleId="Section6numbered">
    <w:name w:val="Section 6 numbered"/>
    <w:pPr>
      <w:tabs>
        <w:tab w:val="num" w:pos="0"/>
      </w:tabs>
      <w:spacing w:after="227"/>
      <w:ind w:left="578"/>
    </w:pPr>
    <w:rPr>
      <w:rFonts w:ascii="FrutigerLTStd-Light" w:hAnsi="FrutigerLTStd-Light"/>
      <w:color w:val="000000"/>
      <w:sz w:val="24"/>
      <w:lang w:val="en-GB" w:eastAsia="ko-KR"/>
    </w:rPr>
  </w:style>
  <w:style w:type="paragraph" w:customStyle="1" w:styleId="BasicParagraph">
    <w:name w:val="[Basic Paragraph]"/>
    <w:basedOn w:val="Normal"/>
    <w:pPr>
      <w:widowControl w:val="0"/>
      <w:numPr>
        <w:numId w:val="31"/>
      </w:numPr>
      <w:tabs>
        <w:tab w:val="clear" w:pos="720"/>
      </w:tabs>
      <w:autoSpaceDE w:val="0"/>
      <w:autoSpaceDN w:val="0"/>
      <w:adjustRightInd w:val="0"/>
      <w:spacing w:before="100" w:after="0" w:line="288" w:lineRule="auto"/>
      <w:ind w:left="0" w:right="720" w:firstLine="0"/>
      <w:textAlignment w:val="center"/>
    </w:pPr>
    <w:rPr>
      <w:rFonts w:ascii="Times-Roman" w:hAnsi="Times-Roman"/>
      <w:i/>
      <w:sz w:val="24"/>
      <w:lang w:val="en-US"/>
    </w:rPr>
  </w:style>
  <w:style w:type="character" w:customStyle="1" w:styleId="t1">
    <w:name w:val="t1"/>
    <w:basedOn w:val="DefaultParagraphFont"/>
  </w:style>
  <w:style w:type="paragraph" w:customStyle="1" w:styleId="Bulletstechnologytable">
    <w:name w:val="Bullets technology table"/>
    <w:basedOn w:val="BulletsinTable"/>
    <w:qFormat/>
    <w:pPr>
      <w:ind w:left="175" w:hanging="142"/>
    </w:pPr>
  </w:style>
  <w:style w:type="paragraph" w:customStyle="1" w:styleId="Recommendationsnumbered">
    <w:name w:val="Recommendations numbered"/>
    <w:basedOn w:val="Bulletsnumbered"/>
    <w:qFormat/>
    <w:pPr>
      <w:ind w:left="1134" w:hanging="425"/>
    </w:pPr>
  </w:style>
  <w:style w:type="paragraph" w:customStyle="1" w:styleId="wbtbullet1">
    <w:name w:val="wbtbullet1"/>
    <w:basedOn w:val="Normal"/>
    <w:pPr>
      <w:spacing w:before="100" w:after="0"/>
      <w:ind w:right="720"/>
      <w:jc w:val="both"/>
    </w:pPr>
    <w:rPr>
      <w:rFonts w:ascii="Verdana" w:hAnsi="Verdana"/>
      <w:i/>
      <w:color w:val="auto"/>
      <w:sz w:val="16"/>
    </w:rPr>
  </w:style>
  <w:style w:type="paragraph" w:customStyle="1" w:styleId="Box">
    <w:name w:val="Box"/>
    <w:basedOn w:val="BodyText"/>
    <w:qFormat/>
    <w:pPr>
      <w:numPr>
        <w:ilvl w:val="1"/>
        <w:numId w:val="7"/>
      </w:numPr>
      <w:pBdr>
        <w:top w:val="single" w:sz="4" w:space="1" w:color="auto"/>
        <w:left w:val="single" w:sz="4" w:space="4" w:color="auto"/>
        <w:bottom w:val="single" w:sz="4" w:space="1" w:color="auto"/>
        <w:right w:val="single" w:sz="4" w:space="4" w:color="auto"/>
      </w:pBdr>
      <w:spacing w:before="100" w:after="0" w:line="240" w:lineRule="auto"/>
      <w:ind w:right="720"/>
    </w:pPr>
    <w:rPr>
      <w:rFonts w:ascii="Calibri" w:hAnsi="Calibri"/>
      <w:i/>
      <w:color w:val="auto"/>
      <w:spacing w:val="-2"/>
      <w:sz w:val="18"/>
      <w:lang w:val="en-US"/>
    </w:rPr>
  </w:style>
  <w:style w:type="character" w:customStyle="1" w:styleId="content1">
    <w:name w:val="content1"/>
    <w:rPr>
      <w:rFonts w:ascii="Trebuchet MS" w:hAnsi="Trebuchet MS" w:hint="default"/>
      <w:color w:val="292929"/>
      <w:sz w:val="18"/>
      <w:szCs w:val="18"/>
    </w:rPr>
  </w:style>
  <w:style w:type="character" w:customStyle="1" w:styleId="smbody1">
    <w:name w:val="smbody1"/>
    <w:rPr>
      <w:rFonts w:ascii="Verdana" w:hAnsi="Verdana" w:hint="default"/>
      <w:color w:val="333333"/>
      <w:sz w:val="15"/>
      <w:szCs w:val="15"/>
    </w:rPr>
  </w:style>
  <w:style w:type="paragraph" w:customStyle="1" w:styleId="Text0">
    <w:name w:val="Text"/>
    <w:basedOn w:val="Normal"/>
    <w:pPr>
      <w:spacing w:before="100" w:after="0"/>
      <w:ind w:right="720"/>
      <w:jc w:val="both"/>
    </w:pPr>
    <w:rPr>
      <w:rFonts w:ascii="Arial" w:hAnsi="Arial"/>
      <w:i/>
      <w:color w:val="auto"/>
      <w:sz w:val="18"/>
      <w:lang w:val="en-US"/>
    </w:rPr>
  </w:style>
  <w:style w:type="paragraph" w:customStyle="1" w:styleId="SimonUberschrift">
    <w:name w:val="Simon Uberschrift"/>
    <w:basedOn w:val="Heading3"/>
    <w:next w:val="Heading1"/>
    <w:pPr>
      <w:keepLines w:val="0"/>
      <w:numPr>
        <w:ilvl w:val="2"/>
        <w:numId w:val="1"/>
      </w:numPr>
      <w:tabs>
        <w:tab w:val="num" w:pos="1800"/>
      </w:tabs>
      <w:spacing w:before="240" w:after="60"/>
      <w:ind w:left="1440" w:firstLine="0"/>
    </w:pPr>
    <w:rPr>
      <w:b/>
      <w:i w:val="0"/>
      <w:snapToGrid/>
    </w:rPr>
  </w:style>
  <w:style w:type="character" w:customStyle="1" w:styleId="TitleChar">
    <w:name w:val="Title Char"/>
    <w:uiPriority w:val="10"/>
    <w:rPr>
      <w:rFonts w:ascii="Arial" w:eastAsia="Times New Roman" w:hAnsi="Arial" w:cs="Arial"/>
      <w:b/>
      <w:bCs/>
      <w:kern w:val="28"/>
      <w:sz w:val="28"/>
      <w:szCs w:val="32"/>
      <w:lang w:eastAsia="en-US"/>
    </w:rPr>
  </w:style>
  <w:style w:type="paragraph" w:customStyle="1" w:styleId="xl22">
    <w:name w:val="xl22"/>
    <w:basedOn w:val="Normal"/>
    <w:pPr>
      <w:pBdr>
        <w:top w:val="single" w:sz="4" w:space="0" w:color="auto"/>
        <w:left w:val="single" w:sz="4" w:space="0" w:color="auto"/>
        <w:bottom w:val="single" w:sz="4" w:space="0" w:color="auto"/>
        <w:right w:val="single" w:sz="4" w:space="0" w:color="auto"/>
      </w:pBdr>
      <w:spacing w:before="100" w:after="100"/>
      <w:ind w:right="720"/>
      <w:jc w:val="both"/>
      <w:textAlignment w:val="top"/>
    </w:pPr>
    <w:rPr>
      <w:rFonts w:ascii="Arial" w:eastAsia="Arial Unicode MS" w:hAnsi="Arial"/>
      <w:i/>
      <w:color w:val="auto"/>
      <w:sz w:val="18"/>
      <w:lang w:val="en-US"/>
    </w:rPr>
  </w:style>
  <w:style w:type="paragraph" w:customStyle="1" w:styleId="xl23">
    <w:name w:val="xl23"/>
    <w:basedOn w:val="Normal"/>
    <w:pPr>
      <w:pBdr>
        <w:top w:val="single" w:sz="4" w:space="0" w:color="auto"/>
        <w:left w:val="single" w:sz="4" w:space="0" w:color="auto"/>
        <w:bottom w:val="single" w:sz="4" w:space="0" w:color="auto"/>
        <w:right w:val="single" w:sz="4" w:space="0" w:color="auto"/>
      </w:pBdr>
      <w:spacing w:before="100" w:after="100"/>
      <w:ind w:right="720"/>
      <w:jc w:val="both"/>
      <w:textAlignment w:val="top"/>
    </w:pPr>
    <w:rPr>
      <w:rFonts w:ascii="Arial" w:eastAsia="Arial Unicode MS" w:hAnsi="Arial"/>
      <w:i/>
      <w:color w:val="auto"/>
      <w:sz w:val="18"/>
      <w:lang w:val="en-US"/>
    </w:rPr>
  </w:style>
  <w:style w:type="character" w:customStyle="1" w:styleId="BodyText3Char">
    <w:name w:val="Body Text 3 Char"/>
    <w:rPr>
      <w:rFonts w:ascii="Arial" w:eastAsia="Times New Roman" w:hAnsi="Arial" w:cs="Times New Roman"/>
      <w:sz w:val="16"/>
      <w:szCs w:val="16"/>
      <w:lang w:eastAsia="en-US"/>
    </w:rPr>
  </w:style>
  <w:style w:type="paragraph" w:customStyle="1" w:styleId="TablesinAnnexlandscape">
    <w:name w:val="Tables in Annex landscape"/>
    <w:basedOn w:val="Table"/>
    <w:qFormat/>
    <w:pPr>
      <w:keepLines w:val="0"/>
      <w:spacing w:before="120" w:after="120"/>
      <w:ind w:left="709" w:right="720"/>
    </w:pPr>
    <w:rPr>
      <w:b/>
      <w:i/>
      <w:snapToGrid/>
    </w:rPr>
  </w:style>
  <w:style w:type="paragraph" w:customStyle="1" w:styleId="Tablefootnote">
    <w:name w:val="Table footnote"/>
    <w:basedOn w:val="Normal"/>
    <w:qFormat/>
    <w:pPr>
      <w:tabs>
        <w:tab w:val="left" w:pos="3000"/>
      </w:tabs>
      <w:spacing w:before="100" w:after="0"/>
      <w:ind w:left="709" w:right="720"/>
    </w:pPr>
    <w:rPr>
      <w:i/>
      <w:color w:val="auto"/>
      <w:sz w:val="18"/>
    </w:rPr>
  </w:style>
  <w:style w:type="paragraph" w:customStyle="1" w:styleId="TableinfrontwithmeandKJ">
    <w:name w:val="Table in front with me and KJ"/>
    <w:basedOn w:val="Normal"/>
    <w:qFormat/>
    <w:pPr>
      <w:spacing w:before="60" w:after="60"/>
      <w:ind w:right="720"/>
    </w:pPr>
    <w:rPr>
      <w:i/>
      <w:color w:val="auto"/>
      <w:sz w:val="18"/>
    </w:rPr>
  </w:style>
  <w:style w:type="paragraph" w:customStyle="1" w:styleId="ParaindentItalicsubheader">
    <w:name w:val="Para indent Italic subheader"/>
    <w:basedOn w:val="Paraindent"/>
    <w:qFormat/>
    <w:rPr>
      <w:i w:val="0"/>
    </w:rPr>
  </w:style>
  <w:style w:type="paragraph" w:customStyle="1" w:styleId="Paratextintable">
    <w:name w:val="Para text in table"/>
    <w:basedOn w:val="Normal"/>
    <w:qFormat/>
    <w:pPr>
      <w:spacing w:before="120" w:after="120"/>
      <w:ind w:right="720"/>
    </w:pPr>
    <w:rPr>
      <w:color w:val="auto"/>
      <w:sz w:val="18"/>
      <w:lang w:val="en-US"/>
    </w:rPr>
  </w:style>
  <w:style w:type="paragraph" w:customStyle="1" w:styleId="Bulletsnumberedintable">
    <w:name w:val="Bullets numbered in table"/>
    <w:basedOn w:val="ListParagraph1"/>
    <w:qFormat/>
    <w:pPr>
      <w:numPr>
        <w:numId w:val="10"/>
      </w:numPr>
      <w:spacing w:before="100" w:after="0"/>
      <w:ind w:right="720"/>
      <w:jc w:val="left"/>
    </w:pPr>
    <w:rPr>
      <w:rFonts w:ascii="Times New Roman" w:eastAsia="Times New Roman" w:hAnsi="Times New Roman"/>
      <w:i/>
      <w:sz w:val="18"/>
      <w:lang w:val="en-US"/>
    </w:rPr>
  </w:style>
  <w:style w:type="paragraph" w:customStyle="1" w:styleId="Paranumbered">
    <w:name w:val="Para numbered"/>
    <w:basedOn w:val="ListParagraph1"/>
    <w:qFormat/>
    <w:pPr>
      <w:numPr>
        <w:numId w:val="11"/>
      </w:numPr>
      <w:spacing w:before="120" w:after="120"/>
      <w:ind w:left="709" w:right="720" w:hanging="709"/>
      <w:jc w:val="left"/>
    </w:pPr>
    <w:rPr>
      <w:rFonts w:ascii="Times New Roman" w:eastAsia="Times New Roman" w:hAnsi="Times New Roman"/>
      <w:i/>
      <w:sz w:val="18"/>
      <w:lang w:val="en-US"/>
    </w:rPr>
  </w:style>
  <w:style w:type="paragraph" w:customStyle="1" w:styleId="Bulletsubindent">
    <w:name w:val="Bullet sub indent"/>
    <w:basedOn w:val="ListParagraph1"/>
    <w:qFormat/>
    <w:pPr>
      <w:numPr>
        <w:numId w:val="0"/>
      </w:numPr>
      <w:autoSpaceDE w:val="0"/>
      <w:autoSpaceDN w:val="0"/>
      <w:adjustRightInd w:val="0"/>
      <w:ind w:left="1985" w:right="720" w:hanging="360"/>
      <w:jc w:val="left"/>
    </w:pPr>
    <w:rPr>
      <w:rFonts w:ascii="Times New Roman" w:eastAsia="Times New Roman" w:hAnsi="Times New Roman"/>
      <w:i/>
      <w:color w:val="000000"/>
      <w:lang w:val="en"/>
    </w:rPr>
  </w:style>
  <w:style w:type="paragraph" w:customStyle="1" w:styleId="TableandFigureVol1">
    <w:name w:val="Table and Figure Vol 1"/>
    <w:basedOn w:val="Caption"/>
    <w:qFormat/>
    <w:pPr>
      <w:keepNext/>
      <w:spacing w:before="100" w:after="120" w:line="240" w:lineRule="auto"/>
      <w:ind w:left="709" w:right="720"/>
      <w:jc w:val="both"/>
    </w:pPr>
    <w:rPr>
      <w:rFonts w:ascii="Calibri" w:hAnsi="Calibri"/>
      <w:b/>
      <w:color w:val="auto"/>
      <w:sz w:val="20"/>
    </w:rPr>
  </w:style>
  <w:style w:type="paragraph" w:customStyle="1" w:styleId="GEFChar">
    <w:name w:val="GEF Char"/>
    <w:basedOn w:val="Normal"/>
    <w:pPr>
      <w:numPr>
        <w:numId w:val="33"/>
      </w:numPr>
      <w:spacing w:before="180" w:after="0" w:line="250" w:lineRule="exact"/>
      <w:ind w:left="0" w:right="720" w:firstLine="0"/>
      <w:jc w:val="both"/>
    </w:pPr>
    <w:rPr>
      <w:i/>
      <w:color w:val="auto"/>
      <w:sz w:val="20"/>
    </w:rPr>
  </w:style>
  <w:style w:type="character" w:customStyle="1" w:styleId="ft">
    <w:name w:val="ft"/>
  </w:style>
  <w:style w:type="character" w:customStyle="1" w:styleId="googqs-tidbit-0">
    <w:name w:val="goog_qs-tidbit-0"/>
    <w:basedOn w:val="DefaultParagraphFont"/>
  </w:style>
  <w:style w:type="character" w:customStyle="1" w:styleId="style81">
    <w:name w:val="style81"/>
    <w:rPr>
      <w:rFonts w:ascii="Verdana" w:hAnsi="Verdana" w:hint="default"/>
      <w:color w:val="008000"/>
      <w:sz w:val="27"/>
      <w:szCs w:val="27"/>
    </w:rPr>
  </w:style>
  <w:style w:type="character" w:customStyle="1" w:styleId="A6">
    <w:name w:val="A6"/>
    <w:rPr>
      <w:rFonts w:cs="Georgia"/>
      <w:color w:val="000000"/>
      <w:sz w:val="20"/>
      <w:szCs w:val="20"/>
    </w:rPr>
  </w:style>
  <w:style w:type="character" w:customStyle="1" w:styleId="googqs-tidbit1">
    <w:name w:val="goog_qs-tidbit1"/>
    <w:rPr>
      <w:vanish w:val="0"/>
      <w:webHidden w:val="0"/>
      <w:specVanish w:val="0"/>
    </w:rPr>
  </w:style>
  <w:style w:type="paragraph" w:customStyle="1" w:styleId="bodytext0">
    <w:name w:val="bodytext"/>
    <w:basedOn w:val="Normal"/>
    <w:pPr>
      <w:spacing w:before="100" w:after="100"/>
      <w:ind w:right="720"/>
    </w:pPr>
    <w:rPr>
      <w:i/>
      <w:color w:val="auto"/>
      <w:sz w:val="24"/>
    </w:rPr>
  </w:style>
  <w:style w:type="paragraph" w:customStyle="1" w:styleId="MeetingInfo">
    <w:name w:val="MeetingInfo"/>
    <w:basedOn w:val="Normal"/>
    <w:pPr>
      <w:pBdr>
        <w:top w:val="single" w:sz="12" w:space="6" w:color="auto"/>
        <w:left w:val="single" w:sz="12" w:space="6" w:color="auto"/>
        <w:bottom w:val="single" w:sz="12" w:space="6" w:color="auto"/>
        <w:right w:val="single" w:sz="12" w:space="6" w:color="auto"/>
      </w:pBdr>
      <w:spacing w:before="120" w:after="120"/>
      <w:ind w:right="720"/>
      <w:jc w:val="center"/>
    </w:pPr>
    <w:rPr>
      <w:b/>
      <w:i/>
      <w:noProof/>
      <w:color w:val="auto"/>
      <w:sz w:val="28"/>
    </w:rPr>
  </w:style>
  <w:style w:type="paragraph" w:customStyle="1" w:styleId="BlankLine">
    <w:name w:val="BlankLine"/>
    <w:basedOn w:val="Normal"/>
    <w:next w:val="Normal"/>
    <w:pPr>
      <w:numPr>
        <w:numId w:val="13"/>
      </w:numPr>
      <w:spacing w:before="100" w:after="0"/>
      <w:ind w:right="720"/>
    </w:pPr>
    <w:rPr>
      <w:i/>
      <w:noProof/>
      <w:color w:val="auto"/>
      <w:sz w:val="18"/>
    </w:rPr>
  </w:style>
  <w:style w:type="character" w:customStyle="1" w:styleId="Bold">
    <w:name w:val="Bold"/>
    <w:rPr>
      <w:b/>
    </w:rPr>
  </w:style>
  <w:style w:type="character" w:customStyle="1" w:styleId="BoldItalic">
    <w:name w:val="Bold Italic"/>
    <w:rPr>
      <w:b/>
      <w:i/>
    </w:rPr>
  </w:style>
  <w:style w:type="character" w:customStyle="1" w:styleId="BoldItalicUnderline">
    <w:name w:val="Bold Italic Underline"/>
    <w:rPr>
      <w:b/>
      <w:i/>
      <w:u w:val="single"/>
    </w:rPr>
  </w:style>
  <w:style w:type="character" w:customStyle="1" w:styleId="BoldUnderline">
    <w:name w:val="Bold Underline"/>
    <w:rPr>
      <w:b/>
      <w:u w:val="single"/>
    </w:rPr>
  </w:style>
  <w:style w:type="paragraph" w:customStyle="1" w:styleId="BoxText">
    <w:name w:val="Box Text"/>
    <w:basedOn w:val="BoxNewPara"/>
    <w:pPr>
      <w:tabs>
        <w:tab w:val="clear" w:pos="425"/>
        <w:tab w:val="left" w:pos="426"/>
      </w:tabs>
    </w:pPr>
  </w:style>
  <w:style w:type="paragraph" w:customStyle="1" w:styleId="BoxNewPara">
    <w:name w:val="Box NewPara"/>
    <w:basedOn w:val="Normal"/>
    <w:next w:val="Normal"/>
    <w:pPr>
      <w:pBdr>
        <w:left w:val="single" w:sz="6" w:space="1" w:color="auto"/>
        <w:right w:val="single" w:sz="6" w:space="1" w:color="auto"/>
      </w:pBdr>
      <w:shd w:val="pct10" w:color="auto" w:fill="auto"/>
      <w:tabs>
        <w:tab w:val="left" w:pos="425"/>
        <w:tab w:val="num" w:pos="720"/>
      </w:tabs>
      <w:spacing w:before="100" w:after="0"/>
      <w:ind w:left="720" w:right="720" w:hanging="360"/>
      <w:jc w:val="both"/>
    </w:pPr>
    <w:rPr>
      <w:i/>
      <w:noProof/>
      <w:color w:val="auto"/>
      <w:sz w:val="20"/>
    </w:rPr>
  </w:style>
  <w:style w:type="paragraph" w:customStyle="1" w:styleId="FigureCaption">
    <w:name w:val="Figure Caption"/>
    <w:basedOn w:val="Normal"/>
    <w:pPr>
      <w:spacing w:before="120" w:after="0"/>
      <w:ind w:right="720"/>
    </w:pPr>
    <w:rPr>
      <w:noProof/>
      <w:color w:val="auto"/>
      <w:sz w:val="18"/>
    </w:rPr>
  </w:style>
  <w:style w:type="paragraph" w:customStyle="1" w:styleId="BoxNote">
    <w:name w:val="Box Note"/>
    <w:basedOn w:val="Normal"/>
    <w:next w:val="Normal"/>
    <w:pPr>
      <w:pBdr>
        <w:left w:val="single" w:sz="6" w:space="1" w:color="auto"/>
        <w:right w:val="single" w:sz="6" w:space="1" w:color="auto"/>
      </w:pBdr>
      <w:shd w:val="pct10" w:color="auto" w:fill="auto"/>
      <w:suppressAutoHyphens/>
      <w:spacing w:before="100" w:after="0"/>
      <w:ind w:right="720"/>
      <w:jc w:val="both"/>
    </w:pPr>
    <w:rPr>
      <w:noProof/>
      <w:color w:val="auto"/>
      <w:sz w:val="20"/>
    </w:rPr>
  </w:style>
  <w:style w:type="paragraph" w:customStyle="1" w:styleId="NewPara">
    <w:name w:val="NewPara"/>
    <w:basedOn w:val="Normal"/>
    <w:next w:val="Normal"/>
    <w:pPr>
      <w:numPr>
        <w:numId w:val="35"/>
      </w:numPr>
      <w:tabs>
        <w:tab w:val="clear" w:pos="720"/>
        <w:tab w:val="left" w:pos="709"/>
      </w:tabs>
      <w:spacing w:before="160" w:after="20"/>
      <w:ind w:left="0" w:right="720" w:firstLine="0"/>
    </w:pPr>
    <w:rPr>
      <w:i/>
      <w:noProof/>
      <w:color w:val="auto"/>
      <w:sz w:val="18"/>
    </w:rPr>
  </w:style>
  <w:style w:type="paragraph" w:customStyle="1" w:styleId="BoxParaTitle">
    <w:name w:val="Box ParaTitle"/>
    <w:basedOn w:val="BoxNote"/>
    <w:rPr>
      <w:b/>
      <w:i/>
    </w:rPr>
  </w:style>
  <w:style w:type="paragraph" w:customStyle="1" w:styleId="BoxRandList1">
    <w:name w:val="Box RandList 1"/>
    <w:basedOn w:val="Normal"/>
    <w:pPr>
      <w:numPr>
        <w:numId w:val="15"/>
      </w:numPr>
      <w:pBdr>
        <w:left w:val="single" w:sz="6" w:space="10" w:color="auto"/>
        <w:right w:val="single" w:sz="6" w:space="10" w:color="auto"/>
      </w:pBdr>
      <w:shd w:val="pct10" w:color="auto" w:fill="auto"/>
      <w:tabs>
        <w:tab w:val="left" w:pos="437"/>
      </w:tabs>
      <w:spacing w:before="100" w:after="0" w:line="360" w:lineRule="auto"/>
      <w:ind w:left="437" w:right="181" w:hanging="256"/>
      <w:jc w:val="both"/>
    </w:pPr>
    <w:rPr>
      <w:i/>
      <w:noProof/>
      <w:color w:val="auto"/>
      <w:sz w:val="20"/>
    </w:rPr>
  </w:style>
  <w:style w:type="paragraph" w:customStyle="1" w:styleId="RandListLev1">
    <w:name w:val="Rand List Lev1"/>
    <w:basedOn w:val="Normal"/>
    <w:pPr>
      <w:numPr>
        <w:numId w:val="12"/>
      </w:numPr>
      <w:tabs>
        <w:tab w:val="left" w:pos="754"/>
      </w:tabs>
      <w:spacing w:before="100" w:after="0"/>
      <w:ind w:left="754" w:right="720" w:hanging="357"/>
    </w:pPr>
    <w:rPr>
      <w:i/>
      <w:noProof/>
      <w:color w:val="auto"/>
      <w:sz w:val="18"/>
    </w:rPr>
  </w:style>
  <w:style w:type="paragraph" w:customStyle="1" w:styleId="BoxRandList2">
    <w:name w:val="Box RandList 2"/>
    <w:basedOn w:val="BoxRandList1"/>
    <w:pPr>
      <w:pBdr>
        <w:left w:val="single" w:sz="6" w:space="20" w:color="auto"/>
        <w:right w:val="single" w:sz="6" w:space="20" w:color="auto"/>
      </w:pBdr>
      <w:tabs>
        <w:tab w:val="left" w:pos="635"/>
      </w:tabs>
      <w:ind w:left="635" w:right="380" w:hanging="255"/>
    </w:pPr>
  </w:style>
  <w:style w:type="paragraph" w:customStyle="1" w:styleId="BoxRandList3">
    <w:name w:val="Box RandList 3"/>
    <w:basedOn w:val="BoxRandList2"/>
    <w:pPr>
      <w:pBdr>
        <w:left w:val="single" w:sz="6" w:space="29" w:color="auto"/>
        <w:right w:val="single" w:sz="6" w:space="30" w:color="auto"/>
      </w:pBdr>
      <w:tabs>
        <w:tab w:val="left" w:pos="816"/>
      </w:tabs>
      <w:ind w:left="816" w:right="584"/>
    </w:pPr>
  </w:style>
  <w:style w:type="paragraph" w:customStyle="1" w:styleId="BoxSeqList1">
    <w:name w:val="Box SeqList 1"/>
    <w:basedOn w:val="Normal"/>
    <w:pPr>
      <w:numPr>
        <w:numId w:val="36"/>
      </w:numPr>
      <w:pBdr>
        <w:left w:val="single" w:sz="6" w:space="8" w:color="auto"/>
        <w:right w:val="single" w:sz="6" w:space="10" w:color="auto"/>
      </w:pBdr>
      <w:shd w:val="pct10" w:color="auto" w:fill="auto"/>
      <w:tabs>
        <w:tab w:val="num" w:pos="567"/>
      </w:tabs>
      <w:spacing w:before="100" w:after="0" w:line="360" w:lineRule="auto"/>
      <w:ind w:left="567" w:right="181" w:hanging="425"/>
      <w:jc w:val="both"/>
    </w:pPr>
    <w:rPr>
      <w:i/>
      <w:noProof/>
      <w:color w:val="auto"/>
      <w:sz w:val="20"/>
    </w:rPr>
  </w:style>
  <w:style w:type="paragraph" w:customStyle="1" w:styleId="BoxSeqList3">
    <w:name w:val="Box SeqList 3"/>
    <w:basedOn w:val="BoxSeqList2"/>
    <w:pPr>
      <w:numPr>
        <w:ilvl w:val="0"/>
        <w:numId w:val="34"/>
      </w:numPr>
      <w:pBdr>
        <w:left w:val="single" w:sz="6" w:space="30" w:color="auto"/>
        <w:right w:val="single" w:sz="6" w:space="30" w:color="auto"/>
      </w:pBdr>
      <w:tabs>
        <w:tab w:val="clear" w:pos="720"/>
        <w:tab w:val="num" w:pos="1009"/>
      </w:tabs>
      <w:ind w:left="1009" w:right="584" w:hanging="425"/>
    </w:pPr>
  </w:style>
  <w:style w:type="paragraph" w:customStyle="1" w:styleId="BoxSeqList2">
    <w:name w:val="Box SeqList 2"/>
    <w:basedOn w:val="BoxSeqList1"/>
    <w:pPr>
      <w:numPr>
        <w:ilvl w:val="2"/>
        <w:numId w:val="14"/>
      </w:numPr>
      <w:pBdr>
        <w:left w:val="single" w:sz="6" w:space="20" w:color="auto"/>
      </w:pBdr>
      <w:tabs>
        <w:tab w:val="clear" w:pos="2160"/>
      </w:tabs>
      <w:ind w:hanging="360"/>
    </w:pPr>
  </w:style>
  <w:style w:type="paragraph" w:customStyle="1" w:styleId="TableTitle">
    <w:name w:val="Table Title"/>
    <w:basedOn w:val="Normal"/>
    <w:pPr>
      <w:keepNext/>
      <w:spacing w:before="120" w:after="0"/>
      <w:ind w:right="720"/>
    </w:pPr>
    <w:rPr>
      <w:b/>
      <w:i/>
      <w:noProof/>
      <w:color w:val="auto"/>
      <w:sz w:val="18"/>
    </w:rPr>
  </w:style>
  <w:style w:type="paragraph" w:customStyle="1" w:styleId="TableEntry">
    <w:name w:val="TableEntry"/>
    <w:basedOn w:val="Normal"/>
    <w:pPr>
      <w:numPr>
        <w:ilvl w:val="1"/>
        <w:numId w:val="35"/>
      </w:numPr>
      <w:spacing w:before="80" w:after="0"/>
      <w:ind w:left="0" w:right="720" w:firstLine="0"/>
    </w:pPr>
    <w:rPr>
      <w:i/>
      <w:noProof/>
      <w:color w:val="auto"/>
      <w:sz w:val="18"/>
    </w:rPr>
  </w:style>
  <w:style w:type="paragraph" w:customStyle="1" w:styleId="BoxTitle">
    <w:name w:val="Box Title"/>
    <w:basedOn w:val="Normal"/>
    <w:next w:val="BoxText"/>
    <w:pPr>
      <w:numPr>
        <w:ilvl w:val="3"/>
        <w:numId w:val="35"/>
      </w:numPr>
      <w:pBdr>
        <w:top w:val="single" w:sz="6" w:space="7" w:color="auto"/>
        <w:left w:val="single" w:sz="6" w:space="7" w:color="auto"/>
        <w:right w:val="single" w:sz="6" w:space="7" w:color="auto"/>
      </w:pBdr>
      <w:shd w:val="pct10" w:color="auto" w:fill="auto"/>
      <w:spacing w:before="120" w:after="0" w:line="360" w:lineRule="auto"/>
      <w:ind w:left="119" w:right="119" w:firstLine="0"/>
      <w:jc w:val="center"/>
    </w:pPr>
    <w:rPr>
      <w:b/>
      <w:noProof/>
      <w:color w:val="auto"/>
      <w:sz w:val="20"/>
    </w:rPr>
  </w:style>
  <w:style w:type="character" w:customStyle="1" w:styleId="Chart">
    <w:name w:val="Chart"/>
    <w:basedOn w:val="DefaultParagraphFont"/>
  </w:style>
  <w:style w:type="paragraph" w:customStyle="1" w:styleId="RandListLev2">
    <w:name w:val="Rand List Lev2"/>
    <w:basedOn w:val="RandListLev1"/>
    <w:pPr>
      <w:tabs>
        <w:tab w:val="clear" w:pos="754"/>
        <w:tab w:val="left" w:pos="1134"/>
      </w:tabs>
      <w:ind w:left="1134"/>
    </w:pPr>
  </w:style>
  <w:style w:type="paragraph" w:customStyle="1" w:styleId="RandListLev3">
    <w:name w:val="Rand List Lev3"/>
    <w:basedOn w:val="RandListLev2"/>
    <w:pPr>
      <w:tabs>
        <w:tab w:val="clear" w:pos="1134"/>
        <w:tab w:val="left" w:pos="1559"/>
      </w:tabs>
      <w:ind w:left="1559"/>
    </w:pPr>
  </w:style>
  <w:style w:type="paragraph" w:customStyle="1" w:styleId="RandListLev4">
    <w:name w:val="Rand List Lev4"/>
    <w:basedOn w:val="RandListLev3"/>
    <w:pPr>
      <w:tabs>
        <w:tab w:val="clear" w:pos="1559"/>
        <w:tab w:val="left" w:pos="1984"/>
      </w:tabs>
      <w:ind w:left="1984"/>
    </w:pPr>
  </w:style>
  <w:style w:type="paragraph" w:customStyle="1" w:styleId="DefListHeader">
    <w:name w:val="Def List Header"/>
    <w:basedOn w:val="Normal"/>
    <w:next w:val="Normal"/>
    <w:pPr>
      <w:keepNext/>
      <w:tabs>
        <w:tab w:val="left" w:pos="2835"/>
      </w:tabs>
      <w:spacing w:before="120" w:after="0"/>
      <w:ind w:right="720"/>
    </w:pPr>
    <w:rPr>
      <w:b/>
      <w:i/>
      <w:caps/>
      <w:noProof/>
      <w:color w:val="auto"/>
      <w:sz w:val="28"/>
    </w:rPr>
  </w:style>
  <w:style w:type="paragraph" w:customStyle="1" w:styleId="DefinitionList">
    <w:name w:val="Definition List"/>
    <w:basedOn w:val="Normal"/>
    <w:next w:val="Normal"/>
    <w:pPr>
      <w:tabs>
        <w:tab w:val="left" w:pos="2835"/>
      </w:tabs>
      <w:spacing w:before="120" w:after="0"/>
      <w:ind w:left="2835" w:right="720" w:hanging="2835"/>
    </w:pPr>
    <w:rPr>
      <w:i/>
      <w:noProof/>
      <w:color w:val="auto"/>
      <w:sz w:val="18"/>
    </w:rPr>
  </w:style>
  <w:style w:type="paragraph" w:customStyle="1" w:styleId="DocTitle">
    <w:name w:val="DocTitle"/>
    <w:basedOn w:val="Normal"/>
    <w:next w:val="MeetingInfo"/>
    <w:pPr>
      <w:spacing w:before="120" w:after="480"/>
      <w:ind w:right="720"/>
      <w:jc w:val="center"/>
    </w:pPr>
    <w:rPr>
      <w:i/>
      <w:smallCaps/>
      <w:noProof/>
      <w:color w:val="808080"/>
      <w:sz w:val="56"/>
    </w:rPr>
  </w:style>
  <w:style w:type="paragraph" w:customStyle="1" w:styleId="EndBox">
    <w:name w:val="EndBox"/>
    <w:basedOn w:val="Normal"/>
    <w:next w:val="Normal"/>
    <w:pPr>
      <w:pBdr>
        <w:left w:val="single" w:sz="6" w:space="1" w:color="auto"/>
        <w:bottom w:val="single" w:sz="6" w:space="1" w:color="auto"/>
        <w:right w:val="single" w:sz="6" w:space="1" w:color="auto"/>
      </w:pBdr>
      <w:shd w:val="pct10" w:color="auto" w:fill="auto"/>
      <w:spacing w:before="100" w:after="0"/>
      <w:ind w:right="720"/>
    </w:pPr>
    <w:rPr>
      <w:i/>
      <w:noProof/>
      <w:color w:val="auto"/>
      <w:sz w:val="18"/>
    </w:rPr>
  </w:style>
  <w:style w:type="paragraph" w:customStyle="1" w:styleId="FigInfo-P">
    <w:name w:val="FigInfo-P"/>
    <w:basedOn w:val="Normal"/>
    <w:pPr>
      <w:spacing w:before="120" w:after="0"/>
      <w:ind w:right="720"/>
    </w:pPr>
    <w:rPr>
      <w:i/>
      <w:noProof/>
      <w:color w:val="auto"/>
      <w:sz w:val="18"/>
    </w:rPr>
  </w:style>
  <w:style w:type="paragraph" w:customStyle="1" w:styleId="FigureTitle">
    <w:name w:val="Figure Title"/>
    <w:basedOn w:val="Normal"/>
    <w:pPr>
      <w:keepNext/>
      <w:spacing w:before="120" w:after="0"/>
      <w:ind w:right="720"/>
    </w:pPr>
    <w:rPr>
      <w:b/>
      <w:noProof/>
      <w:color w:val="auto"/>
      <w:sz w:val="18"/>
    </w:rPr>
  </w:style>
  <w:style w:type="character" w:customStyle="1" w:styleId="Graph">
    <w:name w:val="Graph"/>
    <w:basedOn w:val="DefaultParagraphFont"/>
  </w:style>
  <w:style w:type="character" w:customStyle="1" w:styleId="Image">
    <w:name w:val="Image"/>
    <w:basedOn w:val="DefaultParagraphFont"/>
  </w:style>
  <w:style w:type="character" w:customStyle="1" w:styleId="ItalicUnderline">
    <w:name w:val="Italic Underline"/>
    <w:rPr>
      <w:i/>
      <w:u w:val="single"/>
    </w:rPr>
  </w:style>
  <w:style w:type="paragraph" w:customStyle="1" w:styleId="ListHeader">
    <w:name w:val="List Header"/>
    <w:basedOn w:val="Normal"/>
    <w:pPr>
      <w:keepNext/>
      <w:spacing w:before="120" w:after="0"/>
      <w:ind w:right="720"/>
    </w:pPr>
    <w:rPr>
      <w:i/>
      <w:noProof/>
      <w:color w:val="auto"/>
      <w:sz w:val="18"/>
    </w:rPr>
  </w:style>
  <w:style w:type="paragraph" w:customStyle="1" w:styleId="MeetInfo">
    <w:name w:val="MeetInfo"/>
    <w:basedOn w:val="Normal"/>
    <w:next w:val="Normal"/>
    <w:pPr>
      <w:tabs>
        <w:tab w:val="left" w:pos="426"/>
      </w:tabs>
      <w:spacing w:before="60" w:after="0"/>
      <w:ind w:right="720"/>
    </w:pPr>
    <w:rPr>
      <w:i/>
      <w:noProof/>
      <w:color w:val="auto"/>
      <w:sz w:val="18"/>
    </w:rPr>
  </w:style>
  <w:style w:type="paragraph" w:customStyle="1" w:styleId="SpacePara">
    <w:name w:val="SpacePara"/>
    <w:basedOn w:val="Normal"/>
    <w:next w:val="DocTitle"/>
    <w:pPr>
      <w:spacing w:before="100" w:after="0" w:line="480" w:lineRule="auto"/>
      <w:ind w:right="720"/>
    </w:pPr>
    <w:rPr>
      <w:i/>
      <w:noProof/>
      <w:color w:val="auto"/>
      <w:sz w:val="18"/>
    </w:rPr>
  </w:style>
  <w:style w:type="character" w:customStyle="1" w:styleId="NroPara">
    <w:name w:val="NroPara"/>
    <w:basedOn w:val="DefaultParagraphFont"/>
  </w:style>
  <w:style w:type="character" w:customStyle="1" w:styleId="NumBox">
    <w:name w:val="NumBox"/>
    <w:basedOn w:val="DefaultParagraphFont"/>
  </w:style>
  <w:style w:type="character" w:customStyle="1" w:styleId="NumFigure">
    <w:name w:val="NumFigure"/>
    <w:basedOn w:val="DefaultParagraphFont"/>
  </w:style>
  <w:style w:type="character" w:customStyle="1" w:styleId="NumTable">
    <w:name w:val="NumTable"/>
    <w:basedOn w:val="DefaultParagraphFont"/>
  </w:style>
  <w:style w:type="paragraph" w:customStyle="1" w:styleId="PgBrk">
    <w:name w:val="PgBrk"/>
    <w:basedOn w:val="Normal"/>
    <w:next w:val="Heading1"/>
    <w:pPr>
      <w:pageBreakBefore/>
      <w:spacing w:before="120" w:after="0" w:line="14" w:lineRule="exact"/>
      <w:ind w:right="720"/>
    </w:pPr>
    <w:rPr>
      <w:i/>
      <w:noProof/>
      <w:color w:val="auto"/>
      <w:sz w:val="18"/>
    </w:rPr>
  </w:style>
  <w:style w:type="paragraph" w:customStyle="1" w:styleId="StartBack">
    <w:name w:val="StartBack"/>
    <w:basedOn w:val="SpacePara"/>
    <w:next w:val="Normal"/>
  </w:style>
  <w:style w:type="paragraph" w:customStyle="1" w:styleId="StartBody">
    <w:name w:val="StartBody"/>
    <w:basedOn w:val="SpacePara"/>
    <w:next w:val="Normal"/>
  </w:style>
  <w:style w:type="paragraph" w:customStyle="1" w:styleId="TBL-COLMNhd">
    <w:name w:val="TBL-COLMNhd"/>
    <w:basedOn w:val="Normal"/>
    <w:pPr>
      <w:tabs>
        <w:tab w:val="left" w:pos="-720"/>
      </w:tabs>
      <w:suppressAutoHyphens/>
      <w:spacing w:before="60" w:after="20"/>
      <w:ind w:right="720"/>
      <w:jc w:val="center"/>
    </w:pPr>
    <w:rPr>
      <w:b/>
      <w:i/>
      <w:noProof/>
      <w:color w:val="auto"/>
      <w:sz w:val="18"/>
    </w:rPr>
  </w:style>
  <w:style w:type="character" w:customStyle="1" w:styleId="Term">
    <w:name w:val="Term"/>
    <w:rPr>
      <w:b/>
    </w:rPr>
  </w:style>
  <w:style w:type="character" w:customStyle="1" w:styleId="TermHeading">
    <w:name w:val="Term Heading"/>
    <w:rPr>
      <w:b/>
    </w:rPr>
  </w:style>
  <w:style w:type="paragraph" w:customStyle="1" w:styleId="TOCRef">
    <w:name w:val="TOCRef"/>
    <w:basedOn w:val="Normal"/>
    <w:next w:val="TOC1"/>
    <w:pPr>
      <w:spacing w:before="120" w:after="0" w:line="200" w:lineRule="exact"/>
      <w:ind w:right="720"/>
      <w:jc w:val="right"/>
    </w:pPr>
    <w:rPr>
      <w:i/>
      <w:noProof/>
      <w:color w:val="auto"/>
      <w:sz w:val="18"/>
    </w:rPr>
  </w:style>
  <w:style w:type="paragraph" w:customStyle="1" w:styleId="TOCTitle">
    <w:name w:val="TOCTitle"/>
    <w:basedOn w:val="Normal"/>
    <w:next w:val="TOCRef"/>
    <w:pPr>
      <w:pBdr>
        <w:top w:val="single" w:sz="6" w:space="5" w:color="auto"/>
        <w:bottom w:val="single" w:sz="6" w:space="5" w:color="auto"/>
      </w:pBdr>
      <w:spacing w:before="600" w:after="600" w:line="360" w:lineRule="auto"/>
      <w:ind w:left="-170" w:right="-170"/>
      <w:jc w:val="center"/>
    </w:pPr>
    <w:rPr>
      <w:b/>
      <w:i/>
      <w:noProof/>
      <w:color w:val="auto"/>
      <w:sz w:val="28"/>
    </w:rPr>
  </w:style>
  <w:style w:type="character" w:customStyle="1" w:styleId="Underline">
    <w:name w:val="Underline"/>
    <w:rPr>
      <w:u w:val="single"/>
    </w:rPr>
  </w:style>
  <w:style w:type="character" w:customStyle="1" w:styleId="XReference">
    <w:name w:val="XReference"/>
    <w:rPr>
      <w:color w:val="0000FF"/>
    </w:rPr>
  </w:style>
  <w:style w:type="paragraph" w:customStyle="1" w:styleId="Format1">
    <w:name w:val="Format1"/>
    <w:basedOn w:val="Normal"/>
    <w:pPr>
      <w:spacing w:before="60" w:after="0"/>
      <w:ind w:right="720"/>
    </w:pPr>
    <w:rPr>
      <w:rFonts w:ascii="Courier New" w:hAnsi="Courier New"/>
      <w:i/>
      <w:noProof/>
      <w:color w:val="auto"/>
      <w:sz w:val="18"/>
    </w:rPr>
  </w:style>
  <w:style w:type="paragraph" w:customStyle="1" w:styleId="Format2">
    <w:name w:val="Format2"/>
    <w:basedOn w:val="Normal"/>
    <w:pPr>
      <w:spacing w:before="60" w:after="0"/>
      <w:ind w:right="720"/>
    </w:pPr>
    <w:rPr>
      <w:rFonts w:ascii="Courier New" w:hAnsi="Courier New"/>
      <w:i/>
      <w:noProof/>
      <w:color w:val="auto"/>
      <w:sz w:val="16"/>
    </w:rPr>
  </w:style>
  <w:style w:type="paragraph" w:customStyle="1" w:styleId="RightJust">
    <w:name w:val="RightJust"/>
    <w:basedOn w:val="Normal"/>
    <w:pPr>
      <w:spacing w:before="120" w:after="0"/>
      <w:ind w:right="720"/>
      <w:jc w:val="right"/>
    </w:pPr>
    <w:rPr>
      <w:i/>
      <w:noProof/>
      <w:color w:val="auto"/>
      <w:sz w:val="18"/>
    </w:rPr>
  </w:style>
  <w:style w:type="paragraph" w:customStyle="1" w:styleId="BlockQuote">
    <w:name w:val="BlockQuote"/>
    <w:basedOn w:val="Normal"/>
    <w:pPr>
      <w:spacing w:before="60" w:after="0"/>
      <w:ind w:left="284" w:right="284"/>
    </w:pPr>
    <w:rPr>
      <w:noProof/>
      <w:color w:val="auto"/>
      <w:sz w:val="18"/>
    </w:rPr>
  </w:style>
  <w:style w:type="paragraph" w:customStyle="1" w:styleId="BoxBlankLine">
    <w:name w:val="Box BlankLine"/>
    <w:basedOn w:val="BlankLine"/>
    <w:next w:val="Normal"/>
    <w:pPr>
      <w:pBdr>
        <w:left w:val="single" w:sz="6" w:space="1" w:color="auto"/>
        <w:right w:val="single" w:sz="6" w:space="1" w:color="auto"/>
      </w:pBdr>
      <w:shd w:val="pct10" w:color="auto" w:fill="auto"/>
      <w:jc w:val="both"/>
    </w:pPr>
    <w:rPr>
      <w:sz w:val="20"/>
    </w:rPr>
  </w:style>
  <w:style w:type="paragraph" w:customStyle="1" w:styleId="BoxFigCaption">
    <w:name w:val="Box FigCaption"/>
    <w:basedOn w:val="Normal"/>
    <w:pPr>
      <w:shd w:val="pct10" w:color="auto" w:fill="auto"/>
      <w:spacing w:before="100" w:after="0"/>
      <w:ind w:right="720"/>
      <w:jc w:val="both"/>
    </w:pPr>
    <w:rPr>
      <w:noProof/>
      <w:color w:val="auto"/>
      <w:sz w:val="20"/>
    </w:rPr>
  </w:style>
  <w:style w:type="paragraph" w:customStyle="1" w:styleId="BoxTableTitle">
    <w:name w:val="Box Table Title"/>
    <w:basedOn w:val="Normal"/>
    <w:pPr>
      <w:keepNext/>
      <w:pBdr>
        <w:left w:val="single" w:sz="6" w:space="1" w:color="auto"/>
        <w:right w:val="single" w:sz="6" w:space="1" w:color="auto"/>
      </w:pBdr>
      <w:shd w:val="pct10" w:color="auto" w:fill="auto"/>
      <w:spacing w:before="120" w:after="0"/>
      <w:ind w:right="720"/>
      <w:jc w:val="both"/>
    </w:pPr>
    <w:rPr>
      <w:b/>
      <w:i/>
      <w:noProof/>
      <w:color w:val="auto"/>
      <w:sz w:val="20"/>
    </w:rPr>
  </w:style>
  <w:style w:type="paragraph" w:customStyle="1" w:styleId="BoxTblEntry">
    <w:name w:val="Box TblEntry"/>
    <w:basedOn w:val="Normal"/>
    <w:pPr>
      <w:shd w:val="pct10" w:color="auto" w:fill="auto"/>
      <w:spacing w:before="120" w:after="0"/>
      <w:ind w:right="720"/>
      <w:jc w:val="both"/>
    </w:pPr>
    <w:rPr>
      <w:i/>
      <w:noProof/>
      <w:color w:val="auto"/>
      <w:sz w:val="20"/>
    </w:rPr>
  </w:style>
  <w:style w:type="character" w:customStyle="1" w:styleId="BoxFigInfo-C">
    <w:name w:val="BoxFigInfo-C"/>
    <w:basedOn w:val="DefaultParagraphFont"/>
  </w:style>
  <w:style w:type="paragraph" w:customStyle="1" w:styleId="BoxFigInfo-P">
    <w:name w:val="BoxFigInfo-P"/>
    <w:basedOn w:val="BoxText"/>
  </w:style>
  <w:style w:type="paragraph" w:customStyle="1" w:styleId="BoxFigTitle">
    <w:name w:val="BoxFigTitle"/>
    <w:basedOn w:val="BoxFigCaption"/>
    <w:pPr>
      <w:keepNext/>
    </w:pPr>
    <w:rPr>
      <w:b/>
      <w:i/>
    </w:rPr>
  </w:style>
  <w:style w:type="paragraph" w:customStyle="1" w:styleId="BoxTblColHd">
    <w:name w:val="BoxTblColHd"/>
    <w:basedOn w:val="BoxTblEntry"/>
    <w:rPr>
      <w:b/>
    </w:rPr>
  </w:style>
  <w:style w:type="paragraph" w:customStyle="1" w:styleId="DashListLev1">
    <w:name w:val="Dash List Lev1"/>
    <w:basedOn w:val="Normal"/>
    <w:pPr>
      <w:tabs>
        <w:tab w:val="num" w:pos="720"/>
      </w:tabs>
      <w:spacing w:before="100" w:after="0"/>
      <w:ind w:left="720" w:right="720" w:hanging="360"/>
    </w:pPr>
    <w:rPr>
      <w:i/>
      <w:noProof/>
      <w:color w:val="auto"/>
      <w:sz w:val="18"/>
    </w:rPr>
  </w:style>
  <w:style w:type="paragraph" w:customStyle="1" w:styleId="DashListLev2">
    <w:name w:val="Dash List Lev2"/>
    <w:basedOn w:val="DashListLev1"/>
    <w:pPr>
      <w:numPr>
        <w:numId w:val="17"/>
      </w:numPr>
      <w:tabs>
        <w:tab w:val="num" w:pos="2892"/>
      </w:tabs>
      <w:ind w:left="981" w:hanging="357"/>
    </w:pPr>
  </w:style>
  <w:style w:type="paragraph" w:customStyle="1" w:styleId="DashListLev3">
    <w:name w:val="Dash List Lev3"/>
    <w:basedOn w:val="DashListLev2"/>
    <w:pPr>
      <w:numPr>
        <w:numId w:val="16"/>
      </w:numPr>
      <w:ind w:left="1208" w:hanging="357"/>
    </w:pPr>
  </w:style>
  <w:style w:type="paragraph" w:customStyle="1" w:styleId="DashListLev4">
    <w:name w:val="Dash List Lev4"/>
    <w:basedOn w:val="DashListLev3"/>
    <w:pPr>
      <w:numPr>
        <w:numId w:val="38"/>
      </w:numPr>
      <w:ind w:left="1434" w:hanging="357"/>
    </w:pPr>
  </w:style>
  <w:style w:type="paragraph" w:styleId="EndnoteText">
    <w:name w:val="endnote text"/>
    <w:basedOn w:val="Normal"/>
    <w:semiHidden/>
    <w:pPr>
      <w:numPr>
        <w:numId w:val="37"/>
      </w:numPr>
      <w:spacing w:before="120" w:after="0"/>
      <w:ind w:left="0" w:right="720" w:firstLine="0"/>
    </w:pPr>
    <w:rPr>
      <w:i/>
      <w:noProof/>
      <w:color w:val="auto"/>
      <w:sz w:val="18"/>
    </w:rPr>
  </w:style>
  <w:style w:type="character" w:customStyle="1" w:styleId="EndnoteTextChar">
    <w:name w:val="Endnote Text Char"/>
    <w:semiHidden/>
    <w:rPr>
      <w:rFonts w:ascii="Times New Roman" w:eastAsia="Times New Roman" w:hAnsi="Times New Roman" w:cs="Times New Roman"/>
      <w:noProof/>
      <w:szCs w:val="20"/>
    </w:rPr>
  </w:style>
  <w:style w:type="character" w:customStyle="1" w:styleId="FigInfo-C">
    <w:name w:val="FigInfo-C"/>
    <w:basedOn w:val="DefaultParagraphFont"/>
  </w:style>
  <w:style w:type="paragraph" w:customStyle="1" w:styleId="ParaNote">
    <w:name w:val="Para Note"/>
    <w:basedOn w:val="Note"/>
    <w:pPr>
      <w:keepLines w:val="0"/>
      <w:pBdr>
        <w:top w:val="single" w:sz="6" w:space="3" w:color="auto" w:shadow="1"/>
        <w:left w:val="single" w:sz="6" w:space="3" w:color="auto" w:shadow="1"/>
        <w:bottom w:val="single" w:sz="6" w:space="3" w:color="auto" w:shadow="1"/>
        <w:right w:val="single" w:sz="6" w:space="3" w:color="auto" w:shadow="1"/>
      </w:pBdr>
      <w:shd w:val="pct20" w:color="auto" w:fill="auto"/>
      <w:suppressAutoHyphens/>
      <w:spacing w:before="120"/>
      <w:ind w:right="720"/>
    </w:pPr>
    <w:rPr>
      <w:rFonts w:eastAsia="Times New Roman"/>
      <w:b/>
      <w:noProof/>
      <w:sz w:val="18"/>
    </w:rPr>
  </w:style>
  <w:style w:type="character" w:customStyle="1" w:styleId="Picture">
    <w:name w:val="Picture"/>
    <w:basedOn w:val="DefaultParagraphFont"/>
  </w:style>
  <w:style w:type="paragraph" w:customStyle="1" w:styleId="PlainList1">
    <w:name w:val="PlainList 1"/>
    <w:basedOn w:val="Normal"/>
    <w:pPr>
      <w:spacing w:before="100" w:after="0"/>
      <w:ind w:right="720"/>
    </w:pPr>
    <w:rPr>
      <w:i/>
      <w:noProof/>
      <w:color w:val="auto"/>
      <w:sz w:val="18"/>
    </w:rPr>
  </w:style>
  <w:style w:type="paragraph" w:customStyle="1" w:styleId="PlainList2">
    <w:name w:val="PlainList 2"/>
    <w:basedOn w:val="PlainList1"/>
    <w:pPr>
      <w:ind w:left="567"/>
    </w:pPr>
  </w:style>
  <w:style w:type="paragraph" w:customStyle="1" w:styleId="PlainList3">
    <w:name w:val="PlainList 3"/>
    <w:basedOn w:val="PlainList2"/>
    <w:pPr>
      <w:ind w:left="1134"/>
    </w:pPr>
  </w:style>
  <w:style w:type="paragraph" w:customStyle="1" w:styleId="PlainList4">
    <w:name w:val="PlainList 4"/>
    <w:basedOn w:val="PlainList3"/>
    <w:pPr>
      <w:ind w:left="1701"/>
    </w:pPr>
  </w:style>
  <w:style w:type="character" w:customStyle="1" w:styleId="Quote1">
    <w:name w:val="Quote1"/>
    <w:rPr>
      <w:rFonts w:ascii="Times New Roman" w:hAnsi="Times New Roman"/>
      <w:i/>
      <w:sz w:val="20"/>
    </w:rPr>
  </w:style>
  <w:style w:type="character" w:customStyle="1" w:styleId="NroSeq">
    <w:name w:val="NroSeq"/>
    <w:rPr>
      <w:color w:val="0000FF"/>
    </w:rPr>
  </w:style>
  <w:style w:type="character" w:customStyle="1" w:styleId="NroTOC">
    <w:name w:val="NroTOC"/>
    <w:rPr>
      <w:color w:val="auto"/>
      <w:sz w:val="22"/>
      <w:u w:val="none"/>
      <w:vertAlign w:val="baseline"/>
    </w:rPr>
  </w:style>
  <w:style w:type="paragraph" w:customStyle="1" w:styleId="PrelimNote">
    <w:name w:val="PrelimNote"/>
    <w:basedOn w:val="Normal"/>
    <w:next w:val="Normal"/>
    <w:pPr>
      <w:spacing w:before="120" w:after="0"/>
      <w:ind w:left="709" w:right="709"/>
    </w:pPr>
    <w:rPr>
      <w:i/>
      <w:noProof/>
      <w:color w:val="auto"/>
      <w:sz w:val="18"/>
    </w:rPr>
  </w:style>
  <w:style w:type="paragraph" w:customStyle="1" w:styleId="CentredJust">
    <w:name w:val="CentredJust"/>
    <w:basedOn w:val="Normal"/>
    <w:pPr>
      <w:spacing w:before="120" w:after="0"/>
      <w:ind w:right="720"/>
      <w:jc w:val="center"/>
    </w:pPr>
    <w:rPr>
      <w:i/>
      <w:noProof/>
      <w:color w:val="auto"/>
      <w:sz w:val="18"/>
    </w:rPr>
  </w:style>
  <w:style w:type="character" w:customStyle="1" w:styleId="Subscript">
    <w:name w:val="Subscript"/>
    <w:rPr>
      <w:noProof w:val="0"/>
      <w:vertAlign w:val="subscript"/>
      <w:lang w:val="en-GB"/>
    </w:rPr>
  </w:style>
  <w:style w:type="character" w:customStyle="1" w:styleId="Superscript">
    <w:name w:val="Superscript"/>
    <w:rPr>
      <w:noProof w:val="0"/>
      <w:vertAlign w:val="superscript"/>
      <w:lang w:val="en-GB"/>
    </w:rPr>
  </w:style>
  <w:style w:type="paragraph" w:customStyle="1" w:styleId="ListDel">
    <w:name w:val="ListDel"/>
    <w:basedOn w:val="Normal"/>
    <w:next w:val="Country"/>
    <w:pPr>
      <w:spacing w:before="120" w:after="0"/>
      <w:ind w:right="720"/>
      <w:jc w:val="center"/>
    </w:pPr>
    <w:rPr>
      <w:b/>
      <w:i/>
      <w:noProof/>
      <w:color w:val="auto"/>
      <w:sz w:val="18"/>
    </w:rPr>
  </w:style>
  <w:style w:type="paragraph" w:customStyle="1" w:styleId="Country">
    <w:name w:val="Country"/>
    <w:basedOn w:val="Normal"/>
    <w:next w:val="Role"/>
    <w:pPr>
      <w:keepNext/>
      <w:spacing w:before="120" w:after="0"/>
      <w:ind w:right="720"/>
    </w:pPr>
    <w:rPr>
      <w:b/>
      <w:i/>
      <w:caps/>
      <w:noProof/>
      <w:color w:val="auto"/>
      <w:sz w:val="18"/>
    </w:rPr>
  </w:style>
  <w:style w:type="paragraph" w:customStyle="1" w:styleId="Role">
    <w:name w:val="Role"/>
    <w:basedOn w:val="Normal"/>
    <w:next w:val="Name"/>
    <w:pPr>
      <w:keepNext/>
      <w:spacing w:before="120" w:after="0"/>
      <w:ind w:right="720"/>
    </w:pPr>
    <w:rPr>
      <w:i/>
      <w:noProof/>
      <w:color w:val="auto"/>
      <w:sz w:val="18"/>
    </w:rPr>
  </w:style>
  <w:style w:type="paragraph" w:customStyle="1" w:styleId="Name">
    <w:name w:val="Name"/>
    <w:basedOn w:val="Normal"/>
    <w:pPr>
      <w:keepLines/>
      <w:spacing w:before="120" w:after="0"/>
      <w:ind w:left="284" w:right="720"/>
    </w:pPr>
    <w:rPr>
      <w:i/>
      <w:noProof/>
      <w:color w:val="auto"/>
      <w:sz w:val="18"/>
    </w:rPr>
  </w:style>
  <w:style w:type="paragraph" w:customStyle="1" w:styleId="ColumnBreak">
    <w:name w:val="ColumnBreak"/>
    <w:basedOn w:val="Normal"/>
    <w:next w:val="Normal"/>
    <w:pPr>
      <w:spacing w:before="100" w:after="0" w:line="10" w:lineRule="exact"/>
      <w:ind w:right="720"/>
    </w:pPr>
    <w:rPr>
      <w:rFonts w:ascii="Courier New" w:hAnsi="Courier New"/>
      <w:i/>
      <w:noProof/>
      <w:color w:val="auto"/>
      <w:sz w:val="18"/>
    </w:rPr>
  </w:style>
  <w:style w:type="paragraph" w:customStyle="1" w:styleId="ContBrk">
    <w:name w:val="ContBrk"/>
    <w:basedOn w:val="Normal"/>
    <w:next w:val="Normal"/>
    <w:pPr>
      <w:spacing w:before="120" w:after="0" w:line="360" w:lineRule="auto"/>
      <w:ind w:right="720"/>
    </w:pPr>
    <w:rPr>
      <w:rFonts w:ascii="Courier New" w:hAnsi="Courier New"/>
      <w:i/>
      <w:noProof/>
      <w:color w:val="auto"/>
      <w:sz w:val="18"/>
    </w:rPr>
  </w:style>
  <w:style w:type="paragraph" w:customStyle="1" w:styleId="SectionBreak">
    <w:name w:val="SectionBreak"/>
    <w:basedOn w:val="Normal"/>
    <w:next w:val="Heading1"/>
    <w:pPr>
      <w:spacing w:before="100" w:after="0" w:line="10" w:lineRule="exact"/>
      <w:ind w:right="720"/>
    </w:pPr>
    <w:rPr>
      <w:rFonts w:ascii="Courier New" w:hAnsi="Courier New"/>
      <w:i/>
      <w:noProof/>
      <w:color w:val="auto"/>
      <w:sz w:val="18"/>
    </w:rPr>
  </w:style>
  <w:style w:type="paragraph" w:customStyle="1" w:styleId="HeadingAnnex">
    <w:name w:val="Heading Annex"/>
    <w:basedOn w:val="Normal"/>
    <w:next w:val="Normal"/>
    <w:pPr>
      <w:keepNext/>
      <w:pBdr>
        <w:top w:val="single" w:sz="6" w:space="1" w:color="auto"/>
        <w:bottom w:val="single" w:sz="6" w:space="1" w:color="auto"/>
      </w:pBdr>
      <w:spacing w:before="240" w:after="0"/>
      <w:ind w:left="709" w:right="720" w:hanging="709"/>
      <w:jc w:val="center"/>
    </w:pPr>
    <w:rPr>
      <w:rFonts w:ascii="Times New Roman Bold" w:hAnsi="Times New Roman Bold"/>
      <w:b/>
      <w:i/>
      <w:caps/>
      <w:noProof/>
      <w:color w:val="auto"/>
      <w:sz w:val="24"/>
    </w:rPr>
  </w:style>
  <w:style w:type="paragraph" w:customStyle="1" w:styleId="SeqListLev1">
    <w:name w:val="Seq List Lev1"/>
    <w:basedOn w:val="Normal"/>
    <w:pPr>
      <w:numPr>
        <w:ilvl w:val="1"/>
        <w:numId w:val="13"/>
      </w:numPr>
      <w:spacing w:before="100" w:after="0"/>
      <w:ind w:right="720"/>
    </w:pPr>
    <w:rPr>
      <w:i/>
      <w:noProof/>
      <w:color w:val="auto"/>
      <w:sz w:val="18"/>
    </w:rPr>
  </w:style>
  <w:style w:type="paragraph" w:customStyle="1" w:styleId="SeqListLev2">
    <w:name w:val="Seq List Lev2"/>
    <w:basedOn w:val="SeqListLev1"/>
    <w:pPr>
      <w:numPr>
        <w:ilvl w:val="2"/>
      </w:numPr>
    </w:pPr>
  </w:style>
  <w:style w:type="paragraph" w:customStyle="1" w:styleId="SeqListLev3">
    <w:name w:val="Seq List Lev3"/>
    <w:basedOn w:val="SeqListLev2"/>
    <w:pPr>
      <w:numPr>
        <w:ilvl w:val="3"/>
      </w:numPr>
    </w:pPr>
  </w:style>
  <w:style w:type="paragraph" w:customStyle="1" w:styleId="SeqListLev4">
    <w:name w:val="Seq List Lev4"/>
    <w:basedOn w:val="SeqListLev3"/>
    <w:pPr>
      <w:numPr>
        <w:ilvl w:val="0"/>
        <w:numId w:val="0"/>
      </w:numPr>
      <w:tabs>
        <w:tab w:val="num" w:pos="567"/>
        <w:tab w:val="num" w:pos="1440"/>
        <w:tab w:val="num" w:pos="2126"/>
      </w:tabs>
      <w:ind w:left="2126" w:hanging="425"/>
    </w:pPr>
  </w:style>
  <w:style w:type="paragraph" w:customStyle="1" w:styleId="CarCar">
    <w:name w:val="Car Car"/>
    <w:basedOn w:val="Normal"/>
    <w:pPr>
      <w:numPr>
        <w:ilvl w:val="2"/>
        <w:numId w:val="35"/>
      </w:numPr>
      <w:tabs>
        <w:tab w:val="num" w:pos="805"/>
      </w:tabs>
      <w:spacing w:before="100" w:after="160" w:line="240" w:lineRule="exact"/>
      <w:ind w:left="0" w:right="720" w:firstLine="0"/>
    </w:pPr>
    <w:rPr>
      <w:rFonts w:ascii="Tahoma" w:eastAsia="MS Mincho" w:hAnsi="Tahoma"/>
      <w:i/>
      <w:color w:val="auto"/>
      <w:sz w:val="20"/>
      <w:lang w:val="en-US"/>
    </w:rPr>
  </w:style>
  <w:style w:type="paragraph" w:customStyle="1" w:styleId="ListParagraph10">
    <w:name w:val="List Paragraph1"/>
    <w:basedOn w:val="Normal"/>
    <w:qFormat/>
    <w:pPr>
      <w:spacing w:before="100" w:after="100"/>
      <w:ind w:left="720" w:right="720"/>
    </w:pPr>
    <w:rPr>
      <w:rFonts w:eastAsia="Calibri"/>
      <w:i/>
      <w:color w:val="auto"/>
      <w:sz w:val="24"/>
    </w:rPr>
  </w:style>
  <w:style w:type="paragraph" w:customStyle="1" w:styleId="CharChar">
    <w:name w:val="(文字) (文字) Char (文字) (文字) Char"/>
    <w:basedOn w:val="Normal"/>
    <w:pPr>
      <w:tabs>
        <w:tab w:val="num" w:pos="2160"/>
      </w:tabs>
      <w:spacing w:before="100" w:after="160" w:line="240" w:lineRule="exact"/>
      <w:ind w:right="720"/>
    </w:pPr>
    <w:rPr>
      <w:rFonts w:ascii="Tahoma" w:eastAsia="MS Mincho" w:hAnsi="Tahoma"/>
      <w:i/>
      <w:color w:val="auto"/>
      <w:sz w:val="20"/>
      <w:lang w:val="en-US"/>
    </w:rPr>
  </w:style>
  <w:style w:type="paragraph" w:customStyle="1" w:styleId="IPPBullet2">
    <w:name w:val="IPP Bullet2"/>
    <w:basedOn w:val="IPPNormal"/>
    <w:next w:val="IPPBullet1"/>
    <w:qFormat/>
    <w:pPr>
      <w:numPr>
        <w:numId w:val="0"/>
      </w:numPr>
      <w:tabs>
        <w:tab w:val="left" w:pos="567"/>
      </w:tabs>
      <w:spacing w:after="60"/>
      <w:ind w:left="720" w:hanging="360"/>
    </w:pPr>
  </w:style>
  <w:style w:type="paragraph" w:customStyle="1" w:styleId="IPPNormal">
    <w:name w:val="IPP Normal"/>
    <w:basedOn w:val="Normal"/>
    <w:qFormat/>
    <w:pPr>
      <w:numPr>
        <w:numId w:val="39"/>
      </w:numPr>
      <w:spacing w:before="100" w:after="180"/>
      <w:ind w:left="0" w:right="720" w:firstLine="0"/>
      <w:jc w:val="both"/>
    </w:pPr>
    <w:rPr>
      <w:rFonts w:eastAsia="Times"/>
      <w:i/>
      <w:color w:val="auto"/>
      <w:sz w:val="18"/>
    </w:rPr>
  </w:style>
  <w:style w:type="paragraph" w:customStyle="1" w:styleId="IPPBullet1">
    <w:name w:val="IPP Bullet1"/>
    <w:basedOn w:val="Normal"/>
    <w:qFormat/>
    <w:pPr>
      <w:numPr>
        <w:numId w:val="22"/>
      </w:numPr>
      <w:spacing w:before="100" w:after="60"/>
      <w:ind w:right="720"/>
      <w:jc w:val="both"/>
    </w:pPr>
    <w:rPr>
      <w:rFonts w:eastAsia="Times"/>
      <w:i/>
      <w:color w:val="auto"/>
      <w:sz w:val="18"/>
    </w:rPr>
  </w:style>
  <w:style w:type="paragraph" w:customStyle="1" w:styleId="IPPTitle16ptIndent">
    <w:name w:val="IPP Title16pt Indent"/>
    <w:basedOn w:val="Normal"/>
    <w:qFormat/>
    <w:pPr>
      <w:spacing w:before="100" w:after="720"/>
      <w:ind w:left="1701" w:right="1701"/>
      <w:jc w:val="center"/>
    </w:pPr>
    <w:rPr>
      <w:rFonts w:ascii="Arial" w:hAnsi="Arial"/>
      <w:b/>
      <w:i/>
      <w:color w:val="auto"/>
      <w:sz w:val="32"/>
    </w:rPr>
  </w:style>
  <w:style w:type="paragraph" w:customStyle="1" w:styleId="IPPHeadSection">
    <w:name w:val="IPP HeadSection"/>
    <w:basedOn w:val="Normal"/>
    <w:next w:val="Normal"/>
    <w:qFormat/>
    <w:pPr>
      <w:keepNext/>
      <w:numPr>
        <w:numId w:val="41"/>
      </w:numPr>
      <w:tabs>
        <w:tab w:val="left" w:pos="851"/>
      </w:tabs>
      <w:spacing w:before="360" w:after="120"/>
      <w:ind w:left="851" w:right="720" w:hanging="851"/>
      <w:jc w:val="both"/>
      <w:outlineLvl w:val="0"/>
    </w:pPr>
    <w:rPr>
      <w:rFonts w:eastAsia="Times"/>
      <w:b/>
      <w:i/>
      <w:caps/>
      <w:color w:val="auto"/>
      <w:sz w:val="24"/>
    </w:rPr>
  </w:style>
  <w:style w:type="paragraph" w:customStyle="1" w:styleId="IPPHeading1">
    <w:name w:val="IPP Heading1"/>
    <w:basedOn w:val="IPPNormal"/>
    <w:next w:val="IPPNormal"/>
    <w:qFormat/>
    <w:pPr>
      <w:keepNext/>
      <w:tabs>
        <w:tab w:val="left" w:pos="567"/>
      </w:tabs>
      <w:spacing w:before="240" w:after="120"/>
      <w:ind w:left="567" w:hanging="567"/>
      <w:jc w:val="left"/>
      <w:outlineLvl w:val="1"/>
    </w:pPr>
    <w:rPr>
      <w:b/>
      <w:sz w:val="24"/>
    </w:rPr>
  </w:style>
  <w:style w:type="paragraph" w:customStyle="1" w:styleId="IPPSubhead">
    <w:name w:val="IPP Subhead"/>
    <w:basedOn w:val="Normal"/>
    <w:qFormat/>
    <w:pPr>
      <w:keepNext/>
      <w:spacing w:before="100" w:after="0"/>
      <w:ind w:left="567" w:right="720" w:hanging="567"/>
    </w:pPr>
    <w:rPr>
      <w:b/>
      <w:i/>
      <w:color w:val="auto"/>
      <w:sz w:val="18"/>
    </w:rPr>
  </w:style>
  <w:style w:type="paragraph" w:customStyle="1" w:styleId="IPPBullet1Last">
    <w:name w:val="IPP Bullet1Last"/>
    <w:basedOn w:val="IPPNormal"/>
    <w:next w:val="IPPBullet1"/>
    <w:qFormat/>
    <w:pPr>
      <w:numPr>
        <w:numId w:val="20"/>
      </w:numPr>
      <w:tabs>
        <w:tab w:val="num" w:pos="360"/>
      </w:tabs>
      <w:ind w:left="360"/>
    </w:pPr>
    <w:rPr>
      <w:lang w:val="en-US"/>
    </w:rPr>
  </w:style>
  <w:style w:type="paragraph" w:customStyle="1" w:styleId="IPPTitle16pt">
    <w:name w:val="IPP Title16pt"/>
    <w:basedOn w:val="Normal"/>
    <w:qFormat/>
    <w:pPr>
      <w:spacing w:before="100" w:after="720"/>
      <w:ind w:left="1701" w:right="1701"/>
      <w:jc w:val="center"/>
    </w:pPr>
    <w:rPr>
      <w:rFonts w:ascii="Arial" w:hAnsi="Arial"/>
      <w:b/>
      <w:i/>
      <w:color w:val="auto"/>
      <w:sz w:val="32"/>
    </w:rPr>
  </w:style>
  <w:style w:type="paragraph" w:customStyle="1" w:styleId="IPPTitle18pt">
    <w:name w:val="IPP Title18pt"/>
    <w:basedOn w:val="Normal"/>
    <w:qFormat/>
    <w:pPr>
      <w:spacing w:before="100" w:after="360"/>
      <w:ind w:right="720"/>
      <w:jc w:val="center"/>
    </w:pPr>
    <w:rPr>
      <w:rFonts w:ascii="Arial" w:hAnsi="Arial"/>
      <w:b/>
      <w:i/>
      <w:color w:val="auto"/>
      <w:sz w:val="36"/>
    </w:rPr>
  </w:style>
  <w:style w:type="paragraph" w:customStyle="1" w:styleId="IPPAnnexHead">
    <w:name w:val="IPP AnnexHead"/>
    <w:basedOn w:val="IPPNormal"/>
    <w:next w:val="IPPNormal"/>
    <w:qFormat/>
    <w:pPr>
      <w:keepNext/>
      <w:numPr>
        <w:numId w:val="42"/>
      </w:numPr>
      <w:tabs>
        <w:tab w:val="left" w:pos="567"/>
      </w:tabs>
      <w:spacing w:before="120"/>
      <w:ind w:left="0" w:firstLine="0"/>
      <w:jc w:val="left"/>
      <w:outlineLvl w:val="1"/>
    </w:pPr>
    <w:rPr>
      <w:b/>
      <w:sz w:val="24"/>
    </w:rPr>
  </w:style>
  <w:style w:type="paragraph" w:customStyle="1" w:styleId="IPPNormalCloseSpace">
    <w:name w:val="IPP NormalCloseSpace"/>
    <w:basedOn w:val="Normal"/>
    <w:qFormat/>
    <w:pPr>
      <w:keepNext/>
      <w:numPr>
        <w:numId w:val="40"/>
      </w:numPr>
      <w:spacing w:before="100" w:after="60"/>
      <w:ind w:left="0" w:right="720" w:firstLine="0"/>
      <w:jc w:val="both"/>
    </w:pPr>
    <w:rPr>
      <w:i/>
      <w:color w:val="auto"/>
      <w:sz w:val="18"/>
    </w:rPr>
  </w:style>
  <w:style w:type="paragraph" w:customStyle="1" w:styleId="IPPHeading2">
    <w:name w:val="IPP Heading2"/>
    <w:basedOn w:val="IPPNormal"/>
    <w:next w:val="IPPNormal"/>
    <w:qFormat/>
    <w:pPr>
      <w:keepNext/>
      <w:tabs>
        <w:tab w:val="left" w:pos="567"/>
      </w:tabs>
      <w:spacing w:before="120" w:after="120"/>
      <w:ind w:left="567" w:hanging="567"/>
      <w:jc w:val="left"/>
      <w:outlineLvl w:val="2"/>
    </w:pPr>
    <w:rPr>
      <w:b/>
      <w:sz w:val="24"/>
    </w:rPr>
  </w:style>
  <w:style w:type="paragraph" w:customStyle="1" w:styleId="IPPReferences">
    <w:name w:val="IPP References"/>
    <w:basedOn w:val="IPPNormal"/>
    <w:qFormat/>
    <w:pPr>
      <w:spacing w:after="60"/>
      <w:ind w:left="567" w:hanging="567"/>
    </w:pPr>
  </w:style>
  <w:style w:type="paragraph" w:customStyle="1" w:styleId="IPPArial">
    <w:name w:val="IPP Arial"/>
    <w:basedOn w:val="IPPNormal"/>
    <w:qFormat/>
    <w:pPr>
      <w:spacing w:after="0"/>
    </w:pPr>
    <w:rPr>
      <w:rFonts w:ascii="Arial" w:hAnsi="Arial"/>
    </w:rPr>
  </w:style>
  <w:style w:type="paragraph" w:customStyle="1" w:styleId="IPPArialTable">
    <w:name w:val="IPP Arial Table"/>
    <w:basedOn w:val="IPPArial"/>
    <w:qFormat/>
    <w:pPr>
      <w:spacing w:before="60" w:after="60"/>
      <w:jc w:val="left"/>
    </w:pPr>
  </w:style>
  <w:style w:type="paragraph" w:customStyle="1" w:styleId="IPPSubheadSpace">
    <w:name w:val="IPP Subhead Space"/>
    <w:basedOn w:val="IPPSubhead"/>
    <w:qFormat/>
    <w:pPr>
      <w:tabs>
        <w:tab w:val="left" w:pos="567"/>
      </w:tabs>
      <w:spacing w:before="60" w:after="60"/>
    </w:pPr>
  </w:style>
  <w:style w:type="paragraph" w:customStyle="1" w:styleId="IPPNumberedList">
    <w:name w:val="IPP NumberedList"/>
    <w:basedOn w:val="IPPBullet1"/>
    <w:qFormat/>
    <w:pPr>
      <w:numPr>
        <w:numId w:val="0"/>
      </w:numPr>
      <w:ind w:left="720" w:hanging="360"/>
    </w:pPr>
  </w:style>
  <w:style w:type="paragraph" w:customStyle="1" w:styleId="IPPNumberedListLast0">
    <w:name w:val="IPP NumberedListLast"/>
    <w:basedOn w:val="IPPNumberedList"/>
    <w:qFormat/>
    <w:pPr>
      <w:spacing w:after="180"/>
    </w:pPr>
  </w:style>
  <w:style w:type="paragraph" w:customStyle="1" w:styleId="IPPHdg1Num">
    <w:name w:val="IPP Hdg1Num"/>
    <w:basedOn w:val="IPPNormal"/>
    <w:next w:val="IPPNormal"/>
    <w:qFormat/>
    <w:pPr>
      <w:keepNext/>
      <w:tabs>
        <w:tab w:val="num" w:pos="0"/>
        <w:tab w:val="left" w:pos="567"/>
      </w:tabs>
      <w:spacing w:before="240" w:after="120"/>
      <w:ind w:hanging="482"/>
      <w:outlineLvl w:val="1"/>
    </w:pPr>
    <w:rPr>
      <w:b/>
      <w:sz w:val="24"/>
    </w:rPr>
  </w:style>
  <w:style w:type="paragraph" w:customStyle="1" w:styleId="IPPNumberedList0">
    <w:name w:val="IPPNumberedList"/>
    <w:basedOn w:val="IPPBullet1"/>
    <w:qFormat/>
    <w:pPr>
      <w:numPr>
        <w:numId w:val="0"/>
      </w:numPr>
      <w:tabs>
        <w:tab w:val="num" w:pos="720"/>
      </w:tabs>
      <w:ind w:left="720" w:hanging="360"/>
    </w:pPr>
  </w:style>
  <w:style w:type="paragraph" w:customStyle="1" w:styleId="IPPLetterList">
    <w:name w:val="IPP LetterList"/>
    <w:basedOn w:val="IPPBullet2"/>
    <w:qFormat/>
    <w:pPr>
      <w:numPr>
        <w:numId w:val="24"/>
      </w:numPr>
      <w:jc w:val="left"/>
    </w:pPr>
  </w:style>
  <w:style w:type="paragraph" w:customStyle="1" w:styleId="IPPSubheadSpace3">
    <w:name w:val="IPP Subhead Space3"/>
    <w:basedOn w:val="IPPSubhead"/>
    <w:qFormat/>
    <w:pPr>
      <w:spacing w:before="60" w:after="60"/>
    </w:pPr>
  </w:style>
  <w:style w:type="paragraph" w:customStyle="1" w:styleId="font1">
    <w:name w:val="font1"/>
    <w:basedOn w:val="Normal"/>
    <w:pPr>
      <w:spacing w:before="100" w:after="100"/>
      <w:ind w:right="720"/>
    </w:pPr>
    <w:rPr>
      <w:rFonts w:ascii="Arial" w:hAnsi="Arial"/>
      <w:i/>
      <w:color w:val="auto"/>
      <w:sz w:val="20"/>
      <w:lang w:val="en-US"/>
    </w:rPr>
  </w:style>
  <w:style w:type="paragraph" w:customStyle="1" w:styleId="Contents">
    <w:name w:val="Contents"/>
    <w:pPr>
      <w:tabs>
        <w:tab w:val="left" w:pos="-1440"/>
        <w:tab w:val="left" w:pos="-720"/>
        <w:tab w:val="left" w:pos="0"/>
        <w:tab w:val="left" w:pos="835"/>
        <w:tab w:val="left" w:pos="1392"/>
      </w:tabs>
      <w:suppressAutoHyphens/>
      <w:jc w:val="both"/>
    </w:pPr>
    <w:rPr>
      <w:rFonts w:ascii="Courier" w:hAnsi="Courier"/>
      <w:spacing w:val="-3"/>
      <w:sz w:val="24"/>
      <w:lang w:val="en-GB" w:eastAsia="ko-KR"/>
    </w:rPr>
  </w:style>
  <w:style w:type="paragraph" w:customStyle="1" w:styleId="IPPQuote">
    <w:name w:val="IPP Quote"/>
    <w:basedOn w:val="IPPNormal"/>
    <w:qFormat/>
    <w:pPr>
      <w:ind w:left="851" w:right="851"/>
    </w:pPr>
    <w:rPr>
      <w:sz w:val="19"/>
    </w:rPr>
  </w:style>
  <w:style w:type="character" w:customStyle="1" w:styleId="NewParaChar">
    <w:name w:val="NewPara Char"/>
    <w:rPr>
      <w:rFonts w:ascii="Times New Roman" w:eastAsia="Times New Roman" w:hAnsi="Times New Roman" w:cs="Times New Roman"/>
      <w:noProof/>
      <w:szCs w:val="20"/>
    </w:rPr>
  </w:style>
  <w:style w:type="paragraph" w:customStyle="1" w:styleId="IPPHeading1Appendix">
    <w:name w:val="IPP Heading1 Appendix"/>
    <w:basedOn w:val="IPPHeading1"/>
    <w:qFormat/>
    <w:pPr>
      <w:ind w:left="720" w:hanging="360"/>
      <w:outlineLvl w:val="9"/>
    </w:pPr>
  </w:style>
  <w:style w:type="paragraph" w:customStyle="1" w:styleId="IPPHeadSectionAppendix">
    <w:name w:val="IPP HeadSection Appendix"/>
    <w:basedOn w:val="IPPHeadSection"/>
    <w:qFormat/>
    <w:pPr>
      <w:ind w:left="720" w:hanging="360"/>
      <w:outlineLvl w:val="9"/>
    </w:pPr>
  </w:style>
  <w:style w:type="paragraph" w:customStyle="1" w:styleId="IPPHeading2Appendix">
    <w:name w:val="IPP Heading2 Appendix"/>
    <w:basedOn w:val="IPPHeading2"/>
    <w:qFormat/>
    <w:pPr>
      <w:tabs>
        <w:tab w:val="left" w:pos="851"/>
        <w:tab w:val="left" w:pos="1134"/>
      </w:tabs>
      <w:ind w:left="720" w:hanging="360"/>
      <w:outlineLvl w:val="9"/>
    </w:pPr>
  </w:style>
  <w:style w:type="paragraph" w:customStyle="1" w:styleId="IPPAnnexHeadAppendix">
    <w:name w:val="IPP AnnexHead Appendix"/>
    <w:basedOn w:val="IPPAnnexHead"/>
    <w:qFormat/>
    <w:pPr>
      <w:numPr>
        <w:numId w:val="25"/>
      </w:numPr>
      <w:tabs>
        <w:tab w:val="clear" w:pos="567"/>
        <w:tab w:val="num" w:pos="1440"/>
      </w:tabs>
      <w:ind w:left="1440"/>
      <w:outlineLvl w:val="9"/>
    </w:pPr>
  </w:style>
  <w:style w:type="paragraph" w:customStyle="1" w:styleId="IPPIndent">
    <w:name w:val="IPP Indent"/>
    <w:basedOn w:val="Normal"/>
    <w:qFormat/>
    <w:pPr>
      <w:tabs>
        <w:tab w:val="left" w:pos="2835"/>
      </w:tabs>
      <w:spacing w:before="100" w:after="180"/>
      <w:ind w:left="567" w:right="720"/>
      <w:jc w:val="both"/>
    </w:pPr>
    <w:rPr>
      <w:rFonts w:eastAsia="Times"/>
      <w:i/>
      <w:color w:val="auto"/>
      <w:sz w:val="18"/>
    </w:rPr>
  </w:style>
  <w:style w:type="paragraph" w:customStyle="1" w:styleId="FooterLandscape">
    <w:name w:val="FooterLandscape"/>
    <w:basedOn w:val="Footer"/>
    <w:qFormat/>
    <w:pPr>
      <w:tabs>
        <w:tab w:val="clear" w:pos="4320"/>
        <w:tab w:val="clear" w:pos="8640"/>
        <w:tab w:val="right" w:pos="13892"/>
      </w:tabs>
      <w:spacing w:before="100" w:after="0"/>
      <w:ind w:right="720"/>
    </w:pPr>
    <w:rPr>
      <w:rFonts w:ascii="Arial" w:eastAsia="Times" w:hAnsi="Arial"/>
      <w:i/>
      <w:color w:val="auto"/>
      <w:sz w:val="18"/>
    </w:rPr>
  </w:style>
  <w:style w:type="paragraph" w:customStyle="1" w:styleId="IPPNumberClose">
    <w:name w:val="IPP NumberClose"/>
    <w:basedOn w:val="IPPNumber"/>
    <w:qFormat/>
    <w:pPr>
      <w:keepNext/>
      <w:spacing w:after="60"/>
    </w:pPr>
  </w:style>
  <w:style w:type="paragraph" w:customStyle="1" w:styleId="IPPNumber">
    <w:name w:val="IPP Number"/>
    <w:basedOn w:val="IPPNormal"/>
    <w:qFormat/>
    <w:pPr>
      <w:numPr>
        <w:numId w:val="0"/>
      </w:numPr>
      <w:tabs>
        <w:tab w:val="num" w:pos="720"/>
        <w:tab w:val="num" w:pos="2892"/>
      </w:tabs>
      <w:ind w:left="2892" w:hanging="579"/>
    </w:pPr>
  </w:style>
  <w:style w:type="paragraph" w:customStyle="1" w:styleId="IPPNumberedListLast">
    <w:name w:val="IPPNumberedListLast"/>
    <w:basedOn w:val="IPPNumberedList0"/>
    <w:qFormat/>
    <w:pPr>
      <w:numPr>
        <w:numId w:val="43"/>
      </w:numPr>
      <w:tabs>
        <w:tab w:val="num" w:pos="680"/>
      </w:tabs>
      <w:spacing w:after="180"/>
      <w:ind w:left="680" w:hanging="680"/>
    </w:pPr>
  </w:style>
  <w:style w:type="paragraph" w:customStyle="1" w:styleId="Comments">
    <w:name w:val="Comments"/>
    <w:basedOn w:val="Normal"/>
    <w:pPr>
      <w:spacing w:before="100" w:after="0"/>
      <w:ind w:left="284" w:right="720" w:hanging="284"/>
      <w:jc w:val="both"/>
    </w:pPr>
    <w:rPr>
      <w:i/>
      <w:color w:val="auto"/>
      <w:sz w:val="18"/>
    </w:rPr>
  </w:style>
  <w:style w:type="paragraph" w:customStyle="1" w:styleId="Indent1">
    <w:name w:val="Indent 1"/>
    <w:basedOn w:val="Normal"/>
    <w:qFormat/>
    <w:pPr>
      <w:spacing w:before="100" w:after="60"/>
      <w:ind w:left="567" w:right="720"/>
    </w:pPr>
    <w:rPr>
      <w:rFonts w:ascii="Georgia" w:eastAsia="Times" w:hAnsi="Georgia"/>
      <w:i/>
      <w:color w:val="auto"/>
      <w:sz w:val="18"/>
      <w:lang w:val="en-AU"/>
    </w:rPr>
  </w:style>
  <w:style w:type="paragraph" w:customStyle="1" w:styleId="Subhead">
    <w:name w:val="Subhead"/>
    <w:basedOn w:val="Normal"/>
    <w:qFormat/>
    <w:pPr>
      <w:keepNext/>
      <w:spacing w:before="120" w:after="60"/>
      <w:ind w:right="720"/>
    </w:pPr>
    <w:rPr>
      <w:rFonts w:ascii="Georgia" w:eastAsia="Times" w:hAnsi="Georgia"/>
      <w:b/>
      <w:i/>
      <w:color w:val="auto"/>
      <w:sz w:val="19"/>
      <w:lang w:val="en-AU"/>
    </w:rPr>
  </w:style>
  <w:style w:type="paragraph" w:customStyle="1" w:styleId="IPPNumberSubhead">
    <w:name w:val="IPP NumberSubhead"/>
    <w:basedOn w:val="IPPNumber"/>
    <w:qFormat/>
    <w:pPr>
      <w:keepNext/>
      <w:numPr>
        <w:numId w:val="44"/>
      </w:numPr>
      <w:tabs>
        <w:tab w:val="num" w:pos="567"/>
      </w:tabs>
      <w:spacing w:after="60"/>
      <w:ind w:firstLine="0"/>
    </w:pPr>
    <w:rPr>
      <w:b/>
    </w:rPr>
  </w:style>
  <w:style w:type="paragraph" w:customStyle="1" w:styleId="IPPSubheadNumber">
    <w:name w:val="IPP SubheadNumber"/>
    <w:basedOn w:val="IPPSubhead"/>
    <w:qFormat/>
    <w:pPr>
      <w:numPr>
        <w:numId w:val="27"/>
      </w:numPr>
      <w:tabs>
        <w:tab w:val="num" w:pos="720"/>
      </w:tabs>
      <w:ind w:left="720"/>
    </w:pPr>
  </w:style>
  <w:style w:type="paragraph" w:customStyle="1" w:styleId="IPPLetterListIndent">
    <w:name w:val="IPP LetterList Indent"/>
    <w:basedOn w:val="IPPLetterList"/>
    <w:qFormat/>
    <w:pPr>
      <w:numPr>
        <w:numId w:val="28"/>
      </w:numPr>
      <w:tabs>
        <w:tab w:val="clear" w:pos="567"/>
        <w:tab w:val="num" w:pos="720"/>
      </w:tabs>
      <w:ind w:left="720"/>
    </w:pPr>
  </w:style>
  <w:style w:type="paragraph" w:customStyle="1" w:styleId="IPPSubheadSpaceAfter">
    <w:name w:val="IPP Subhead SpaceAfter"/>
    <w:basedOn w:val="IPPSubhead"/>
    <w:qFormat/>
    <w:pPr>
      <w:spacing w:after="60"/>
    </w:pPr>
  </w:style>
  <w:style w:type="paragraph" w:customStyle="1" w:styleId="IPPArialFootnote">
    <w:name w:val="IPP Arial Footnote"/>
    <w:basedOn w:val="IPPArialTable"/>
    <w:qFormat/>
    <w:pPr>
      <w:tabs>
        <w:tab w:val="left" w:pos="567"/>
      </w:tabs>
      <w:ind w:left="567" w:hanging="567"/>
    </w:pPr>
    <w:rPr>
      <w:sz w:val="16"/>
    </w:rPr>
  </w:style>
  <w:style w:type="paragraph" w:customStyle="1" w:styleId="IPPContentsHead">
    <w:name w:val="IPP ContentsHead"/>
    <w:basedOn w:val="IPPSubhead"/>
    <w:next w:val="IPPNormal"/>
    <w:qFormat/>
    <w:pPr>
      <w:spacing w:after="240"/>
    </w:pPr>
    <w:rPr>
      <w:sz w:val="24"/>
    </w:rPr>
  </w:style>
  <w:style w:type="paragraph" w:customStyle="1" w:styleId="IPPNumberedListArial">
    <w:name w:val="IPP NumberedListArial"/>
    <w:basedOn w:val="IPPNumberedList"/>
    <w:qFormat/>
    <w:pPr>
      <w:numPr>
        <w:numId w:val="45"/>
      </w:numPr>
      <w:tabs>
        <w:tab w:val="num" w:pos="567"/>
      </w:tabs>
      <w:ind w:left="567" w:hanging="567"/>
    </w:pPr>
    <w:rPr>
      <w:rFonts w:ascii="Arial" w:hAnsi="Arial"/>
    </w:rPr>
  </w:style>
  <w:style w:type="paragraph" w:customStyle="1" w:styleId="IPPIndentClose">
    <w:name w:val="IPP Indent Close"/>
    <w:basedOn w:val="IPPNormal"/>
    <w:qFormat/>
    <w:pPr>
      <w:numPr>
        <w:numId w:val="46"/>
      </w:numPr>
      <w:tabs>
        <w:tab w:val="left" w:pos="2835"/>
      </w:tabs>
      <w:spacing w:after="60"/>
      <w:ind w:left="567" w:firstLine="0"/>
    </w:pPr>
  </w:style>
  <w:style w:type="paragraph" w:customStyle="1" w:styleId="IPPHdg2Num">
    <w:name w:val="IPP Hdg2Num"/>
    <w:basedOn w:val="IPPNormal"/>
    <w:next w:val="IPPNormal"/>
    <w:qFormat/>
    <w:pPr>
      <w:keepNext/>
      <w:tabs>
        <w:tab w:val="left" w:pos="567"/>
        <w:tab w:val="num" w:pos="680"/>
      </w:tabs>
      <w:spacing w:before="120" w:after="120"/>
      <w:ind w:left="680" w:hanging="680"/>
      <w:outlineLvl w:val="2"/>
    </w:pPr>
    <w:rPr>
      <w:b/>
      <w:sz w:val="24"/>
    </w:rPr>
  </w:style>
  <w:style w:type="character" w:customStyle="1" w:styleId="FollowedHyperlink1">
    <w:name w:val="FollowedHyperlink1"/>
    <w:rPr>
      <w:color w:val="800080"/>
      <w:u w:val="single"/>
    </w:rPr>
  </w:style>
  <w:style w:type="character" w:customStyle="1" w:styleId="txt">
    <w:name w:val="txt"/>
    <w:basedOn w:val="DefaultParagraphFont"/>
  </w:style>
  <w:style w:type="character" w:customStyle="1" w:styleId="highlight">
    <w:name w:val="highlight"/>
    <w:rPr>
      <w:rFonts w:cs="Times New Roman"/>
    </w:rPr>
  </w:style>
  <w:style w:type="paragraph" w:styleId="HTMLPreformatted">
    <w:name w:val="HTML Preformatted"/>
    <w:basedOn w:val="Normal"/>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i/>
      <w:color w:val="auto"/>
      <w:sz w:val="20"/>
    </w:rPr>
  </w:style>
  <w:style w:type="character" w:customStyle="1" w:styleId="txtboldonly">
    <w:name w:val="txtboldonly"/>
    <w:basedOn w:val="DefaultParagraphFont"/>
  </w:style>
  <w:style w:type="paragraph" w:styleId="BodyTextFirstIndent2">
    <w:name w:val="Body Text First Indent 2"/>
    <w:basedOn w:val="BodyTextIndent"/>
    <w:semiHidden/>
    <w:pPr>
      <w:spacing w:after="120" w:line="240" w:lineRule="auto"/>
      <w:ind w:left="283" w:firstLine="210"/>
    </w:pPr>
    <w:rPr>
      <w:i/>
      <w:color w:val="auto"/>
      <w:sz w:val="24"/>
      <w:lang w:val="en-US"/>
    </w:rPr>
  </w:style>
  <w:style w:type="character" w:customStyle="1" w:styleId="pagination">
    <w:name w:val="pagination"/>
    <w:basedOn w:val="DefaultParagraphFont"/>
  </w:style>
  <w:style w:type="character" w:customStyle="1" w:styleId="CarCar5">
    <w:name w:val="Car Car5"/>
    <w:rPr>
      <w:rFonts w:cs="Consolas"/>
      <w:noProof w:val="0"/>
      <w:szCs w:val="24"/>
      <w:u w:val="single"/>
      <w:lang w:val="en-US" w:eastAsia="ja-JP" w:bidi="he-IL"/>
    </w:rPr>
  </w:style>
  <w:style w:type="character" w:customStyle="1" w:styleId="CarCar4">
    <w:name w:val="Car Car4"/>
    <w:rPr>
      <w:rFonts w:eastAsia="MS Mincho" w:cs="Arial"/>
      <w:b/>
      <w:bCs/>
      <w:iCs/>
      <w:noProof w:val="0"/>
      <w:kern w:val="32"/>
      <w:sz w:val="24"/>
      <w:szCs w:val="24"/>
      <w:lang w:val="en-US" w:eastAsia="ja-JP" w:bidi="ar-SA"/>
    </w:rPr>
  </w:style>
  <w:style w:type="character" w:customStyle="1" w:styleId="CarCar3">
    <w:name w:val="Car Car3"/>
    <w:locked/>
    <w:rPr>
      <w:rFonts w:eastAsia="MS Mincho" w:cs="Arial"/>
      <w:b/>
      <w:bCs/>
      <w:i/>
      <w:iCs/>
      <w:noProof w:val="0"/>
      <w:kern w:val="32"/>
      <w:sz w:val="24"/>
      <w:szCs w:val="26"/>
      <w:lang w:val="it-IT" w:eastAsia="ja-JP" w:bidi="ar-SA"/>
    </w:rPr>
  </w:style>
  <w:style w:type="paragraph" w:customStyle="1" w:styleId="CM7">
    <w:name w:val="CM7"/>
    <w:basedOn w:val="Normal"/>
    <w:next w:val="Normal"/>
    <w:pPr>
      <w:autoSpaceDE w:val="0"/>
      <w:autoSpaceDN w:val="0"/>
      <w:adjustRightInd w:val="0"/>
      <w:spacing w:after="0" w:line="198" w:lineRule="atLeast"/>
    </w:pPr>
    <w:rPr>
      <w:rFonts w:ascii="OJFKL G+ Melior" w:eastAsia="Calibri" w:hAnsi="OJFKL G+ Melior"/>
      <w:i/>
      <w:color w:val="auto"/>
      <w:sz w:val="18"/>
      <w:lang w:val="fr-FR"/>
    </w:rPr>
  </w:style>
  <w:style w:type="paragraph" w:customStyle="1" w:styleId="mainheader">
    <w:name w:val="mainheader"/>
    <w:basedOn w:val="Normal"/>
    <w:pPr>
      <w:spacing w:before="100" w:after="100"/>
    </w:pPr>
    <w:rPr>
      <w:rFonts w:eastAsia="MS Mincho"/>
      <w:i/>
      <w:color w:val="auto"/>
      <w:sz w:val="18"/>
      <w:lang w:val="fr-FR" w:eastAsia="ja-JP"/>
    </w:rPr>
  </w:style>
  <w:style w:type="character" w:customStyle="1" w:styleId="surname">
    <w:name w:val="surname"/>
    <w:basedOn w:val="DefaultParagraphFont"/>
  </w:style>
  <w:style w:type="character" w:customStyle="1" w:styleId="CarCar0">
    <w:name w:val="Car Car"/>
    <w:locked/>
    <w:rPr>
      <w:rFonts w:eastAsia="MS Mincho"/>
      <w:noProof w:val="0"/>
      <w:sz w:val="24"/>
      <w:szCs w:val="24"/>
      <w:lang w:val="fr-FR" w:eastAsia="ja-JP" w:bidi="ar-SA"/>
    </w:rPr>
  </w:style>
  <w:style w:type="character" w:customStyle="1" w:styleId="name0">
    <w:name w:val="name"/>
    <w:basedOn w:val="DefaultParagraphFont"/>
  </w:style>
  <w:style w:type="character" w:customStyle="1" w:styleId="forenames">
    <w:name w:val="forenames"/>
    <w:basedOn w:val="DefaultParagraphFont"/>
  </w:style>
  <w:style w:type="character" w:customStyle="1" w:styleId="txtsmall">
    <w:name w:val="txtsmall"/>
    <w:basedOn w:val="DefaultParagraphFont"/>
  </w:style>
  <w:style w:type="character" w:customStyle="1" w:styleId="mw-formatted-date">
    <w:name w:val="mw-formatted-date"/>
    <w:basedOn w:val="DefaultParagraphFont"/>
  </w:style>
  <w:style w:type="paragraph" w:customStyle="1" w:styleId="MediumGrid1-Accent22">
    <w:name w:val="Medium Grid 1 - Accent 22"/>
    <w:basedOn w:val="Normal"/>
    <w:qFormat/>
    <w:pPr>
      <w:spacing w:after="200" w:line="276" w:lineRule="auto"/>
      <w:ind w:left="720"/>
    </w:pPr>
    <w:rPr>
      <w:rFonts w:ascii="Calibri" w:eastAsia="Calibri" w:hAnsi="Calibri"/>
      <w:i/>
      <w:color w:val="auto"/>
    </w:rPr>
  </w:style>
  <w:style w:type="character" w:customStyle="1" w:styleId="CharChar3">
    <w:name w:val="Char Char3"/>
    <w:rPr>
      <w:sz w:val="22"/>
      <w:szCs w:val="22"/>
    </w:rPr>
  </w:style>
  <w:style w:type="character" w:customStyle="1" w:styleId="fm-citation-ids-label1">
    <w:name w:val="fm-citation-ids-label1"/>
    <w:rPr>
      <w:color w:val="333333"/>
    </w:rPr>
  </w:style>
  <w:style w:type="character" w:customStyle="1" w:styleId="citation-abbreviation2">
    <w:name w:val="citation-abbreviation2"/>
    <w:basedOn w:val="DefaultParagraphFont"/>
  </w:style>
  <w:style w:type="character" w:customStyle="1" w:styleId="citation-publication-date">
    <w:name w:val="citation-publication-date"/>
    <w:basedOn w:val="DefaultParagraphFont"/>
  </w:style>
  <w:style w:type="character" w:customStyle="1" w:styleId="citation-volume">
    <w:name w:val="citation-volume"/>
    <w:basedOn w:val="DefaultParagraphFont"/>
  </w:style>
  <w:style w:type="character" w:customStyle="1" w:styleId="citation-issue">
    <w:name w:val="citation-issue"/>
    <w:basedOn w:val="DefaultParagraphFont"/>
  </w:style>
  <w:style w:type="character" w:customStyle="1" w:styleId="citation-flpages">
    <w:name w:val="citation-flpages"/>
    <w:basedOn w:val="DefaultParagraphFont"/>
  </w:style>
  <w:style w:type="paragraph" w:customStyle="1" w:styleId="citation">
    <w:name w:val="citation"/>
    <w:basedOn w:val="Normal"/>
    <w:pPr>
      <w:spacing w:before="100" w:after="100"/>
    </w:pPr>
    <w:rPr>
      <w:i/>
      <w:color w:val="auto"/>
      <w:sz w:val="18"/>
    </w:rPr>
  </w:style>
  <w:style w:type="paragraph" w:customStyle="1" w:styleId="authlist">
    <w:name w:val="auth_list"/>
    <w:basedOn w:val="Normal"/>
    <w:pPr>
      <w:spacing w:before="100" w:after="100"/>
    </w:pPr>
    <w:rPr>
      <w:i/>
      <w:color w:val="auto"/>
      <w:sz w:val="18"/>
    </w:rPr>
  </w:style>
  <w:style w:type="paragraph" w:customStyle="1" w:styleId="MDthesisHeading2">
    <w:name w:val="MD thesis Heading 2"/>
    <w:basedOn w:val="Heading2"/>
    <w:next w:val="Normal"/>
    <w:autoRedefine/>
    <w:pPr>
      <w:tabs>
        <w:tab w:val="clear" w:pos="720"/>
        <w:tab w:val="left" w:pos="709"/>
      </w:tabs>
      <w:spacing w:before="120" w:after="60" w:line="360" w:lineRule="auto"/>
      <w:ind w:left="709" w:firstLine="720"/>
    </w:pPr>
    <w:rPr>
      <w:b w:val="0"/>
      <w:i/>
      <w:snapToGrid/>
    </w:rPr>
  </w:style>
  <w:style w:type="paragraph" w:customStyle="1" w:styleId="title1">
    <w:name w:val="title1"/>
    <w:basedOn w:val="Normal"/>
    <w:pPr>
      <w:spacing w:after="0"/>
    </w:pPr>
    <w:rPr>
      <w:i/>
      <w:color w:val="auto"/>
      <w:sz w:val="29"/>
    </w:rPr>
  </w:style>
  <w:style w:type="paragraph" w:customStyle="1" w:styleId="rprtbody1">
    <w:name w:val="rprtbody1"/>
    <w:basedOn w:val="Normal"/>
    <w:pPr>
      <w:spacing w:before="34" w:after="34"/>
    </w:pPr>
    <w:rPr>
      <w:i/>
      <w:color w:val="auto"/>
      <w:sz w:val="28"/>
    </w:rPr>
  </w:style>
  <w:style w:type="paragraph" w:customStyle="1" w:styleId="aux1">
    <w:name w:val="aux1"/>
    <w:basedOn w:val="Normal"/>
    <w:pPr>
      <w:spacing w:after="0" w:line="320" w:lineRule="atLeast"/>
    </w:pPr>
    <w:rPr>
      <w:i/>
      <w:color w:val="auto"/>
      <w:sz w:val="18"/>
    </w:rPr>
  </w:style>
  <w:style w:type="character" w:customStyle="1" w:styleId="src1">
    <w:name w:val="src1"/>
    <w:rPr>
      <w:vanish w:val="0"/>
      <w:webHidden w:val="0"/>
      <w:specVanish w:val="0"/>
    </w:rPr>
  </w:style>
  <w:style w:type="character" w:customStyle="1" w:styleId="jrnl">
    <w:name w:val="jrnl"/>
    <w:basedOn w:val="DefaultParagraphFont"/>
  </w:style>
  <w:style w:type="character" w:customStyle="1" w:styleId="prevauthlinks1">
    <w:name w:val="prevauthlinks1"/>
    <w:rPr>
      <w:color w:val="C0C0C0"/>
      <w:u w:val="single"/>
    </w:rPr>
  </w:style>
  <w:style w:type="character" w:customStyle="1" w:styleId="nbapihighlight">
    <w:name w:val="nbapihighlight"/>
    <w:basedOn w:val="DefaultParagraphFont"/>
  </w:style>
  <w:style w:type="character" w:customStyle="1" w:styleId="bf">
    <w:name w:val="bf"/>
    <w:basedOn w:val="DefaultParagraphFont"/>
  </w:style>
  <w:style w:type="character" w:customStyle="1" w:styleId="it">
    <w:name w:val="it"/>
    <w:basedOn w:val="DefaultParagraphFont"/>
  </w:style>
  <w:style w:type="paragraph" w:customStyle="1" w:styleId="ptdocpara">
    <w:name w:val="ptdocpara"/>
    <w:basedOn w:val="Normal"/>
    <w:pPr>
      <w:spacing w:before="100" w:after="100"/>
    </w:pPr>
    <w:rPr>
      <w:i/>
      <w:color w:val="auto"/>
      <w:sz w:val="18"/>
    </w:rPr>
  </w:style>
  <w:style w:type="character" w:customStyle="1" w:styleId="ptdocpublication">
    <w:name w:val="ptdocpublication"/>
    <w:basedOn w:val="DefaultParagraphFont"/>
  </w:style>
  <w:style w:type="character" w:customStyle="1" w:styleId="ptdocissuevolume">
    <w:name w:val="ptdocissuevolume"/>
    <w:basedOn w:val="DefaultParagraphFont"/>
  </w:style>
  <w:style w:type="character" w:customStyle="1" w:styleId="ptdocissuedate">
    <w:name w:val="ptdocissuedate"/>
    <w:basedOn w:val="DefaultParagraphFont"/>
  </w:style>
  <w:style w:type="character" w:customStyle="1" w:styleId="ptdocissuepage">
    <w:name w:val="ptdocissuepage"/>
    <w:basedOn w:val="DefaultParagraphFont"/>
  </w:style>
  <w:style w:type="paragraph" w:customStyle="1" w:styleId="Referencetext121">
    <w:name w:val="סגנון Reference text + ‏12 נק מודגש1"/>
    <w:basedOn w:val="Normal"/>
    <w:autoRedefine/>
    <w:pPr>
      <w:spacing w:after="0" w:line="480" w:lineRule="auto"/>
      <w:jc w:val="both"/>
    </w:pPr>
    <w:rPr>
      <w:i/>
      <w:color w:val="auto"/>
      <w:sz w:val="18"/>
    </w:rPr>
  </w:style>
  <w:style w:type="paragraph" w:customStyle="1" w:styleId="10">
    <w:name w:val="סגנון כותרת 1 +"/>
    <w:basedOn w:val="Heading1"/>
    <w:pPr>
      <w:spacing w:before="240" w:after="60"/>
    </w:pPr>
    <w:rPr>
      <w:rFonts w:ascii="Arial" w:hAnsi="Arial"/>
      <w:i/>
      <w:color w:val="auto"/>
      <w:kern w:val="32"/>
      <w:sz w:val="32"/>
    </w:rPr>
  </w:style>
  <w:style w:type="paragraph" w:customStyle="1" w:styleId="14">
    <w:name w:val="אותיות גדולות 14"/>
    <w:basedOn w:val="10"/>
    <w:rPr>
      <w:b/>
    </w:rPr>
  </w:style>
  <w:style w:type="paragraph" w:customStyle="1" w:styleId="a3">
    <w:name w:val="טקסט מרכזי"/>
    <w:basedOn w:val="Normal"/>
    <w:pPr>
      <w:spacing w:after="0" w:line="480" w:lineRule="auto"/>
      <w:jc w:val="both"/>
    </w:pPr>
    <w:rPr>
      <w:rFonts w:ascii="Arial" w:hAnsi="Arial"/>
      <w:i/>
      <w:color w:val="auto"/>
      <w:sz w:val="18"/>
    </w:rPr>
  </w:style>
  <w:style w:type="character" w:customStyle="1" w:styleId="search1">
    <w:name w:val="search1"/>
    <w:rPr>
      <w:color w:val="228622"/>
    </w:rPr>
  </w:style>
  <w:style w:type="character" w:customStyle="1" w:styleId="style221">
    <w:name w:val="style221"/>
    <w:rPr>
      <w:color w:val="006633"/>
    </w:rPr>
  </w:style>
  <w:style w:type="character" w:customStyle="1" w:styleId="medium-normal1">
    <w:name w:val="medium-normal1"/>
    <w:rPr>
      <w:rFonts w:ascii="Arial" w:hAnsi="Arial" w:cs="Arial" w:hint="default"/>
      <w:b w:val="0"/>
      <w:bCs w:val="0"/>
      <w:i w:val="0"/>
      <w:iCs w:val="0"/>
      <w:sz w:val="20"/>
      <w:szCs w:val="20"/>
    </w:rPr>
  </w:style>
  <w:style w:type="character" w:styleId="HTMLVariable">
    <w:name w:val="HTML Variable"/>
    <w:rPr>
      <w:rFonts w:ascii="Verdana" w:hAnsi="Verdana" w:hint="default"/>
      <w:i w:val="0"/>
      <w:iCs w:val="0"/>
      <w:color w:val="000000"/>
      <w:sz w:val="20"/>
      <w:szCs w:val="20"/>
    </w:rPr>
  </w:style>
  <w:style w:type="paragraph" w:customStyle="1" w:styleId="last">
    <w:name w:val="last"/>
    <w:basedOn w:val="Normal"/>
    <w:pPr>
      <w:spacing w:before="100" w:after="100"/>
    </w:pPr>
    <w:rPr>
      <w:rFonts w:eastAsia="Calibri"/>
      <w:i/>
      <w:color w:val="auto"/>
      <w:sz w:val="18"/>
    </w:rPr>
  </w:style>
  <w:style w:type="paragraph" w:customStyle="1" w:styleId="firstlast">
    <w:name w:val="first last"/>
    <w:basedOn w:val="Normal"/>
    <w:pPr>
      <w:spacing w:before="100" w:after="100"/>
    </w:pPr>
    <w:rPr>
      <w:rFonts w:eastAsia="Calibri"/>
      <w:i/>
      <w:color w:val="auto"/>
      <w:sz w:val="18"/>
    </w:rPr>
  </w:style>
  <w:style w:type="character" w:customStyle="1" w:styleId="databold1">
    <w:name w:val="data_bold1"/>
    <w:rPr>
      <w:b/>
      <w:bCs/>
    </w:rPr>
  </w:style>
  <w:style w:type="paragraph" w:customStyle="1" w:styleId="normaltext">
    <w:name w:val="normaltext"/>
    <w:basedOn w:val="Normal"/>
    <w:pPr>
      <w:spacing w:before="120" w:after="60"/>
    </w:pPr>
    <w:rPr>
      <w:rFonts w:ascii="Arial" w:hAnsi="Arial"/>
      <w:i/>
      <w:sz w:val="20"/>
    </w:rPr>
  </w:style>
  <w:style w:type="paragraph" w:customStyle="1" w:styleId="heading10">
    <w:name w:val="heading1"/>
    <w:basedOn w:val="Normal"/>
    <w:next w:val="Normal"/>
    <w:pPr>
      <w:keepNext/>
      <w:keepLines/>
      <w:tabs>
        <w:tab w:val="left" w:pos="454"/>
      </w:tabs>
      <w:suppressAutoHyphens/>
      <w:overflowPunct w:val="0"/>
      <w:autoSpaceDE w:val="0"/>
      <w:autoSpaceDN w:val="0"/>
      <w:adjustRightInd w:val="0"/>
      <w:spacing w:before="600" w:after="320" w:line="240" w:lineRule="atLeast"/>
      <w:textAlignment w:val="baseline"/>
    </w:pPr>
    <w:rPr>
      <w:rFonts w:ascii="Times" w:hAnsi="Times"/>
      <w:b/>
      <w:i/>
      <w:color w:val="auto"/>
      <w:sz w:val="18"/>
    </w:rPr>
  </w:style>
  <w:style w:type="character" w:customStyle="1" w:styleId="heading1Carattere">
    <w:name w:val="heading1 Carattere"/>
    <w:rPr>
      <w:rFonts w:ascii="Times" w:hAnsi="Times"/>
      <w:b/>
      <w:noProof w:val="0"/>
      <w:sz w:val="24"/>
      <w:lang w:val="en-US" w:eastAsia="de-DE" w:bidi="ar-SA"/>
    </w:rPr>
  </w:style>
  <w:style w:type="paragraph" w:customStyle="1" w:styleId="literaturelist">
    <w:name w:val="literature list"/>
    <w:basedOn w:val="Normal"/>
    <w:pPr>
      <w:tabs>
        <w:tab w:val="num" w:pos="720"/>
        <w:tab w:val="left" w:pos="5760"/>
      </w:tabs>
      <w:spacing w:after="0" w:line="480" w:lineRule="auto"/>
      <w:ind w:left="720" w:right="170" w:hanging="360"/>
      <w:jc w:val="both"/>
      <w:outlineLvl w:val="0"/>
    </w:pPr>
    <w:rPr>
      <w:i/>
      <w:noProof/>
      <w:color w:val="auto"/>
      <w:sz w:val="18"/>
    </w:rPr>
  </w:style>
  <w:style w:type="character" w:customStyle="1" w:styleId="body1">
    <w:name w:val="body1"/>
    <w:rPr>
      <w:rFonts w:ascii="Verdana" w:hAnsi="Verdana" w:hint="default"/>
      <w:sz w:val="20"/>
      <w:szCs w:val="20"/>
    </w:rPr>
  </w:style>
  <w:style w:type="character" w:customStyle="1" w:styleId="bodybold1">
    <w:name w:val="bodybold1"/>
    <w:rPr>
      <w:rFonts w:ascii="Verdana" w:hAnsi="Verdana" w:hint="default"/>
      <w:b/>
      <w:bCs/>
      <w:sz w:val="20"/>
      <w:szCs w:val="20"/>
    </w:rPr>
  </w:style>
  <w:style w:type="paragraph" w:customStyle="1" w:styleId="CM1">
    <w:name w:val="CM1"/>
    <w:basedOn w:val="Default"/>
    <w:next w:val="Default"/>
    <w:pPr>
      <w:widowControl w:val="0"/>
    </w:pPr>
    <w:rPr>
      <w:color w:val="auto"/>
    </w:rPr>
  </w:style>
  <w:style w:type="paragraph" w:customStyle="1" w:styleId="CM2">
    <w:name w:val="CM2"/>
    <w:basedOn w:val="Default"/>
    <w:next w:val="Default"/>
    <w:pPr>
      <w:widowControl w:val="0"/>
      <w:spacing w:line="553" w:lineRule="atLeast"/>
    </w:pPr>
    <w:rPr>
      <w:color w:val="auto"/>
    </w:rPr>
  </w:style>
  <w:style w:type="paragraph" w:customStyle="1" w:styleId="CM27">
    <w:name w:val="CM27"/>
    <w:basedOn w:val="Default"/>
    <w:next w:val="Default"/>
    <w:pPr>
      <w:widowControl w:val="0"/>
      <w:spacing w:after="78"/>
    </w:pPr>
    <w:rPr>
      <w:color w:val="auto"/>
    </w:rPr>
  </w:style>
  <w:style w:type="paragraph" w:customStyle="1" w:styleId="CM3">
    <w:name w:val="CM3"/>
    <w:basedOn w:val="Default"/>
    <w:next w:val="Default"/>
    <w:pPr>
      <w:widowControl w:val="0"/>
      <w:numPr>
        <w:numId w:val="32"/>
      </w:numPr>
      <w:tabs>
        <w:tab w:val="clear" w:pos="720"/>
        <w:tab w:val="num" w:pos="680"/>
      </w:tabs>
      <w:spacing w:line="551" w:lineRule="atLeast"/>
      <w:ind w:left="0" w:firstLine="0"/>
    </w:pPr>
    <w:rPr>
      <w:color w:val="auto"/>
    </w:rPr>
  </w:style>
  <w:style w:type="paragraph" w:customStyle="1" w:styleId="CM28">
    <w:name w:val="CM28"/>
    <w:basedOn w:val="Default"/>
    <w:next w:val="Default"/>
    <w:pPr>
      <w:widowControl w:val="0"/>
      <w:spacing w:after="412"/>
    </w:pPr>
    <w:rPr>
      <w:color w:val="auto"/>
    </w:rPr>
  </w:style>
  <w:style w:type="paragraph" w:customStyle="1" w:styleId="CM30">
    <w:name w:val="CM30"/>
    <w:basedOn w:val="Default"/>
    <w:next w:val="Default"/>
    <w:pPr>
      <w:widowControl w:val="0"/>
      <w:spacing w:after="75"/>
    </w:pPr>
    <w:rPr>
      <w:color w:val="auto"/>
    </w:rPr>
  </w:style>
  <w:style w:type="paragraph" w:customStyle="1" w:styleId="CM10">
    <w:name w:val="CM10"/>
    <w:basedOn w:val="Default"/>
    <w:next w:val="Default"/>
    <w:pPr>
      <w:widowControl w:val="0"/>
      <w:spacing w:line="556" w:lineRule="atLeast"/>
    </w:pPr>
    <w:rPr>
      <w:color w:val="auto"/>
    </w:rPr>
  </w:style>
  <w:style w:type="paragraph" w:customStyle="1" w:styleId="CM32">
    <w:name w:val="CM32"/>
    <w:basedOn w:val="Default"/>
    <w:next w:val="Default"/>
    <w:pPr>
      <w:widowControl w:val="0"/>
      <w:spacing w:after="725"/>
    </w:pPr>
    <w:rPr>
      <w:color w:val="auto"/>
    </w:rPr>
  </w:style>
  <w:style w:type="paragraph" w:customStyle="1" w:styleId="CM33">
    <w:name w:val="CM33"/>
    <w:basedOn w:val="Default"/>
    <w:next w:val="Default"/>
    <w:pPr>
      <w:widowControl w:val="0"/>
      <w:numPr>
        <w:numId w:val="47"/>
      </w:numPr>
      <w:spacing w:after="538"/>
      <w:ind w:left="0" w:firstLine="0"/>
    </w:pPr>
    <w:rPr>
      <w:color w:val="auto"/>
    </w:rPr>
  </w:style>
  <w:style w:type="paragraph" w:customStyle="1" w:styleId="CM16">
    <w:name w:val="CM16"/>
    <w:basedOn w:val="Default"/>
    <w:next w:val="Default"/>
    <w:pPr>
      <w:widowControl w:val="0"/>
      <w:spacing w:line="553" w:lineRule="atLeast"/>
    </w:pPr>
    <w:rPr>
      <w:color w:val="auto"/>
    </w:rPr>
  </w:style>
  <w:style w:type="paragraph" w:customStyle="1" w:styleId="CM19">
    <w:name w:val="CM19"/>
    <w:basedOn w:val="Default"/>
    <w:next w:val="Default"/>
    <w:pPr>
      <w:widowControl w:val="0"/>
      <w:spacing w:line="268" w:lineRule="atLeast"/>
    </w:pPr>
    <w:rPr>
      <w:color w:val="auto"/>
    </w:rPr>
  </w:style>
  <w:style w:type="character" w:customStyle="1" w:styleId="ZchnZchn16">
    <w:name w:val="Zchn Zchn16"/>
    <w:rPr>
      <w:rFonts w:ascii="Arial" w:hAnsi="Arial" w:cs="Arial"/>
      <w:b/>
      <w:bCs/>
      <w:noProof w:val="0"/>
      <w:kern w:val="32"/>
      <w:sz w:val="32"/>
      <w:szCs w:val="32"/>
      <w:lang w:val="en-US" w:eastAsia="en-US" w:bidi="ar-SA"/>
    </w:rPr>
  </w:style>
  <w:style w:type="character" w:customStyle="1" w:styleId="ZchnZchn1">
    <w:name w:val="Zchn Zchn1"/>
    <w:rPr>
      <w:rFonts w:ascii="Cambria" w:hAnsi="Cambria"/>
      <w:b/>
      <w:bCs/>
      <w:noProof w:val="0"/>
      <w:kern w:val="28"/>
      <w:sz w:val="32"/>
      <w:szCs w:val="32"/>
      <w:lang w:val="ca-ES" w:eastAsia="en-US" w:bidi="ar-SA"/>
    </w:rPr>
  </w:style>
  <w:style w:type="paragraph" w:styleId="NoSpacing">
    <w:name w:val="No Spacing"/>
    <w:uiPriority w:val="1"/>
    <w:qFormat/>
    <w:rPr>
      <w:rFonts w:ascii="Times New Roman" w:hAnsi="Times New Roman"/>
      <w:sz w:val="24"/>
      <w:lang w:val="en-US" w:eastAsia="ko-KR"/>
    </w:rPr>
  </w:style>
  <w:style w:type="character" w:customStyle="1" w:styleId="ZchnZchn">
    <w:name w:val="Zchn Zchn"/>
    <w:rPr>
      <w:rFonts w:ascii="Calibri" w:hAnsi="Calibri"/>
      <w:noProof w:val="0"/>
      <w:lang w:val="ca-ES" w:eastAsia="en-US" w:bidi="ar-SA"/>
    </w:rPr>
  </w:style>
  <w:style w:type="paragraph" w:customStyle="1" w:styleId="references0">
    <w:name w:val="references"/>
    <w:basedOn w:val="Normal"/>
    <w:pPr>
      <w:spacing w:before="60" w:after="60"/>
      <w:ind w:left="1134" w:hanging="1134"/>
      <w:jc w:val="both"/>
    </w:pPr>
    <w:rPr>
      <w:rFonts w:ascii="Garamond" w:hAnsi="Garamond"/>
      <w:i/>
      <w:color w:val="auto"/>
      <w:sz w:val="20"/>
    </w:rPr>
  </w:style>
  <w:style w:type="paragraph" w:customStyle="1" w:styleId="refs">
    <w:name w:val="refs"/>
    <w:basedOn w:val="Normal"/>
    <w:pPr>
      <w:spacing w:before="100" w:after="100"/>
    </w:pPr>
    <w:rPr>
      <w:i/>
      <w:color w:val="auto"/>
      <w:sz w:val="18"/>
    </w:rPr>
  </w:style>
  <w:style w:type="character" w:customStyle="1" w:styleId="ital">
    <w:name w:val="ital"/>
    <w:basedOn w:val="DefaultParagraphFont"/>
  </w:style>
  <w:style w:type="paragraph" w:customStyle="1" w:styleId="Literaturverzeichnis">
    <w:name w:val="Literaturverzeichnis"/>
    <w:basedOn w:val="Normal"/>
    <w:next w:val="Normal"/>
    <w:unhideWhenUsed/>
    <w:pPr>
      <w:spacing w:after="200" w:line="276" w:lineRule="auto"/>
    </w:pPr>
    <w:rPr>
      <w:rFonts w:ascii="Calibri" w:hAnsi="Calibri"/>
      <w:i/>
      <w:color w:val="auto"/>
      <w:lang w:val="de-DE"/>
    </w:rPr>
  </w:style>
  <w:style w:type="character" w:customStyle="1" w:styleId="databold">
    <w:name w:val="data_bold"/>
    <w:basedOn w:val="DefaultParagraphFont"/>
  </w:style>
  <w:style w:type="character" w:customStyle="1" w:styleId="cmpparsedlocationcmpparsedstyle">
    <w:name w:val="cmp_parsed_location cmp_parsed_style"/>
    <w:basedOn w:val="DefaultParagraphFont"/>
  </w:style>
  <w:style w:type="paragraph" w:customStyle="1" w:styleId="MediumGrid1-Accent21">
    <w:name w:val="Medium Grid 1 - Accent 21"/>
    <w:basedOn w:val="Normal"/>
    <w:qFormat/>
    <w:pPr>
      <w:spacing w:after="200" w:line="276" w:lineRule="auto"/>
      <w:ind w:left="720"/>
    </w:pPr>
    <w:rPr>
      <w:rFonts w:ascii="Calibri" w:eastAsia="Calibri" w:hAnsi="Calibri"/>
      <w:b/>
      <w:i/>
      <w:color w:val="auto"/>
    </w:rPr>
  </w:style>
  <w:style w:type="paragraph" w:customStyle="1" w:styleId="ReferencesNIPIndia">
    <w:name w:val="References NIP India"/>
    <w:basedOn w:val="Normal"/>
    <w:qFormat/>
    <w:pPr>
      <w:spacing w:before="20" w:after="20"/>
      <w:ind w:left="709" w:right="720" w:hanging="709"/>
    </w:pPr>
    <w:rPr>
      <w:b/>
      <w:i/>
      <w:color w:val="auto"/>
      <w:sz w:val="18"/>
      <w:lang w:val="en-CA"/>
    </w:rPr>
  </w:style>
  <w:style w:type="character" w:customStyle="1" w:styleId="FootnoteTextChar">
    <w:name w:val="Footnote Text Char"/>
    <w:aliases w:val="Geneva 9 Char,Font: Geneva 9 Char,Boston 10 Char,f Char"/>
    <w:uiPriority w:val="99"/>
    <w:rPr>
      <w:sz w:val="20"/>
      <w:szCs w:val="20"/>
    </w:rPr>
  </w:style>
  <w:style w:type="character" w:customStyle="1" w:styleId="BodyTextIndent2Char">
    <w:name w:val="Body Text Indent 2 Char"/>
    <w:basedOn w:val="DefaultParagraphFont"/>
    <w:semiHidden/>
  </w:style>
  <w:style w:type="paragraph" w:customStyle="1" w:styleId="Textedebulles">
    <w:name w:val="Texte de bulles"/>
    <w:basedOn w:val="Normal"/>
    <w:semiHidden/>
    <w:pPr>
      <w:spacing w:before="100" w:after="0"/>
      <w:ind w:right="720"/>
      <w:jc w:val="both"/>
    </w:pPr>
    <w:rPr>
      <w:rFonts w:ascii="Tahoma" w:hAnsi="Tahoma"/>
      <w:color w:val="auto"/>
      <w:sz w:val="16"/>
    </w:rPr>
  </w:style>
  <w:style w:type="character" w:customStyle="1" w:styleId="CarCar2">
    <w:name w:val="Car Car2"/>
    <w:semiHidden/>
    <w:locked/>
    <w:rPr>
      <w:rFonts w:cs="MS Gothic"/>
      <w:noProof w:val="0"/>
      <w:lang w:val="en-US" w:eastAsia="ja-JP" w:bidi="he-IL"/>
    </w:rPr>
  </w:style>
  <w:style w:type="character" w:customStyle="1" w:styleId="CarCar1">
    <w:name w:val="Car Car1"/>
    <w:semiHidden/>
    <w:locked/>
    <w:rPr>
      <w:rFonts w:cs="MS Gothic"/>
      <w:noProof w:val="0"/>
      <w:lang w:val="en-US" w:eastAsia="ja-JP" w:bidi="he-IL"/>
    </w:rPr>
  </w:style>
  <w:style w:type="character" w:customStyle="1" w:styleId="CharChar4">
    <w:name w:val="Char Char4"/>
    <w:semiHidden/>
    <w:rPr>
      <w:sz w:val="22"/>
      <w:szCs w:val="22"/>
    </w:rPr>
  </w:style>
  <w:style w:type="character" w:customStyle="1" w:styleId="ZchnZchn15">
    <w:name w:val="Zchn Zchn15"/>
    <w:semiHidden/>
    <w:rPr>
      <w:rFonts w:ascii="Arial" w:hAnsi="Arial" w:cs="Arial"/>
      <w:b/>
      <w:bCs/>
      <w:i/>
      <w:iCs/>
      <w:noProof w:val="0"/>
      <w:sz w:val="28"/>
      <w:szCs w:val="28"/>
      <w:lang w:val="en-US" w:eastAsia="en-US" w:bidi="ar-SA"/>
    </w:rPr>
  </w:style>
  <w:style w:type="character" w:customStyle="1" w:styleId="ZchnZchn14">
    <w:name w:val="Zchn Zchn14"/>
    <w:semiHidden/>
    <w:rPr>
      <w:rFonts w:ascii="Arial" w:hAnsi="Arial" w:cs="Arial"/>
      <w:b/>
      <w:bCs/>
      <w:noProof w:val="0"/>
      <w:sz w:val="26"/>
      <w:szCs w:val="26"/>
      <w:lang w:val="en-US" w:eastAsia="en-US" w:bidi="ar-SA"/>
    </w:rPr>
  </w:style>
  <w:style w:type="character" w:customStyle="1" w:styleId="ZchnZchn13">
    <w:name w:val="Zchn Zchn13"/>
    <w:semiHidden/>
    <w:rPr>
      <w:rFonts w:ascii="Arial" w:hAnsi="Arial" w:cs="Arial"/>
      <w:b/>
      <w:bCs/>
      <w:noProof w:val="0"/>
      <w:sz w:val="24"/>
      <w:szCs w:val="24"/>
      <w:lang w:val="de-DE" w:eastAsia="de-DE" w:bidi="ar-SA"/>
    </w:rPr>
  </w:style>
  <w:style w:type="character" w:customStyle="1" w:styleId="ZchnZchn12">
    <w:name w:val="Zchn Zchn12"/>
    <w:semiHidden/>
    <w:rPr>
      <w:rFonts w:ascii="Arial" w:hAnsi="Arial" w:cs="Arial"/>
      <w:b/>
      <w:bCs/>
      <w:noProof w:val="0"/>
      <w:sz w:val="24"/>
      <w:szCs w:val="24"/>
      <w:lang w:val="de-DE" w:eastAsia="de-DE" w:bidi="ar-SA"/>
    </w:rPr>
  </w:style>
  <w:style w:type="character" w:customStyle="1" w:styleId="ZchnZchn11">
    <w:name w:val="Zchn Zchn11"/>
    <w:semiHidden/>
    <w:rPr>
      <w:rFonts w:ascii="Arial" w:hAnsi="Arial" w:cs="Arial"/>
      <w:b/>
      <w:bCs/>
      <w:noProof w:val="0"/>
      <w:lang w:val="de-DE" w:eastAsia="de-DE" w:bidi="ar-SA"/>
    </w:rPr>
  </w:style>
  <w:style w:type="character" w:customStyle="1" w:styleId="ZchnZchn10">
    <w:name w:val="Zchn Zchn10"/>
    <w:semiHidden/>
    <w:rPr>
      <w:rFonts w:ascii="Arial" w:hAnsi="Arial" w:cs="Arial"/>
      <w:b/>
      <w:bCs/>
      <w:noProof w:val="0"/>
      <w:sz w:val="28"/>
      <w:szCs w:val="28"/>
      <w:lang w:val="de-DE" w:eastAsia="de-DE" w:bidi="ar-SA"/>
    </w:rPr>
  </w:style>
  <w:style w:type="character" w:customStyle="1" w:styleId="ZchnZchn9">
    <w:name w:val="Zchn Zchn9"/>
    <w:semiHidden/>
    <w:rPr>
      <w:rFonts w:ascii="Arial" w:hAnsi="Arial" w:cs="Arial"/>
      <w:b/>
      <w:bCs/>
      <w:noProof w:val="0"/>
      <w:lang w:val="de-DE" w:eastAsia="de-DE" w:bidi="ar-SA"/>
    </w:rPr>
  </w:style>
  <w:style w:type="character" w:customStyle="1" w:styleId="ZchnZchn8">
    <w:name w:val="Zchn Zchn8"/>
    <w:semiHidden/>
    <w:rPr>
      <w:rFonts w:ascii="Arial" w:hAnsi="Arial" w:cs="Arial"/>
      <w:noProof w:val="0"/>
      <w:sz w:val="24"/>
      <w:szCs w:val="24"/>
      <w:lang w:val="de-DE" w:eastAsia="de-DE" w:bidi="ar-SA"/>
    </w:rPr>
  </w:style>
  <w:style w:type="character" w:customStyle="1" w:styleId="CharCharZchn">
    <w:name w:val="Char Char Zchn"/>
    <w:aliases w:val="Body Text Char Char Char Char Char Zchn,Body Text Char Char Char Char Zchn Zchn"/>
    <w:semiHidden/>
    <w:locked/>
    <w:rPr>
      <w:rFonts w:eastAsia="MS Mincho"/>
      <w:noProof w:val="0"/>
      <w:color w:val="000000"/>
      <w:sz w:val="24"/>
      <w:lang w:val="en-GB" w:eastAsia="zh-CN" w:bidi="ar-SA"/>
    </w:rPr>
  </w:style>
  <w:style w:type="character" w:customStyle="1" w:styleId="ZchnZchn4">
    <w:name w:val="Zchn Zchn4"/>
    <w:semiHidden/>
    <w:rPr>
      <w:noProof w:val="0"/>
      <w:sz w:val="24"/>
      <w:szCs w:val="24"/>
      <w:lang w:val="en-US" w:eastAsia="en-US" w:bidi="ar-SA"/>
    </w:rPr>
  </w:style>
  <w:style w:type="character" w:customStyle="1" w:styleId="ZchnZchn7">
    <w:name w:val="Zchn Zchn7"/>
    <w:semiHidden/>
    <w:rPr>
      <w:noProof w:val="0"/>
      <w:sz w:val="24"/>
      <w:szCs w:val="24"/>
      <w:lang w:val="en-US" w:eastAsia="en-US" w:bidi="ar-SA"/>
    </w:rPr>
  </w:style>
  <w:style w:type="character" w:customStyle="1" w:styleId="ZchnZchn6">
    <w:name w:val="Zchn Zchn6"/>
    <w:semiHidden/>
    <w:rPr>
      <w:rFonts w:ascii="Courier New" w:hAnsi="Courier New" w:cs="MS Gothic"/>
      <w:noProof w:val="0"/>
      <w:lang w:val="de-DE" w:eastAsia="de-DE" w:bidi="ar-SA"/>
    </w:rPr>
  </w:style>
  <w:style w:type="character" w:customStyle="1" w:styleId="ZchnZchn5">
    <w:name w:val="Zchn Zchn5"/>
    <w:semiHidden/>
    <w:rPr>
      <w:rFonts w:ascii="Arial" w:hAnsi="Arial" w:cs="Arial"/>
      <w:noProof w:val="0"/>
      <w:sz w:val="24"/>
      <w:szCs w:val="24"/>
      <w:lang w:val="de-DE" w:eastAsia="de-DE" w:bidi="ar-SA"/>
    </w:rPr>
  </w:style>
  <w:style w:type="character" w:customStyle="1" w:styleId="ZchnZchn3">
    <w:name w:val="Zchn Zchn3"/>
    <w:semiHidden/>
    <w:rPr>
      <w:rFonts w:ascii="Arial" w:hAnsi="Arial" w:cs="Arial"/>
      <w:noProof w:val="0"/>
      <w:sz w:val="24"/>
      <w:szCs w:val="24"/>
      <w:lang w:val="de-DE" w:eastAsia="de-DE" w:bidi="ar-SA"/>
    </w:rPr>
  </w:style>
  <w:style w:type="paragraph" w:customStyle="1" w:styleId="11">
    <w:name w:val="コメント内容1"/>
    <w:basedOn w:val="CommentText"/>
    <w:next w:val="CommentText"/>
    <w:semiHidden/>
    <w:pPr>
      <w:spacing w:after="0"/>
    </w:pPr>
    <w:rPr>
      <w:rFonts w:ascii="Century" w:eastAsia="MS Mincho" w:hAnsi="Century"/>
      <w:b/>
      <w:bCs/>
      <w:kern w:val="2"/>
      <w:sz w:val="24"/>
      <w:szCs w:val="24"/>
      <w:lang w:val="en-US" w:eastAsia="ja-JP"/>
    </w:rPr>
  </w:style>
  <w:style w:type="paragraph" w:customStyle="1" w:styleId="12">
    <w:name w:val="吹き出し1"/>
    <w:basedOn w:val="Normal"/>
    <w:semiHidden/>
    <w:pPr>
      <w:widowControl w:val="0"/>
      <w:spacing w:after="0"/>
      <w:jc w:val="both"/>
    </w:pPr>
    <w:rPr>
      <w:rFonts w:ascii="Arial" w:eastAsia="MS Gothic" w:hAnsi="Arial"/>
      <w:color w:val="auto"/>
      <w:kern w:val="2"/>
      <w:sz w:val="18"/>
      <w:szCs w:val="18"/>
      <w:lang w:val="en-US" w:eastAsia="ja-JP"/>
    </w:rPr>
  </w:style>
  <w:style w:type="paragraph" w:customStyle="1" w:styleId="a4">
    <w:name w:val="批注框文本"/>
    <w:basedOn w:val="Normal"/>
    <w:semiHidden/>
    <w:pPr>
      <w:widowControl w:val="0"/>
      <w:spacing w:after="0"/>
      <w:jc w:val="both"/>
    </w:pPr>
    <w:rPr>
      <w:rFonts w:eastAsia="MS Mincho"/>
      <w:color w:val="auto"/>
      <w:kern w:val="2"/>
      <w:sz w:val="18"/>
      <w:szCs w:val="18"/>
      <w:lang w:val="en-US" w:eastAsia="ja-JP"/>
    </w:rPr>
  </w:style>
  <w:style w:type="paragraph" w:customStyle="1" w:styleId="a5">
    <w:name w:val="批注主题"/>
    <w:basedOn w:val="CommentText"/>
    <w:next w:val="CommentText"/>
    <w:semiHidden/>
    <w:pPr>
      <w:spacing w:after="0"/>
    </w:pPr>
    <w:rPr>
      <w:rFonts w:ascii="Century" w:eastAsia="MS Mincho" w:hAnsi="Century"/>
      <w:b/>
      <w:bCs/>
      <w:kern w:val="2"/>
      <w:sz w:val="24"/>
      <w:szCs w:val="24"/>
      <w:lang w:val="en-US" w:eastAsia="ja-JP"/>
    </w:rPr>
  </w:style>
  <w:style w:type="paragraph" w:customStyle="1" w:styleId="Textodeglobo1">
    <w:name w:val="Texto de globo1"/>
    <w:basedOn w:val="Normal"/>
    <w:semiHidden/>
    <w:pPr>
      <w:widowControl w:val="0"/>
      <w:spacing w:after="0"/>
      <w:jc w:val="both"/>
    </w:pPr>
    <w:rPr>
      <w:rFonts w:ascii="Tahoma" w:eastAsia="MS Mincho" w:hAnsi="Tahoma" w:cs="Times New Roman Bold"/>
      <w:color w:val="auto"/>
      <w:kern w:val="2"/>
      <w:sz w:val="16"/>
      <w:szCs w:val="16"/>
      <w:lang w:val="en-US" w:eastAsia="ja-JP"/>
    </w:rPr>
  </w:style>
  <w:style w:type="paragraph" w:customStyle="1" w:styleId="a7">
    <w:name w:val="スタイル"/>
    <w:pPr>
      <w:widowControl w:val="0"/>
      <w:autoSpaceDE w:val="0"/>
      <w:autoSpaceDN w:val="0"/>
      <w:adjustRightInd w:val="0"/>
    </w:pPr>
    <w:rPr>
      <w:rFonts w:ascii="Times New Roman" w:eastAsia="MS Mincho" w:hAnsi="Times New Roman"/>
      <w:sz w:val="24"/>
      <w:szCs w:val="24"/>
      <w:lang w:val="en-US" w:eastAsia="ja-JP"/>
    </w:rPr>
  </w:style>
  <w:style w:type="paragraph" w:customStyle="1" w:styleId="BodyText10">
    <w:name w:val="Body Text1"/>
    <w:basedOn w:val="Normal"/>
    <w:rPr>
      <w:szCs w:val="24"/>
    </w:rPr>
  </w:style>
  <w:style w:type="paragraph" w:customStyle="1" w:styleId="Tableandfigureheaders">
    <w:name w:val="Table and figure headers"/>
    <w:basedOn w:val="Caption"/>
    <w:autoRedefine/>
    <w:rsid w:val="00DA0F78"/>
    <w:pPr>
      <w:keepNext/>
      <w:spacing w:after="200" w:line="240" w:lineRule="auto"/>
      <w:ind w:left="1417" w:hanging="992"/>
      <w:jc w:val="both"/>
    </w:pPr>
    <w:rPr>
      <w:b/>
      <w:bCs/>
      <w:color w:val="auto"/>
      <w:sz w:val="24"/>
      <w:szCs w:val="24"/>
      <w:lang w:eastAsia="en-US"/>
    </w:rPr>
  </w:style>
  <w:style w:type="paragraph" w:customStyle="1" w:styleId="Tableandfigfooter">
    <w:name w:val="Table and fig footer"/>
    <w:basedOn w:val="Paraindent"/>
    <w:pPr>
      <w:spacing w:before="0" w:after="0"/>
      <w:ind w:left="425" w:right="0"/>
    </w:pPr>
    <w:rPr>
      <w:rFonts w:ascii="Calibri" w:hAnsi="Calibri"/>
      <w:i w:val="0"/>
      <w:noProof/>
      <w:color w:val="auto"/>
      <w:sz w:val="18"/>
      <w:szCs w:val="22"/>
      <w:lang w:eastAsia="en-GB"/>
    </w:rPr>
  </w:style>
  <w:style w:type="character" w:customStyle="1" w:styleId="CharChar20">
    <w:name w:val="Char Char2"/>
    <w:locked/>
    <w:rPr>
      <w:b/>
      <w:bCs w:val="0"/>
      <w:noProof w:val="0"/>
      <w:color w:val="000000"/>
      <w:sz w:val="28"/>
      <w:lang w:val="en-GB" w:eastAsia="zh-CN" w:bidi="ar-SA"/>
    </w:rPr>
  </w:style>
  <w:style w:type="character" w:customStyle="1" w:styleId="CharChar10">
    <w:name w:val="Char Char1"/>
    <w:rPr>
      <w:rFonts w:ascii="Arial" w:hAnsi="Arial" w:cs="Arial" w:hint="default"/>
      <w:noProof w:val="0"/>
      <w:lang w:val="en-GB" w:eastAsia="zh-CN" w:bidi="ar-SA"/>
    </w:rPr>
  </w:style>
  <w:style w:type="character" w:customStyle="1" w:styleId="13">
    <w:name w:val="(文字) (文字)1"/>
    <w:rPr>
      <w:rFonts w:ascii="SimSun" w:eastAsia="SimSun" w:hint="eastAsia"/>
      <w:noProof w:val="0"/>
      <w:sz w:val="24"/>
      <w:szCs w:val="24"/>
      <w:lang w:val="en-US" w:eastAsia="zh-CN" w:bidi="ar-SA"/>
    </w:rPr>
  </w:style>
  <w:style w:type="character" w:customStyle="1" w:styleId="a8">
    <w:name w:val="(文字) (文字)"/>
    <w:rPr>
      <w:rFonts w:ascii="SimSun" w:eastAsia="SimSun" w:hint="eastAsia"/>
      <w:b/>
      <w:bCs/>
      <w:noProof w:val="0"/>
      <w:sz w:val="24"/>
      <w:szCs w:val="24"/>
      <w:lang w:val="en-US" w:eastAsia="en-US" w:bidi="ar-SA"/>
    </w:rPr>
  </w:style>
  <w:style w:type="character" w:customStyle="1" w:styleId="CarCar190">
    <w:name w:val="Car Car19"/>
    <w:locked/>
    <w:rPr>
      <w:rFonts w:ascii="MS Mincho" w:eastAsia="MS Mincho" w:hint="eastAsia"/>
      <w:noProof w:val="0"/>
      <w:color w:val="000000"/>
      <w:sz w:val="24"/>
      <w:szCs w:val="24"/>
      <w:lang w:val="en-GB" w:eastAsia="zh-CN" w:bidi="ar-SA"/>
    </w:rPr>
  </w:style>
  <w:style w:type="character" w:customStyle="1" w:styleId="Heading1Char3">
    <w:name w:val="Heading 1 Char3"/>
    <w:aliases w:val="Para (1) Char2,Heading 1 Char1 Char Char2,Heading 1 Char Char Char Char1,Para (1) Char Char Char Char1,Para (1) Char1 Char Char1,Heading 1 Char1 Char2,Heading 1 Char Char Char2,Para (1) Char Char Char2,Para (1) Char1 Char2"/>
    <w:rsid w:val="00F95F7D"/>
    <w:rPr>
      <w:sz w:val="28"/>
      <w:lang w:eastAsia="en-US"/>
    </w:rPr>
  </w:style>
  <w:style w:type="character" w:customStyle="1" w:styleId="Heading3Char1">
    <w:name w:val="Heading 3 Char1"/>
    <w:aliases w:val="Heading 3 Char1 Char Char,Heading 3 Char Char Char Char,Char Char Char Char Char,Char Char1 Char Char,Heading 3 Char1 Char Char1,Heading 3 Char Char Char Char1,Char Char Char Char Char1,Char Char1 Char Char1,Heading 3 Char1 Char Char11"/>
    <w:rPr>
      <w:b/>
      <w:bCs w:val="0"/>
      <w:i/>
      <w:iCs w:val="0"/>
      <w:noProof w:val="0"/>
      <w:color w:val="000000"/>
      <w:sz w:val="24"/>
      <w:lang w:val="en-GB" w:eastAsia="en-US"/>
    </w:rPr>
  </w:style>
  <w:style w:type="character" w:customStyle="1" w:styleId="Heading4Char1">
    <w:name w:val="Heading 4 Char1"/>
    <w:rPr>
      <w:b/>
      <w:bCs w:val="0"/>
      <w:i/>
      <w:iCs w:val="0"/>
      <w:noProof w:val="0"/>
      <w:snapToGrid w:val="0"/>
      <w:color w:val="000000"/>
      <w:sz w:val="24"/>
      <w:lang w:val="en-GB" w:eastAsia="zh-CN"/>
    </w:rPr>
  </w:style>
  <w:style w:type="character" w:customStyle="1" w:styleId="Heading311ptBoldChar">
    <w:name w:val="Heading 3 + 11 pt Bold Char"/>
    <w:rPr>
      <w:b/>
      <w:sz w:val="24"/>
    </w:rPr>
  </w:style>
  <w:style w:type="character" w:customStyle="1" w:styleId="A20">
    <w:name w:val="A2"/>
    <w:uiPriority w:val="99"/>
    <w:rPr>
      <w:b/>
      <w:bCs w:val="0"/>
      <w:color w:val="000000"/>
      <w:sz w:val="12"/>
    </w:rPr>
  </w:style>
  <w:style w:type="character" w:customStyle="1" w:styleId="StyleHeading4Left0Firstline0Char">
    <w:name w:val="Style Heading 4 + Left:  0&quot; First line:  0&quot; Char"/>
    <w:rPr>
      <w:b/>
      <w:bCs w:val="0"/>
      <w:i/>
      <w:iCs w:val="0"/>
      <w:noProof w:val="0"/>
      <w:snapToGrid w:val="0"/>
      <w:color w:val="000000"/>
      <w:sz w:val="24"/>
      <w:lang w:val="en-GB" w:eastAsia="zh-CN"/>
    </w:rPr>
  </w:style>
  <w:style w:type="character" w:customStyle="1" w:styleId="ECMStableheaderChar">
    <w:name w:val="ECMS table header Char"/>
    <w:rPr>
      <w:b/>
      <w:bCs w:val="0"/>
      <w:noProof w:val="0"/>
      <w:sz w:val="24"/>
      <w:lang w:val="en-GB" w:eastAsia="en-GB"/>
    </w:rPr>
  </w:style>
  <w:style w:type="character" w:customStyle="1" w:styleId="maintext1">
    <w:name w:val="maintext1"/>
    <w:rPr>
      <w:rFonts w:ascii="Verdana" w:hAnsi="Verdana" w:hint="default"/>
      <w:sz w:val="20"/>
    </w:rPr>
  </w:style>
  <w:style w:type="character" w:customStyle="1" w:styleId="CharChar40">
    <w:name w:val="Char Char4"/>
    <w:locked/>
    <w:rPr>
      <w:noProof w:val="0"/>
      <w:sz w:val="24"/>
      <w:lang w:val="en-US" w:eastAsia="en-AU"/>
    </w:rPr>
  </w:style>
  <w:style w:type="character" w:customStyle="1" w:styleId="apple-style-span">
    <w:name w:val="apple-style-span"/>
    <w:rPr>
      <w:rFonts w:ascii="Times New Roman" w:hAnsi="Times New Roman" w:cs="Times New Roman" w:hint="default"/>
    </w:rPr>
  </w:style>
  <w:style w:type="character" w:customStyle="1" w:styleId="CharChar5">
    <w:name w:val="Char Char5"/>
    <w:locked/>
    <w:rPr>
      <w:rFonts w:ascii="Tahoma" w:hAnsi="Tahoma" w:cs="Times New Roman Bold" w:hint="default"/>
      <w:noProof w:val="0"/>
      <w:sz w:val="16"/>
      <w:lang w:val="en-US" w:eastAsia="en-US"/>
    </w:rPr>
  </w:style>
  <w:style w:type="character" w:customStyle="1" w:styleId="apple-converted-space">
    <w:name w:val="apple-converted-space"/>
    <w:rPr>
      <w:rFonts w:ascii="Times New Roman" w:hAnsi="Times New Roman" w:cs="Times New Roman" w:hint="default"/>
    </w:rPr>
  </w:style>
  <w:style w:type="character" w:customStyle="1" w:styleId="CharChar30">
    <w:name w:val="Char Char3"/>
    <w:locked/>
    <w:rPr>
      <w:noProof w:val="0"/>
      <w:color w:val="000000"/>
      <w:sz w:val="24"/>
      <w:lang w:val="en-GB" w:eastAsia="en-US"/>
    </w:rPr>
  </w:style>
  <w:style w:type="paragraph" w:customStyle="1" w:styleId="listparagraphcxspmiddle">
    <w:name w:val="listparagraphcxspmiddle"/>
    <w:basedOn w:val="Normal"/>
    <w:pPr>
      <w:spacing w:before="100" w:after="100"/>
    </w:pPr>
    <w:rPr>
      <w:color w:val="auto"/>
      <w:lang w:val="en-US"/>
    </w:rPr>
  </w:style>
  <w:style w:type="paragraph" w:customStyle="1" w:styleId="StyleBodyText1After6pt">
    <w:name w:val="Style Body Text1 + After:  6 pt"/>
    <w:basedOn w:val="BodyText10"/>
    <w:rPr>
      <w:szCs w:val="20"/>
    </w:rPr>
  </w:style>
  <w:style w:type="character" w:customStyle="1" w:styleId="DocumentMapChar">
    <w:name w:val="Document Map Char"/>
    <w:uiPriority w:val="99"/>
    <w:semiHidden/>
    <w:rPr>
      <w:rFonts w:ascii="Times New Roman" w:hAnsi="Times New Roman" w:cs="Times New Roman"/>
      <w:color w:val="000000"/>
      <w:sz w:val="0"/>
      <w:szCs w:val="0"/>
    </w:rPr>
  </w:style>
  <w:style w:type="character" w:customStyle="1" w:styleId="SubtitleChar">
    <w:name w:val="Subtitle Char"/>
    <w:uiPriority w:val="11"/>
    <w:rPr>
      <w:rFonts w:ascii="Cambria" w:eastAsia="Times New Roman" w:hAnsi="Cambria" w:cs="Times New Roman"/>
      <w:color w:val="000000"/>
      <w:sz w:val="24"/>
      <w:szCs w:val="24"/>
    </w:rPr>
  </w:style>
  <w:style w:type="character" w:customStyle="1" w:styleId="QuoteChar">
    <w:name w:val="Quote Char"/>
    <w:rPr>
      <w:rFonts w:ascii="Times New Roman" w:hAnsi="Times New Roman"/>
      <w:i/>
      <w:iCs/>
      <w:color w:val="000000"/>
      <w:sz w:val="24"/>
      <w:szCs w:val="24"/>
    </w:rPr>
  </w:style>
  <w:style w:type="character" w:customStyle="1" w:styleId="IntenseQuoteChar">
    <w:name w:val="Intense Quote Char"/>
    <w:rPr>
      <w:rFonts w:ascii="Times New Roman" w:hAnsi="Times New Roman"/>
      <w:b/>
      <w:bCs/>
      <w:i/>
      <w:iCs/>
      <w:color w:val="4F81BD"/>
      <w:sz w:val="24"/>
      <w:szCs w:val="24"/>
    </w:rPr>
  </w:style>
  <w:style w:type="character" w:customStyle="1" w:styleId="A00">
    <w:name w:val="A0"/>
    <w:rPr>
      <w:rFonts w:cs="Arial Unicode MS"/>
      <w:color w:val="000000"/>
      <w:sz w:val="22"/>
      <w:szCs w:val="22"/>
    </w:rPr>
  </w:style>
  <w:style w:type="character" w:customStyle="1" w:styleId="HTMLPreformattedChar">
    <w:name w:val="HTML Preformatted Char"/>
    <w:rPr>
      <w:rFonts w:ascii="Courier New" w:eastAsia="Times New Roman" w:hAnsi="Courier New" w:cs="Times"/>
    </w:rPr>
  </w:style>
  <w:style w:type="character" w:customStyle="1" w:styleId="srch-url21">
    <w:name w:val="srch-url21"/>
    <w:rPr>
      <w:color w:val="5E4606"/>
      <w:u w:val="single"/>
    </w:rPr>
  </w:style>
  <w:style w:type="character" w:customStyle="1" w:styleId="Titre2Car">
    <w:name w:val="Titre 2 Car"/>
    <w:aliases w:val="SubPara (a) Car,Heading 2 Char1 Char Car,SubPara (a) Char1 Char Car,Heading 2 Char3 Char Char Car,Heading 2 Char Char2 Char Char Car,Heading 2 Char1 Char Char1 Char Char Car,SubPara (a) Char Char Char1 Char Char Car,Heading 2 C.. Car"/>
    <w:locked/>
    <w:rPr>
      <w:rFonts w:ascii="Cambria" w:hAnsi="Cambria" w:cs="Times New Roman"/>
      <w:b/>
      <w:bCs/>
      <w:i/>
      <w:iCs/>
      <w:noProof w:val="0"/>
      <w:sz w:val="28"/>
      <w:szCs w:val="28"/>
      <w:lang w:val="en-AU" w:eastAsia="en-AU"/>
    </w:rPr>
  </w:style>
  <w:style w:type="character" w:customStyle="1" w:styleId="Titre3Car">
    <w:name w:val="Titre 3 Car"/>
    <w:aliases w:val="Heading 3 Char1 Char Car,Heading 3 Char Char Char Car,Char Char Char Char Car,Char Char1 Char Car,Sec Car"/>
    <w:locked/>
    <w:rPr>
      <w:rFonts w:cs="Times New Roman"/>
      <w:b/>
      <w:i/>
      <w:iCs/>
      <w:noProof w:val="0"/>
      <w:color w:val="000000"/>
      <w:sz w:val="24"/>
      <w:szCs w:val="24"/>
      <w:lang w:val="en-GB" w:eastAsia="en-US"/>
    </w:rPr>
  </w:style>
  <w:style w:type="character" w:customStyle="1" w:styleId="Titre4Car">
    <w:name w:val="Titre 4 Car"/>
    <w:aliases w:val="MainPara Car"/>
    <w:locked/>
    <w:rPr>
      <w:rFonts w:cs="Times New Roman"/>
      <w:bCs/>
      <w:i/>
      <w:noProof w:val="0"/>
      <w:sz w:val="28"/>
      <w:szCs w:val="28"/>
      <w:lang w:val="en-AU" w:eastAsia="en-AU"/>
    </w:rPr>
  </w:style>
  <w:style w:type="character" w:customStyle="1" w:styleId="Titre5Car">
    <w:name w:val="Titre 5 Car"/>
    <w:aliases w:val="Subpara 2 Car"/>
    <w:semiHidden/>
    <w:locked/>
    <w:rPr>
      <w:rFonts w:ascii="Calibri" w:hAnsi="Calibri" w:cs="Arial"/>
      <w:b/>
      <w:bCs/>
      <w:i/>
      <w:iCs/>
      <w:noProof w:val="0"/>
      <w:sz w:val="26"/>
      <w:szCs w:val="26"/>
      <w:lang w:val="en-AU" w:eastAsia="en-AU"/>
    </w:rPr>
  </w:style>
  <w:style w:type="character" w:customStyle="1" w:styleId="Titre6Car">
    <w:name w:val="Titre 6 Car"/>
    <w:semiHidden/>
    <w:locked/>
    <w:rPr>
      <w:rFonts w:ascii="Calibri" w:hAnsi="Calibri" w:cs="Arial"/>
      <w:b/>
      <w:bCs/>
      <w:noProof w:val="0"/>
      <w:lang w:val="en-AU" w:eastAsia="en-AU"/>
    </w:rPr>
  </w:style>
  <w:style w:type="character" w:customStyle="1" w:styleId="Titre7Car">
    <w:name w:val="Titre 7 Car"/>
    <w:aliases w:val="Subpara 4 Car"/>
    <w:semiHidden/>
    <w:locked/>
    <w:rPr>
      <w:rFonts w:ascii="Calibri" w:hAnsi="Calibri" w:cs="Arial"/>
      <w:noProof w:val="0"/>
      <w:sz w:val="24"/>
      <w:szCs w:val="24"/>
      <w:lang w:val="en-AU" w:eastAsia="en-AU"/>
    </w:rPr>
  </w:style>
  <w:style w:type="character" w:customStyle="1" w:styleId="Titre8Car">
    <w:name w:val="Titre 8 Car"/>
    <w:aliases w:val="Subpara 5 Car"/>
    <w:semiHidden/>
    <w:locked/>
    <w:rPr>
      <w:rFonts w:ascii="Calibri" w:hAnsi="Calibri" w:cs="Arial"/>
      <w:i/>
      <w:iCs/>
      <w:noProof w:val="0"/>
      <w:sz w:val="24"/>
      <w:szCs w:val="24"/>
      <w:lang w:val="en-AU" w:eastAsia="en-AU"/>
    </w:rPr>
  </w:style>
  <w:style w:type="character" w:customStyle="1" w:styleId="Titre9Car">
    <w:name w:val="Titre 9 Car"/>
    <w:aliases w:val="Subpara 6 Car"/>
    <w:semiHidden/>
    <w:locked/>
    <w:rPr>
      <w:rFonts w:ascii="Cambria" w:hAnsi="Cambria" w:cs="Times New Roman"/>
      <w:noProof w:val="0"/>
      <w:lang w:val="en-AU" w:eastAsia="en-AU"/>
    </w:rPr>
  </w:style>
  <w:style w:type="character" w:customStyle="1" w:styleId="TextedebullesCar">
    <w:name w:val="Texte de bulles Car"/>
    <w:semiHidden/>
    <w:locked/>
    <w:rPr>
      <w:rFonts w:cs="Times New Roman"/>
      <w:noProof w:val="0"/>
      <w:sz w:val="2"/>
      <w:lang w:val="en-AU" w:eastAsia="en-AU"/>
    </w:rPr>
  </w:style>
  <w:style w:type="character" w:customStyle="1" w:styleId="CorpsdetexteCar">
    <w:name w:val="Corps de texte Car"/>
    <w:aliases w:val="Char Char Car,Body Text Char Char Char Char Char Car,Body Text Char Char Char Char Car"/>
    <w:locked/>
    <w:rPr>
      <w:rFonts w:cs="Times New Roman"/>
      <w:noProof w:val="0"/>
      <w:sz w:val="24"/>
      <w:szCs w:val="24"/>
      <w:lang w:val="en-AU" w:eastAsia="en-AU"/>
    </w:rPr>
  </w:style>
  <w:style w:type="paragraph" w:customStyle="1" w:styleId="PrformatHTML">
    <w:name w:val="Préformaté HTML"/>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MS Mincho" w:hAnsi="Courier New"/>
      <w:color w:val="auto"/>
      <w:sz w:val="20"/>
      <w:lang w:val="en-US"/>
    </w:rPr>
  </w:style>
  <w:style w:type="character" w:customStyle="1" w:styleId="PrformatHTMLCar">
    <w:name w:val="Préformaté HTML Car"/>
    <w:semiHidden/>
    <w:locked/>
    <w:rPr>
      <w:rFonts w:ascii="Courier New" w:hAnsi="Courier New" w:cs="Chicago"/>
      <w:noProof w:val="0"/>
      <w:sz w:val="20"/>
      <w:szCs w:val="20"/>
      <w:lang w:val="en-AU" w:eastAsia="en-AU"/>
    </w:rPr>
  </w:style>
  <w:style w:type="character" w:customStyle="1" w:styleId="RetraitcorpsdetexteCar">
    <w:name w:val="Retrait corps de texte Car"/>
    <w:semiHidden/>
    <w:locked/>
    <w:rPr>
      <w:rFonts w:cs="Times New Roman"/>
      <w:noProof w:val="0"/>
      <w:sz w:val="24"/>
      <w:szCs w:val="24"/>
      <w:lang w:val="en-AU" w:eastAsia="en-AU"/>
    </w:rPr>
  </w:style>
  <w:style w:type="character" w:customStyle="1" w:styleId="Retraitcorpset1religCar">
    <w:name w:val="Retrait corps et 1re lig. Car"/>
    <w:basedOn w:val="RetraitcorpsdetexteCar"/>
    <w:semiHidden/>
    <w:locked/>
    <w:rPr>
      <w:rFonts w:cs="Times New Roman"/>
      <w:noProof w:val="0"/>
      <w:sz w:val="24"/>
      <w:szCs w:val="24"/>
      <w:lang w:val="en-AU" w:eastAsia="en-AU"/>
    </w:rPr>
  </w:style>
  <w:style w:type="character" w:customStyle="1" w:styleId="CommentaireCar">
    <w:name w:val="Commentaire Car"/>
    <w:locked/>
    <w:rPr>
      <w:rFonts w:eastAsia="Times New Roman"/>
      <w:noProof w:val="0"/>
      <w:lang w:val="en-AU" w:eastAsia="en-AU"/>
    </w:rPr>
  </w:style>
  <w:style w:type="paragraph" w:customStyle="1" w:styleId="Objetducommentaire">
    <w:name w:val="Objet du commentaire"/>
    <w:basedOn w:val="CommentText"/>
    <w:next w:val="CommentText"/>
    <w:semiHidden/>
    <w:pPr>
      <w:widowControl/>
      <w:spacing w:after="0"/>
    </w:pPr>
    <w:rPr>
      <w:rFonts w:ascii="Times New Roman" w:hAnsi="Times New Roman"/>
      <w:b/>
      <w:lang w:val="en-AU"/>
    </w:rPr>
  </w:style>
  <w:style w:type="character" w:customStyle="1" w:styleId="ObjetducommentaireCar">
    <w:name w:val="Objet du commentaire Car"/>
    <w:locked/>
    <w:rPr>
      <w:rFonts w:eastAsia="Times New Roman" w:cs="Times New Roman"/>
      <w:b/>
      <w:noProof w:val="0"/>
      <w:lang w:val="en-AU" w:eastAsia="en-AU"/>
    </w:rPr>
  </w:style>
  <w:style w:type="paragraph" w:customStyle="1" w:styleId="En-ttedetabledesmatires">
    <w:name w:val="En-tête de table des matières"/>
    <w:basedOn w:val="Heading1"/>
    <w:next w:val="Normal"/>
    <w:qFormat/>
    <w:pPr>
      <w:keepLines/>
      <w:spacing w:before="480" w:after="0" w:line="276" w:lineRule="auto"/>
      <w:ind w:left="0" w:firstLine="0"/>
      <w:outlineLvl w:val="9"/>
    </w:pPr>
    <w:rPr>
      <w:rFonts w:ascii="Cambria" w:eastAsia="MS Mincho" w:hAnsi="Cambria"/>
      <w:color w:val="808080"/>
      <w:lang w:val="fr-FR"/>
    </w:rPr>
  </w:style>
  <w:style w:type="paragraph" w:customStyle="1" w:styleId="Paragraphedeliste">
    <w:name w:val="Paragraphe de liste"/>
    <w:basedOn w:val="Normal"/>
    <w:qFormat/>
    <w:pPr>
      <w:spacing w:after="0"/>
    </w:pPr>
    <w:rPr>
      <w:rFonts w:eastAsia="MS Mincho"/>
      <w:color w:val="auto"/>
      <w:sz w:val="24"/>
      <w:lang w:val="en-AU"/>
    </w:rPr>
  </w:style>
  <w:style w:type="character" w:customStyle="1" w:styleId="bold0">
    <w:name w:val="bold"/>
    <w:rPr>
      <w:rFonts w:cs="Times New Roman"/>
    </w:rPr>
  </w:style>
  <w:style w:type="paragraph" w:customStyle="1" w:styleId="first">
    <w:name w:val="first"/>
    <w:basedOn w:val="Normal"/>
    <w:pPr>
      <w:spacing w:before="100" w:after="100"/>
    </w:pPr>
    <w:rPr>
      <w:rFonts w:eastAsia="MS Mincho"/>
      <w:color w:val="auto"/>
      <w:sz w:val="24"/>
      <w:lang w:val="fr-FR"/>
    </w:rPr>
  </w:style>
  <w:style w:type="character" w:customStyle="1" w:styleId="En-tteCar">
    <w:name w:val="En-tête Car"/>
    <w:locked/>
    <w:rPr>
      <w:rFonts w:cs="Times New Roman"/>
      <w:noProof w:val="0"/>
      <w:sz w:val="24"/>
      <w:szCs w:val="24"/>
      <w:lang w:val="en-AU" w:eastAsia="en-AU"/>
    </w:rPr>
  </w:style>
  <w:style w:type="character" w:customStyle="1" w:styleId="PieddepageCar">
    <w:name w:val="Pied de page Car"/>
    <w:locked/>
    <w:rPr>
      <w:rFonts w:cs="Times New Roman"/>
      <w:noProof w:val="0"/>
      <w:sz w:val="24"/>
      <w:szCs w:val="24"/>
      <w:lang w:val="en-AU" w:eastAsia="en-AU"/>
    </w:rPr>
  </w:style>
  <w:style w:type="character" w:customStyle="1" w:styleId="TitreCar">
    <w:name w:val="Titre Car"/>
    <w:locked/>
    <w:rPr>
      <w:rFonts w:ascii="Cambria" w:hAnsi="Cambria" w:cs="Times New Roman"/>
      <w:b/>
      <w:bCs/>
      <w:noProof w:val="0"/>
      <w:kern w:val="28"/>
      <w:sz w:val="32"/>
      <w:szCs w:val="32"/>
      <w:lang w:val="en-AU" w:eastAsia="en-AU"/>
    </w:rPr>
  </w:style>
  <w:style w:type="paragraph" w:customStyle="1" w:styleId="Sansinterligne">
    <w:name w:val="Sans interligne"/>
    <w:qFormat/>
    <w:rPr>
      <w:rFonts w:ascii="Times New Roman" w:eastAsia="MS Mincho" w:hAnsi="Times New Roman"/>
      <w:noProof/>
      <w:sz w:val="24"/>
      <w:lang w:val="nl-NL" w:eastAsia="nl-NL"/>
    </w:rPr>
  </w:style>
  <w:style w:type="character" w:customStyle="1" w:styleId="ExplorateurdedocumentsCar">
    <w:name w:val="Explorateur de documents Car"/>
    <w:semiHidden/>
    <w:locked/>
    <w:rPr>
      <w:rFonts w:ascii="Tahoma" w:hAnsi="Tahoma" w:cs="Times New Roman Bold"/>
      <w:noProof w:val="0"/>
      <w:sz w:val="16"/>
      <w:szCs w:val="16"/>
      <w:lang w:val="en-AU" w:eastAsia="en-AU"/>
    </w:rPr>
  </w:style>
  <w:style w:type="character" w:customStyle="1" w:styleId="hit">
    <w:name w:val="hit"/>
    <w:rPr>
      <w:rFonts w:cs="Times New Roman"/>
    </w:rPr>
  </w:style>
  <w:style w:type="character" w:customStyle="1" w:styleId="NotedebasdepageCar">
    <w:name w:val="Note de bas de page Car"/>
    <w:locked/>
    <w:rPr>
      <w:rFonts w:cs="Times New Roman"/>
      <w:noProof w:val="0"/>
      <w:sz w:val="24"/>
      <w:szCs w:val="24"/>
      <w:lang w:val="en-AU" w:eastAsia="en-AU"/>
    </w:rPr>
  </w:style>
  <w:style w:type="paragraph" w:customStyle="1" w:styleId="Rvision">
    <w:name w:val="Révision"/>
    <w:hidden/>
    <w:semiHidden/>
    <w:rPr>
      <w:rFonts w:ascii="Times New Roman" w:eastAsia="MS Mincho" w:hAnsi="Times New Roman"/>
      <w:sz w:val="24"/>
      <w:lang w:eastAsia="nl-NL"/>
    </w:rPr>
  </w:style>
  <w:style w:type="paragraph" w:customStyle="1" w:styleId="Ref">
    <w:name w:val="Ref"/>
    <w:basedOn w:val="Footnote"/>
    <w:pPr>
      <w:autoSpaceDE w:val="0"/>
      <w:autoSpaceDN w:val="0"/>
      <w:adjustRightInd w:val="0"/>
    </w:pPr>
    <w:rPr>
      <w:rFonts w:ascii="Calibri" w:eastAsia="MS Mincho" w:hAnsi="Calibri"/>
    </w:rPr>
  </w:style>
  <w:style w:type="character" w:customStyle="1" w:styleId="SansinterligneCar">
    <w:name w:val="Sans interligne Car"/>
    <w:rPr>
      <w:sz w:val="24"/>
      <w:szCs w:val="24"/>
      <w:lang w:bidi="ar-SA"/>
    </w:rPr>
  </w:style>
  <w:style w:type="paragraph" w:customStyle="1" w:styleId="Hea">
    <w:name w:val="Hea"/>
    <w:pPr>
      <w:autoSpaceDE w:val="0"/>
      <w:autoSpaceDN w:val="0"/>
    </w:pPr>
    <w:rPr>
      <w:rFonts w:ascii="Times New Roman" w:hAnsi="Times New Roman"/>
      <w:sz w:val="24"/>
      <w:lang w:val="en-US" w:eastAsia="nl-NL"/>
    </w:rPr>
  </w:style>
  <w:style w:type="paragraph" w:customStyle="1" w:styleId="PageImage">
    <w:name w:val="PageImage"/>
    <w:pPr>
      <w:autoSpaceDE w:val="0"/>
      <w:autoSpaceDN w:val="0"/>
      <w:spacing w:before="240"/>
      <w:jc w:val="center"/>
    </w:pPr>
    <w:rPr>
      <w:rFonts w:ascii="Times New Roman" w:hAnsi="Times New Roman"/>
      <w:lang w:eastAsia="nl-NL"/>
    </w:rPr>
  </w:style>
  <w:style w:type="paragraph" w:customStyle="1" w:styleId="Italicindent">
    <w:name w:val="Italic indent"/>
    <w:pPr>
      <w:autoSpaceDE w:val="0"/>
      <w:autoSpaceDN w:val="0"/>
      <w:spacing w:after="200" w:line="276" w:lineRule="auto"/>
      <w:ind w:left="1701" w:right="662"/>
    </w:pPr>
    <w:rPr>
      <w:rFonts w:ascii="Calibri" w:hAnsi="Calibri"/>
      <w:i/>
      <w:color w:val="000000"/>
      <w:lang w:val="en-GB" w:eastAsia="nl-NL"/>
    </w:rPr>
  </w:style>
  <w:style w:type="paragraph" w:customStyle="1" w:styleId="a9">
    <w:name w:val="("/>
    <w:pPr>
      <w:autoSpaceDE w:val="0"/>
      <w:autoSpaceDN w:val="0"/>
      <w:spacing w:after="160" w:line="240" w:lineRule="exact"/>
    </w:pPr>
    <w:rPr>
      <w:rFonts w:ascii="Times New Roman" w:hAnsi="Times New Roman"/>
      <w:lang w:val="en-US" w:eastAsia="nl-NL"/>
    </w:rPr>
  </w:style>
  <w:style w:type="character" w:customStyle="1" w:styleId="style61">
    <w:name w:val="style61"/>
    <w:rPr>
      <w:rFonts w:ascii="Verdana" w:hAnsi="Verdana" w:cs="Arial Narrow"/>
      <w:b/>
      <w:bCs/>
      <w:color w:val="808080"/>
      <w:sz w:val="24"/>
      <w:szCs w:val="24"/>
    </w:rPr>
  </w:style>
  <w:style w:type="paragraph" w:customStyle="1" w:styleId="Rvision1">
    <w:name w:val="Révision1"/>
    <w:hidden/>
    <w:semiHidden/>
    <w:rPr>
      <w:rFonts w:ascii="Times New Roman" w:eastAsia="MS Mincho" w:hAnsi="Times New Roman"/>
      <w:sz w:val="24"/>
      <w:szCs w:val="24"/>
      <w:lang w:val="en-US"/>
    </w:rPr>
  </w:style>
  <w:style w:type="paragraph" w:customStyle="1" w:styleId="Bibliographie1">
    <w:name w:val="Bibliographie1"/>
    <w:basedOn w:val="Normal"/>
    <w:next w:val="Normal"/>
    <w:pPr>
      <w:spacing w:before="120" w:after="120"/>
      <w:ind w:left="1134"/>
      <w:jc w:val="both"/>
    </w:pPr>
    <w:rPr>
      <w:rFonts w:ascii="Calibri" w:eastAsia="SimSun" w:hAnsi="Calibri"/>
      <w:color w:val="auto"/>
      <w:szCs w:val="22"/>
    </w:rPr>
  </w:style>
  <w:style w:type="paragraph" w:customStyle="1" w:styleId="Sansinterligne1">
    <w:name w:val="Sans interligne1"/>
    <w:basedOn w:val="Normal"/>
    <w:locked/>
    <w:pPr>
      <w:spacing w:after="0"/>
    </w:pPr>
    <w:rPr>
      <w:rFonts w:ascii="Arial" w:hAnsi="Arial" w:cs="Century"/>
      <w:color w:val="auto"/>
      <w:szCs w:val="22"/>
      <w:lang w:eastAsia="en-US"/>
    </w:rPr>
  </w:style>
  <w:style w:type="paragraph" w:customStyle="1" w:styleId="Citation1">
    <w:name w:val="Citation1"/>
    <w:basedOn w:val="Normal"/>
    <w:next w:val="Normal"/>
    <w:locked/>
    <w:pPr>
      <w:spacing w:before="200" w:after="0"/>
      <w:ind w:left="360" w:right="360"/>
    </w:pPr>
    <w:rPr>
      <w:i/>
      <w:iCs/>
      <w:sz w:val="24"/>
      <w:szCs w:val="24"/>
      <w:lang w:val="en-US" w:eastAsia="en-US"/>
    </w:rPr>
  </w:style>
  <w:style w:type="paragraph" w:customStyle="1" w:styleId="Citationintense1">
    <w:name w:val="Citation intense1"/>
    <w:basedOn w:val="Normal"/>
    <w:next w:val="Normal"/>
    <w:locked/>
    <w:pPr>
      <w:pBdr>
        <w:bottom w:val="single" w:sz="4" w:space="1" w:color="auto"/>
      </w:pBdr>
      <w:spacing w:before="200" w:after="280"/>
      <w:ind w:left="1008" w:right="1152"/>
      <w:jc w:val="both"/>
    </w:pPr>
    <w:rPr>
      <w:b/>
      <w:bCs/>
      <w:i/>
      <w:iCs/>
      <w:color w:val="4F81BD"/>
      <w:sz w:val="24"/>
      <w:szCs w:val="24"/>
      <w:lang w:val="en-US" w:eastAsia="en-US"/>
    </w:rPr>
  </w:style>
  <w:style w:type="character" w:customStyle="1" w:styleId="Emphaseple1">
    <w:name w:val="Emphase pâle1"/>
    <w:locked/>
    <w:rPr>
      <w:i/>
    </w:rPr>
  </w:style>
  <w:style w:type="character" w:customStyle="1" w:styleId="Emphaseintense1">
    <w:name w:val="Emphase intense1"/>
    <w:locked/>
    <w:rPr>
      <w:b/>
    </w:rPr>
  </w:style>
  <w:style w:type="character" w:customStyle="1" w:styleId="Rfrenceple1">
    <w:name w:val="Référence pâle1"/>
    <w:locked/>
    <w:rPr>
      <w:smallCaps/>
    </w:rPr>
  </w:style>
  <w:style w:type="character" w:customStyle="1" w:styleId="Rfrenceintense1">
    <w:name w:val="Référence intense1"/>
    <w:locked/>
    <w:rPr>
      <w:smallCaps/>
      <w:spacing w:val="5"/>
      <w:u w:val="single"/>
    </w:rPr>
  </w:style>
  <w:style w:type="character" w:customStyle="1" w:styleId="Titredulivre1">
    <w:name w:val="Titre du livre1"/>
    <w:locked/>
    <w:rPr>
      <w:i/>
      <w:smallCaps/>
      <w:spacing w:val="5"/>
    </w:rPr>
  </w:style>
  <w:style w:type="paragraph" w:customStyle="1" w:styleId="En-ttedetabledesmatires1">
    <w:name w:val="En-tête de table des matières1"/>
    <w:basedOn w:val="Heading1"/>
    <w:next w:val="Normal"/>
    <w:locked/>
    <w:pPr>
      <w:keepLines/>
      <w:tabs>
        <w:tab w:val="left" w:pos="851"/>
      </w:tabs>
      <w:spacing w:before="0"/>
      <w:ind w:left="1100" w:hanging="660"/>
      <w:outlineLvl w:val="9"/>
    </w:pPr>
    <w:rPr>
      <w:rFonts w:ascii="Arial" w:hAnsi="Arial"/>
      <w:bCs/>
      <w:color w:val="auto"/>
      <w:sz w:val="32"/>
      <w:szCs w:val="28"/>
      <w:lang w:val="nb-NO" w:eastAsia="en-US"/>
    </w:rPr>
  </w:style>
  <w:style w:type="paragraph" w:customStyle="1" w:styleId="BodyText11">
    <w:name w:val="Body Text11"/>
    <w:basedOn w:val="Normal"/>
    <w:pPr>
      <w:spacing w:after="0"/>
    </w:pPr>
  </w:style>
  <w:style w:type="paragraph" w:customStyle="1" w:styleId="paraindentFootnoteQPS">
    <w:name w:val="para indent Footnote QPS"/>
    <w:basedOn w:val="FootnoteText"/>
    <w:pPr>
      <w:widowControl/>
      <w:spacing w:after="0"/>
      <w:ind w:left="426" w:hanging="284"/>
    </w:pPr>
    <w:rPr>
      <w:rFonts w:ascii="Calibri" w:hAnsi="Calibri"/>
      <w:color w:val="000000"/>
      <w:sz w:val="16"/>
      <w:szCs w:val="18"/>
      <w:lang w:val="en-NZ" w:eastAsia="en-US"/>
    </w:rPr>
  </w:style>
  <w:style w:type="paragraph" w:customStyle="1" w:styleId="Paragraphedeliste1">
    <w:name w:val="Paragraphe de liste1"/>
    <w:basedOn w:val="Normal"/>
    <w:pPr>
      <w:ind w:left="720"/>
      <w:contextualSpacing/>
    </w:pPr>
  </w:style>
  <w:style w:type="paragraph" w:customStyle="1" w:styleId="yiv587168716msonormal">
    <w:name w:val="yiv587168716msonormal"/>
    <w:basedOn w:val="Normal"/>
    <w:pPr>
      <w:spacing w:before="100" w:beforeAutospacing="1" w:after="100" w:afterAutospacing="1"/>
    </w:pPr>
    <w:rPr>
      <w:color w:val="auto"/>
      <w:sz w:val="24"/>
      <w:szCs w:val="24"/>
      <w:lang w:val="en-AU" w:eastAsia="en-AU"/>
    </w:rPr>
  </w:style>
  <w:style w:type="paragraph" w:customStyle="1" w:styleId="Paragraphedeliste11">
    <w:name w:val="Paragraphe de liste11"/>
    <w:basedOn w:val="Normal"/>
    <w:pPr>
      <w:ind w:left="720"/>
      <w:contextualSpacing/>
    </w:pPr>
  </w:style>
  <w:style w:type="character" w:customStyle="1" w:styleId="st1">
    <w:name w:val="st1"/>
  </w:style>
  <w:style w:type="character" w:customStyle="1" w:styleId="Heading1Char21">
    <w:name w:val="Heading 1 Char21"/>
    <w:aliases w:val="Para (1) Char3,Heading 1 Char1 Char Char11,Heading 1 Char Char Char Char2,Para (1) Char Char Char Char2,Para (1) Char1 Char Char2,Heading 1 Char1 Char11,Heading 1 Char Char Char11,Para (1) Char Char Char11,Para (1) Char1 Char11"/>
    <w:rPr>
      <w:b/>
      <w:bCs/>
      <w:noProof w:val="0"/>
      <w:color w:val="000000"/>
      <w:sz w:val="28"/>
      <w:szCs w:val="28"/>
      <w:lang w:val="en-GB"/>
    </w:rPr>
  </w:style>
  <w:style w:type="character" w:customStyle="1" w:styleId="CharChar8">
    <w:name w:val="Char Char8"/>
    <w:locked/>
    <w:rPr>
      <w:rFonts w:ascii="Times New Roman" w:hAnsi="Times New Roman"/>
      <w:noProof w:val="0"/>
      <w:sz w:val="24"/>
      <w:lang w:eastAsia="ja-JP"/>
    </w:rPr>
  </w:style>
  <w:style w:type="character" w:customStyle="1" w:styleId="CharChar100">
    <w:name w:val="Char Char10"/>
    <w:semiHidden/>
    <w:locked/>
    <w:rPr>
      <w:rFonts w:ascii="Times New Roman" w:hAnsi="Times New Roman"/>
      <w:noProof w:val="0"/>
      <w:color w:val="000000"/>
      <w:sz w:val="20"/>
      <w:lang w:val="en-GB" w:eastAsia="zh-CN"/>
    </w:rPr>
  </w:style>
  <w:style w:type="character" w:styleId="HTMLCite">
    <w:name w:val="HTML Cite"/>
    <w:uiPriority w:val="99"/>
    <w:semiHidden/>
    <w:rPr>
      <w:rFonts w:cs="Times New Roman"/>
      <w:i/>
      <w:iCs/>
    </w:rPr>
  </w:style>
  <w:style w:type="character" w:customStyle="1" w:styleId="st">
    <w:name w:val="st"/>
  </w:style>
  <w:style w:type="paragraph" w:customStyle="1" w:styleId="TitleofManuscript">
    <w:name w:val="Title of Manuscript"/>
    <w:basedOn w:val="Normal"/>
    <w:pPr>
      <w:spacing w:after="0"/>
    </w:pPr>
    <w:rPr>
      <w:b/>
      <w:bCs/>
      <w:spacing w:val="-4"/>
      <w:sz w:val="32"/>
      <w:szCs w:val="32"/>
      <w:lang w:val="en-CA" w:eastAsia="en-CA"/>
    </w:rPr>
  </w:style>
  <w:style w:type="character" w:customStyle="1" w:styleId="author2">
    <w:name w:val="author2"/>
    <w:rPr>
      <w:rFonts w:cs="Times New Roman"/>
    </w:rPr>
  </w:style>
  <w:style w:type="character" w:customStyle="1" w:styleId="al-hide">
    <w:name w:val="al-hide"/>
    <w:rPr>
      <w:rFonts w:cs="Times New Roman"/>
    </w:rPr>
  </w:style>
  <w:style w:type="character" w:customStyle="1" w:styleId="al-vis">
    <w:name w:val="al-vis"/>
    <w:rPr>
      <w:rFonts w:cs="Times New Roman"/>
    </w:rPr>
  </w:style>
  <w:style w:type="character" w:customStyle="1" w:styleId="container2">
    <w:name w:val="container2"/>
    <w:rPr>
      <w:rFonts w:cs="Times New Roman"/>
    </w:rPr>
  </w:style>
  <w:style w:type="character" w:customStyle="1" w:styleId="year">
    <w:name w:val="year"/>
    <w:rPr>
      <w:rFonts w:cs="Times New Roman"/>
    </w:rPr>
  </w:style>
  <w:style w:type="character" w:customStyle="1" w:styleId="Para10">
    <w:name w:val="Para (1) ("/>
    <w:rPr>
      <w:b/>
      <w:bCs/>
      <w:noProof w:val="0"/>
      <w:kern w:val="32"/>
      <w:sz w:val="32"/>
      <w:szCs w:val="32"/>
      <w:lang w:val="en-US"/>
    </w:rPr>
  </w:style>
  <w:style w:type="paragraph" w:customStyle="1" w:styleId="aa">
    <w:name w:val="文字)"/>
    <w:pPr>
      <w:widowControl w:val="0"/>
      <w:autoSpaceDE w:val="0"/>
      <w:autoSpaceDN w:val="0"/>
    </w:pPr>
    <w:rPr>
      <w:rFonts w:ascii="Times New Roman" w:hAnsi="Times New Roman"/>
      <w:b/>
      <w:spacing w:val="-1"/>
      <w:kern w:val="32"/>
      <w:position w:val="-1"/>
      <w:sz w:val="32"/>
      <w:lang w:val="en-US"/>
    </w:rPr>
  </w:style>
  <w:style w:type="character" w:customStyle="1" w:styleId="SubParaa0">
    <w:name w:val="SubPara (a) ("/>
    <w:rPr>
      <w:b/>
      <w:bCs/>
      <w:i/>
      <w:iCs/>
      <w:noProof w:val="0"/>
      <w:kern w:val="2"/>
      <w:sz w:val="28"/>
      <w:szCs w:val="28"/>
      <w:lang w:val="en-US"/>
    </w:rPr>
  </w:style>
  <w:style w:type="character" w:customStyle="1" w:styleId="5">
    <w:name w:val="(5"/>
    <w:rPr>
      <w:b/>
      <w:bCs/>
      <w:noProof w:val="0"/>
      <w:sz w:val="24"/>
      <w:szCs w:val="24"/>
      <w:lang w:val="en-US"/>
    </w:rPr>
  </w:style>
  <w:style w:type="paragraph" w:customStyle="1" w:styleId="ListParagraph11">
    <w:name w:val="List Paragraph11"/>
    <w:basedOn w:val="Normal"/>
    <w:pPr>
      <w:autoSpaceDE w:val="0"/>
      <w:autoSpaceDN w:val="0"/>
      <w:spacing w:before="100" w:after="100"/>
      <w:ind w:left="720" w:right="720"/>
    </w:pPr>
    <w:rPr>
      <w:i/>
      <w:color w:val="auto"/>
      <w:sz w:val="24"/>
    </w:rPr>
  </w:style>
  <w:style w:type="paragraph" w:customStyle="1" w:styleId="4">
    <w:name w:val="(4"/>
    <w:basedOn w:val="Normal"/>
    <w:pPr>
      <w:tabs>
        <w:tab w:val="num" w:pos="2160"/>
      </w:tabs>
      <w:autoSpaceDE w:val="0"/>
      <w:autoSpaceDN w:val="0"/>
      <w:spacing w:before="100" w:after="160" w:line="240" w:lineRule="exact"/>
      <w:ind w:left="2160" w:right="720" w:hanging="360"/>
    </w:pPr>
    <w:rPr>
      <w:i/>
      <w:color w:val="auto"/>
      <w:sz w:val="20"/>
      <w:lang w:val="en-US"/>
    </w:rPr>
  </w:style>
  <w:style w:type="character" w:customStyle="1" w:styleId="BodyTextIndentChar1">
    <w:name w:val="Body Text Indent Char1"/>
    <w:semiHidden/>
    <w:rPr>
      <w:rFonts w:ascii="Times New Roman" w:hAnsi="Times New Roman" w:cs="Times New Roman"/>
      <w:sz w:val="20"/>
      <w:szCs w:val="20"/>
    </w:rPr>
  </w:style>
  <w:style w:type="character" w:customStyle="1" w:styleId="BodyTextFirstIndent2Char">
    <w:name w:val="Body Text First Indent 2 Char"/>
    <w:basedOn w:val="BodyTextIndentChar1"/>
    <w:semiHidden/>
    <w:rPr>
      <w:rFonts w:ascii="Times New Roman" w:hAnsi="Times New Roman" w:cs="Times New Roman"/>
      <w:sz w:val="20"/>
      <w:szCs w:val="20"/>
    </w:rPr>
  </w:style>
  <w:style w:type="character" w:customStyle="1" w:styleId="CarCar50">
    <w:name w:val="Car Car5"/>
    <w:rPr>
      <w:noProof w:val="0"/>
      <w:sz w:val="24"/>
      <w:szCs w:val="24"/>
      <w:u w:val="single"/>
      <w:lang w:val="en-US"/>
    </w:rPr>
  </w:style>
  <w:style w:type="character" w:customStyle="1" w:styleId="CarCar40">
    <w:name w:val="Car Car4"/>
    <w:rPr>
      <w:b/>
      <w:bCs/>
      <w:noProof w:val="0"/>
      <w:kern w:val="32"/>
      <w:sz w:val="24"/>
      <w:szCs w:val="24"/>
      <w:lang w:val="en-US"/>
    </w:rPr>
  </w:style>
  <w:style w:type="character" w:customStyle="1" w:styleId="CarCar30">
    <w:name w:val="Car Car3"/>
    <w:rPr>
      <w:b/>
      <w:bCs/>
      <w:i/>
      <w:iCs/>
      <w:noProof w:val="0"/>
      <w:kern w:val="32"/>
      <w:sz w:val="26"/>
      <w:szCs w:val="26"/>
      <w:lang w:val="it-IT"/>
    </w:rPr>
  </w:style>
  <w:style w:type="character" w:customStyle="1" w:styleId="CarCar6">
    <w:name w:val="Car Car6"/>
    <w:rPr>
      <w:noProof w:val="0"/>
      <w:sz w:val="24"/>
      <w:szCs w:val="24"/>
      <w:lang w:val="fr-FR"/>
    </w:rPr>
  </w:style>
  <w:style w:type="character" w:customStyle="1" w:styleId="ZchnZchn160">
    <w:name w:val="Zchn Zchn16"/>
    <w:rPr>
      <w:rFonts w:ascii="Arial" w:hAnsi="Arial" w:cs="Arial"/>
      <w:b/>
      <w:bCs/>
      <w:noProof w:val="0"/>
      <w:kern w:val="32"/>
      <w:sz w:val="32"/>
      <w:szCs w:val="32"/>
      <w:lang w:val="en-US"/>
    </w:rPr>
  </w:style>
  <w:style w:type="character" w:customStyle="1" w:styleId="ZchnZchn17">
    <w:name w:val="Zchn Zchn1"/>
    <w:rPr>
      <w:rFonts w:ascii="Cambria" w:hAnsi="Cambria" w:cs="MS Mincho"/>
      <w:b/>
      <w:bCs/>
      <w:noProof w:val="0"/>
      <w:kern w:val="28"/>
      <w:sz w:val="32"/>
      <w:szCs w:val="32"/>
      <w:lang w:val="ca-ES"/>
    </w:rPr>
  </w:style>
  <w:style w:type="character" w:customStyle="1" w:styleId="ZchnZchn0">
    <w:name w:val="Zchn Zchn"/>
    <w:rPr>
      <w:rFonts w:ascii="Calibri" w:hAnsi="Calibri" w:cs="Calibri"/>
      <w:noProof w:val="0"/>
      <w:lang w:val="ca-ES"/>
    </w:rPr>
  </w:style>
  <w:style w:type="character" w:customStyle="1" w:styleId="CarCar20">
    <w:name w:val="Car Car2"/>
    <w:rPr>
      <w:noProof w:val="0"/>
      <w:lang w:val="en-US"/>
    </w:rPr>
  </w:style>
  <w:style w:type="character" w:customStyle="1" w:styleId="CarCar10">
    <w:name w:val="Car Car1"/>
    <w:rPr>
      <w:noProof w:val="0"/>
      <w:lang w:val="en-US"/>
    </w:rPr>
  </w:style>
  <w:style w:type="character" w:customStyle="1" w:styleId="ZchnZchn150">
    <w:name w:val="Zchn Zchn15"/>
    <w:rPr>
      <w:rFonts w:ascii="Arial" w:hAnsi="Arial" w:cs="Arial"/>
      <w:b/>
      <w:bCs/>
      <w:i/>
      <w:iCs/>
      <w:noProof w:val="0"/>
      <w:sz w:val="28"/>
      <w:szCs w:val="28"/>
      <w:lang w:val="en-US"/>
    </w:rPr>
  </w:style>
  <w:style w:type="character" w:customStyle="1" w:styleId="ZchnZchn140">
    <w:name w:val="Zchn Zchn14"/>
    <w:rPr>
      <w:rFonts w:ascii="Arial" w:hAnsi="Arial" w:cs="Arial"/>
      <w:b/>
      <w:bCs/>
      <w:noProof w:val="0"/>
      <w:sz w:val="26"/>
      <w:szCs w:val="26"/>
      <w:lang w:val="en-US"/>
    </w:rPr>
  </w:style>
  <w:style w:type="character" w:customStyle="1" w:styleId="ZchnZchn130">
    <w:name w:val="Zchn Zchn13"/>
    <w:rPr>
      <w:rFonts w:ascii="Arial" w:hAnsi="Arial" w:cs="Arial"/>
      <w:b/>
      <w:bCs/>
      <w:noProof w:val="0"/>
      <w:sz w:val="24"/>
      <w:szCs w:val="24"/>
      <w:lang w:val="de-DE"/>
    </w:rPr>
  </w:style>
  <w:style w:type="character" w:customStyle="1" w:styleId="ZchnZchn120">
    <w:name w:val="Zchn Zchn12"/>
    <w:rPr>
      <w:rFonts w:ascii="Arial" w:hAnsi="Arial" w:cs="Arial"/>
      <w:b/>
      <w:bCs/>
      <w:noProof w:val="0"/>
      <w:sz w:val="24"/>
      <w:szCs w:val="24"/>
      <w:lang w:val="de-DE"/>
    </w:rPr>
  </w:style>
  <w:style w:type="character" w:customStyle="1" w:styleId="ZchnZchn110">
    <w:name w:val="Zchn Zchn11"/>
    <w:rPr>
      <w:rFonts w:ascii="Arial" w:hAnsi="Arial" w:cs="Arial"/>
      <w:b/>
      <w:bCs/>
      <w:noProof w:val="0"/>
      <w:lang w:val="de-DE"/>
    </w:rPr>
  </w:style>
  <w:style w:type="character" w:customStyle="1" w:styleId="ZchnZchn100">
    <w:name w:val="Zchn Zchn10"/>
    <w:rPr>
      <w:rFonts w:ascii="Arial" w:hAnsi="Arial" w:cs="Arial"/>
      <w:b/>
      <w:bCs/>
      <w:noProof w:val="0"/>
      <w:sz w:val="28"/>
      <w:szCs w:val="28"/>
      <w:lang w:val="de-DE"/>
    </w:rPr>
  </w:style>
  <w:style w:type="character" w:customStyle="1" w:styleId="ZchnZchn90">
    <w:name w:val="Zchn Zchn9"/>
    <w:rPr>
      <w:rFonts w:ascii="Arial" w:hAnsi="Arial" w:cs="Arial"/>
      <w:b/>
      <w:bCs/>
      <w:noProof w:val="0"/>
      <w:lang w:val="de-DE"/>
    </w:rPr>
  </w:style>
  <w:style w:type="character" w:customStyle="1" w:styleId="ZchnZchn80">
    <w:name w:val="Zchn Zchn8"/>
    <w:rPr>
      <w:rFonts w:ascii="Arial" w:hAnsi="Arial" w:cs="Arial"/>
      <w:noProof w:val="0"/>
      <w:sz w:val="24"/>
      <w:szCs w:val="24"/>
      <w:lang w:val="de-DE"/>
    </w:rPr>
  </w:style>
  <w:style w:type="character" w:customStyle="1" w:styleId="ZchnZchn40">
    <w:name w:val="Zchn Zchn4"/>
    <w:rPr>
      <w:noProof w:val="0"/>
      <w:sz w:val="24"/>
      <w:szCs w:val="24"/>
      <w:lang w:val="en-US"/>
    </w:rPr>
  </w:style>
  <w:style w:type="character" w:customStyle="1" w:styleId="ZchnZchn70">
    <w:name w:val="Zchn Zchn7"/>
    <w:rPr>
      <w:noProof w:val="0"/>
      <w:sz w:val="24"/>
      <w:szCs w:val="24"/>
      <w:lang w:val="en-US"/>
    </w:rPr>
  </w:style>
  <w:style w:type="character" w:customStyle="1" w:styleId="ZchnZchn60">
    <w:name w:val="Zchn Zchn6"/>
    <w:rPr>
      <w:rFonts w:ascii="Courier New" w:hAnsi="Courier New" w:cs="FrutigerLTStd-Light"/>
      <w:noProof w:val="0"/>
      <w:lang w:val="de-DE"/>
    </w:rPr>
  </w:style>
  <w:style w:type="character" w:customStyle="1" w:styleId="ZchnZchn50">
    <w:name w:val="Zchn Zchn5"/>
    <w:rPr>
      <w:rFonts w:ascii="Arial" w:hAnsi="Arial" w:cs="Arial"/>
      <w:noProof w:val="0"/>
      <w:sz w:val="24"/>
      <w:szCs w:val="24"/>
      <w:lang w:val="de-DE"/>
    </w:rPr>
  </w:style>
  <w:style w:type="character" w:customStyle="1" w:styleId="ZchnZchn30">
    <w:name w:val="Zchn Zchn3"/>
    <w:rPr>
      <w:rFonts w:ascii="Arial" w:hAnsi="Arial" w:cs="Arial"/>
      <w:noProof w:val="0"/>
      <w:sz w:val="24"/>
      <w:szCs w:val="24"/>
      <w:lang w:val="de-DE"/>
    </w:rPr>
  </w:style>
  <w:style w:type="character" w:customStyle="1" w:styleId="CharChar21">
    <w:name w:val="Char Char21"/>
    <w:rPr>
      <w:b/>
      <w:bCs/>
      <w:noProof w:val="0"/>
      <w:color w:val="000000"/>
      <w:sz w:val="28"/>
      <w:szCs w:val="28"/>
      <w:lang w:val="en-GB"/>
    </w:rPr>
  </w:style>
  <w:style w:type="character" w:customStyle="1" w:styleId="CharChar11">
    <w:name w:val="Char Char11"/>
    <w:rPr>
      <w:rFonts w:ascii="Arial" w:hAnsi="Arial" w:cs="Arial"/>
      <w:noProof w:val="0"/>
      <w:lang w:val="en-GB"/>
    </w:rPr>
  </w:style>
  <w:style w:type="character" w:customStyle="1" w:styleId="3">
    <w:name w:val="(3"/>
    <w:rPr>
      <w:noProof w:val="0"/>
      <w:sz w:val="24"/>
      <w:szCs w:val="24"/>
      <w:lang w:val="en-US"/>
    </w:rPr>
  </w:style>
  <w:style w:type="character" w:customStyle="1" w:styleId="2">
    <w:name w:val="(2"/>
    <w:rPr>
      <w:b/>
      <w:bCs/>
      <w:noProof w:val="0"/>
      <w:sz w:val="24"/>
      <w:szCs w:val="24"/>
      <w:lang w:val="en-US"/>
    </w:rPr>
  </w:style>
  <w:style w:type="character" w:customStyle="1" w:styleId="CarCar191">
    <w:name w:val="Car Car191"/>
    <w:rPr>
      <w:noProof w:val="0"/>
      <w:color w:val="000000"/>
      <w:sz w:val="24"/>
      <w:szCs w:val="24"/>
      <w:lang w:val="en-GB"/>
    </w:rPr>
  </w:style>
  <w:style w:type="character" w:customStyle="1" w:styleId="CharChar41">
    <w:name w:val="Char Char41"/>
    <w:rPr>
      <w:noProof w:val="0"/>
      <w:sz w:val="24"/>
      <w:szCs w:val="24"/>
      <w:lang w:val="en-US"/>
    </w:rPr>
  </w:style>
  <w:style w:type="character" w:customStyle="1" w:styleId="CharChar31">
    <w:name w:val="Char Char31"/>
    <w:rPr>
      <w:noProof w:val="0"/>
      <w:color w:val="000000"/>
      <w:sz w:val="24"/>
      <w:szCs w:val="24"/>
      <w:lang w:val="en-GB"/>
    </w:rPr>
  </w:style>
  <w:style w:type="paragraph" w:customStyle="1" w:styleId="15">
    <w:name w:val="(1"/>
    <w:pPr>
      <w:autoSpaceDE w:val="0"/>
      <w:autoSpaceDN w:val="0"/>
      <w:spacing w:after="160" w:line="240" w:lineRule="exact"/>
    </w:pPr>
    <w:rPr>
      <w:rFonts w:ascii="Times New Roman" w:hAnsi="Times New Roman"/>
      <w:sz w:val="24"/>
      <w:lang w:val="en-US"/>
    </w:rPr>
  </w:style>
  <w:style w:type="character" w:customStyle="1" w:styleId="scopustermhighlight">
    <w:name w:val="scopustermhighlight"/>
    <w:rPr>
      <w:rFonts w:ascii="Times New Roman" w:hAnsi="Times New Roman" w:cs="Times New Roman"/>
    </w:rPr>
  </w:style>
  <w:style w:type="paragraph" w:customStyle="1" w:styleId="marginb3">
    <w:name w:val="marginb3"/>
    <w:basedOn w:val="Normal"/>
    <w:pPr>
      <w:autoSpaceDE w:val="0"/>
      <w:autoSpaceDN w:val="0"/>
      <w:spacing w:before="100" w:after="100"/>
      <w:jc w:val="both"/>
    </w:pPr>
    <w:rPr>
      <w:color w:val="auto"/>
      <w:sz w:val="24"/>
      <w:lang w:val="fr-FR"/>
    </w:rPr>
  </w:style>
  <w:style w:type="character" w:customStyle="1" w:styleId="region">
    <w:name w:val="region"/>
    <w:rPr>
      <w:rFonts w:ascii="Times New Roman" w:hAnsi="Times New Roman" w:cs="Times New Roman"/>
    </w:rPr>
  </w:style>
  <w:style w:type="character" w:customStyle="1" w:styleId="documenttype">
    <w:name w:val="documenttype"/>
    <w:rPr>
      <w:rFonts w:ascii="Times New Roman" w:hAnsi="Times New Roman" w:cs="Times New Roman"/>
    </w:rPr>
  </w:style>
  <w:style w:type="paragraph" w:customStyle="1" w:styleId="HTOCReport">
    <w:name w:val="HTOC Report"/>
    <w:basedOn w:val="Normal"/>
    <w:pPr>
      <w:spacing w:after="0"/>
    </w:pPr>
    <w:rPr>
      <w:rFonts w:ascii="Times" w:eastAsia="SimSun" w:hAnsi="Times"/>
      <w:color w:val="auto"/>
      <w:lang w:eastAsia="ja-JP"/>
    </w:rPr>
  </w:style>
  <w:style w:type="character" w:customStyle="1" w:styleId="authorname">
    <w:name w:val="authorname"/>
    <w:basedOn w:val="DefaultParagraphFont"/>
  </w:style>
  <w:style w:type="character" w:customStyle="1" w:styleId="nlmx">
    <w:name w:val="nlm_x"/>
    <w:basedOn w:val="DefaultParagraphFont"/>
  </w:style>
  <w:style w:type="paragraph" w:customStyle="1" w:styleId="MediumGrid21">
    <w:name w:val="Medium Grid 21"/>
    <w:qFormat/>
    <w:pPr>
      <w:jc w:val="both"/>
    </w:pPr>
    <w:rPr>
      <w:rFonts w:ascii="Times New Roman" w:eastAsia="MS Mincho" w:hAnsi="Times New Roman"/>
      <w:sz w:val="24"/>
    </w:rPr>
  </w:style>
  <w:style w:type="paragraph" w:styleId="ListParagraph">
    <w:name w:val="List Paragraph"/>
    <w:basedOn w:val="Normal"/>
    <w:uiPriority w:val="34"/>
    <w:qFormat/>
    <w:rsid w:val="00326F62"/>
    <w:pPr>
      <w:widowControl w:val="0"/>
      <w:spacing w:after="0"/>
      <w:ind w:firstLineChars="200" w:firstLine="420"/>
      <w:jc w:val="both"/>
    </w:pPr>
    <w:rPr>
      <w:rFonts w:ascii="Calibri" w:eastAsia="SimSun" w:hAnsi="Calibri"/>
      <w:color w:val="auto"/>
      <w:kern w:val="2"/>
      <w:sz w:val="21"/>
      <w:szCs w:val="22"/>
    </w:rPr>
  </w:style>
  <w:style w:type="character" w:customStyle="1" w:styleId="articletypelabel">
    <w:name w:val="articletypelabel"/>
    <w:basedOn w:val="DefaultParagraphFont"/>
    <w:rsid w:val="00CA5E9C"/>
  </w:style>
  <w:style w:type="paragraph" w:customStyle="1" w:styleId="Refs0">
    <w:name w:val="Refs"/>
    <w:basedOn w:val="BodyText"/>
    <w:rsid w:val="00CA5E9C"/>
    <w:pPr>
      <w:spacing w:before="120" w:after="0" w:line="264" w:lineRule="auto"/>
      <w:ind w:left="567" w:hanging="567"/>
    </w:pPr>
    <w:rPr>
      <w:rFonts w:ascii="Arial" w:eastAsia="Calibri" w:hAnsi="Arial"/>
      <w:color w:val="auto"/>
      <w:sz w:val="20"/>
      <w:lang w:val="en-AU" w:eastAsia="en-NZ"/>
    </w:rPr>
  </w:style>
  <w:style w:type="character" w:customStyle="1" w:styleId="slug-pub-date3">
    <w:name w:val="slug-pub-date3"/>
    <w:basedOn w:val="DefaultParagraphFont"/>
    <w:rsid w:val="00CA5E9C"/>
  </w:style>
  <w:style w:type="character" w:customStyle="1" w:styleId="slug-vol">
    <w:name w:val="slug-vol"/>
    <w:basedOn w:val="DefaultParagraphFont"/>
    <w:rsid w:val="00CA5E9C"/>
  </w:style>
  <w:style w:type="character" w:customStyle="1" w:styleId="slug-issue">
    <w:name w:val="slug-issue"/>
    <w:basedOn w:val="DefaultParagraphFont"/>
    <w:rsid w:val="00CA5E9C"/>
  </w:style>
  <w:style w:type="character" w:customStyle="1" w:styleId="slug-pages3">
    <w:name w:val="slug-pages3"/>
    <w:basedOn w:val="DefaultParagraphFont"/>
    <w:rsid w:val="00CA5E9C"/>
  </w:style>
  <w:style w:type="table" w:styleId="TableGrid">
    <w:name w:val="Table Grid"/>
    <w:basedOn w:val="TableNormal"/>
    <w:rsid w:val="005B1FC8"/>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Char">
    <w:name w:val="Style1 Char"/>
    <w:basedOn w:val="DefaultParagraphFont"/>
    <w:link w:val="Style1"/>
    <w:rsid w:val="005B1FC8"/>
    <w:rPr>
      <w:rFonts w:ascii="Garamond" w:hAnsi="Garamond"/>
      <w:sz w:val="22"/>
      <w:lang w:eastAsia="zh-CN"/>
    </w:rPr>
  </w:style>
  <w:style w:type="character" w:customStyle="1" w:styleId="Style2Char">
    <w:name w:val="Style2 Char"/>
    <w:basedOn w:val="DefaultParagraphFont"/>
    <w:link w:val="Style2"/>
    <w:rsid w:val="005B1FC8"/>
    <w:rPr>
      <w:rFonts w:ascii="Times New Roman" w:hAnsi="Times New Roman"/>
      <w:sz w:val="22"/>
      <w:lang w:val="en-GB" w:eastAsia="en-GB"/>
    </w:rPr>
  </w:style>
  <w:style w:type="paragraph" w:customStyle="1" w:styleId="TableText1">
    <w:name w:val="Table Text"/>
    <w:basedOn w:val="Normal"/>
    <w:qFormat/>
    <w:rsid w:val="00841BDE"/>
    <w:pPr>
      <w:spacing w:after="0"/>
    </w:pPr>
    <w:rPr>
      <w:rFonts w:eastAsia="SimSun"/>
      <w:kern w:val="2"/>
      <w:sz w:val="24"/>
      <w:szCs w:val="24"/>
      <w:lang w:val="en-US" w:eastAsia="en-US"/>
    </w:rPr>
  </w:style>
  <w:style w:type="paragraph" w:customStyle="1" w:styleId="TableHeadings">
    <w:name w:val="Table Headings"/>
    <w:basedOn w:val="TableText1"/>
    <w:qFormat/>
    <w:rsid w:val="00841BDE"/>
    <w:pPr>
      <w:jc w:val="center"/>
    </w:pPr>
    <w:rPr>
      <w:rFonts w:ascii="Times New Roman Bold"/>
      <w:b/>
    </w:rPr>
  </w:style>
  <w:style w:type="paragraph" w:customStyle="1" w:styleId="Tablenote">
    <w:name w:val="Table note"/>
    <w:basedOn w:val="Normal"/>
    <w:qFormat/>
    <w:rsid w:val="00841BDE"/>
    <w:pPr>
      <w:spacing w:after="0"/>
      <w:ind w:left="720" w:hanging="720"/>
      <w:contextualSpacing/>
    </w:pPr>
    <w:rPr>
      <w:rFonts w:eastAsia="MS Mincho"/>
      <w:snapToGrid w:val="0"/>
      <w:color w:val="auto"/>
      <w:kern w:val="2"/>
      <w:sz w:val="20"/>
      <w:szCs w:val="18"/>
      <w:lang w:val="en-US" w:eastAsia="en-US"/>
    </w:rPr>
  </w:style>
  <w:style w:type="character" w:customStyle="1" w:styleId="TitleChar1">
    <w:name w:val="Title Char1"/>
    <w:link w:val="Title"/>
    <w:rsid w:val="00942E2A"/>
    <w:rPr>
      <w:rFonts w:ascii="Times New Roman" w:hAnsi="Times New Roman"/>
      <w:b/>
      <w:color w:val="000000"/>
      <w:sz w:val="32"/>
      <w:lang w:val="en-GB" w:eastAsia="zh-CN"/>
    </w:rPr>
  </w:style>
  <w:style w:type="character" w:customStyle="1" w:styleId="HeaderChar1">
    <w:name w:val="Header Char1"/>
    <w:aliases w:val="EthylHeader Char1"/>
    <w:link w:val="Header"/>
    <w:uiPriority w:val="99"/>
    <w:rsid w:val="00942E2A"/>
    <w:rPr>
      <w:rFonts w:ascii="Times New Roman" w:hAnsi="Times New Roman"/>
      <w:color w:val="000000"/>
      <w:sz w:val="22"/>
      <w:lang w:val="en-GB" w:eastAsia="zh-CN"/>
    </w:rPr>
  </w:style>
  <w:style w:type="table" w:styleId="LightShading">
    <w:name w:val="Light Shading"/>
    <w:basedOn w:val="TableNormal"/>
    <w:uiPriority w:val="60"/>
    <w:rsid w:val="00A66F2B"/>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CB66F5"/>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gp486">
    <w:name w:val="gp486"/>
    <w:basedOn w:val="DefaultParagraphFont"/>
    <w:rsid w:val="00C915BD"/>
  </w:style>
  <w:style w:type="table" w:styleId="MediumShading1-Accent5">
    <w:name w:val="Medium Shading 1 Accent 5"/>
    <w:basedOn w:val="TableNormal"/>
    <w:uiPriority w:val="63"/>
    <w:rsid w:val="00CF01A0"/>
    <w:rPr>
      <w:rFonts w:asciiTheme="minorHAnsi" w:eastAsiaTheme="minorEastAsia" w:hAnsiTheme="minorHAnsi" w:cstheme="minorBidi"/>
      <w:sz w:val="24"/>
      <w:szCs w:val="24"/>
      <w:lang w:val="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F01A0"/>
    <w:rPr>
      <w:rFonts w:asciiTheme="minorHAnsi" w:eastAsiaTheme="minorEastAsia" w:hAnsiTheme="minorHAnsi" w:cstheme="minorBidi"/>
      <w:sz w:val="24"/>
      <w:szCs w:val="24"/>
      <w:lang w:val="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F01A0"/>
    <w:rPr>
      <w:rFonts w:asciiTheme="minorHAnsi" w:eastAsiaTheme="minorEastAsia" w:hAnsiTheme="minorHAnsi" w:cstheme="minorBidi"/>
      <w:sz w:val="24"/>
      <w:szCs w:val="24"/>
      <w:lang w:val="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F01A0"/>
    <w:rPr>
      <w:rFonts w:asciiTheme="minorHAnsi" w:eastAsiaTheme="minorEastAsia" w:hAnsiTheme="minorHAnsi" w:cstheme="minorBidi"/>
      <w:sz w:val="24"/>
      <w:szCs w:val="24"/>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p4">
    <w:name w:val="p4"/>
    <w:basedOn w:val="Normal"/>
    <w:rsid w:val="00F73340"/>
    <w:pPr>
      <w:spacing w:before="100" w:beforeAutospacing="1" w:after="100" w:afterAutospacing="1"/>
    </w:pPr>
    <w:rPr>
      <w:color w:val="auto"/>
      <w:sz w:val="24"/>
      <w:szCs w:val="24"/>
      <w:lang w:val="de-DE" w:eastAsia="de-DE"/>
    </w:rPr>
  </w:style>
  <w:style w:type="character" w:customStyle="1" w:styleId="s1">
    <w:name w:val="s1"/>
    <w:basedOn w:val="DefaultParagraphFont"/>
    <w:rsid w:val="00F73340"/>
  </w:style>
  <w:style w:type="paragraph" w:customStyle="1" w:styleId="p5">
    <w:name w:val="p5"/>
    <w:basedOn w:val="Normal"/>
    <w:rsid w:val="00F73340"/>
    <w:pPr>
      <w:spacing w:before="100" w:beforeAutospacing="1" w:after="100" w:afterAutospacing="1"/>
    </w:pPr>
    <w:rPr>
      <w:color w:val="auto"/>
      <w:sz w:val="24"/>
      <w:szCs w:val="24"/>
      <w:lang w:val="de-DE" w:eastAsia="de-DE"/>
    </w:rPr>
  </w:style>
  <w:style w:type="character" w:customStyle="1" w:styleId="cmpparsedlocation">
    <w:name w:val="cmp_parsed_location"/>
    <w:basedOn w:val="DefaultParagraphFont"/>
    <w:rsid w:val="00F73340"/>
  </w:style>
  <w:style w:type="paragraph" w:customStyle="1" w:styleId="Style8">
    <w:name w:val="Style8"/>
    <w:basedOn w:val="Heading4"/>
    <w:autoRedefine/>
    <w:qFormat/>
    <w:rsid w:val="007C3005"/>
    <w:pPr>
      <w:ind w:left="1571"/>
    </w:pPr>
    <w:rPr>
      <w:i/>
    </w:rPr>
  </w:style>
  <w:style w:type="paragraph" w:customStyle="1" w:styleId="Style9">
    <w:name w:val="Style9"/>
    <w:basedOn w:val="Heading4"/>
    <w:next w:val="StyleHeading4Left0Firstline0"/>
    <w:autoRedefine/>
    <w:qFormat/>
    <w:rsid w:val="007C3005"/>
    <w:pPr>
      <w:ind w:left="1571"/>
    </w:pPr>
    <w:rPr>
      <w: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New Roman" w:hAnsi="Times" w:cs="Times New Roman"/>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line number" w:uiPriority="0"/>
    <w:lsdException w:name="page number" w:uiPriority="0"/>
    <w:lsdException w:name="endnote reference" w:uiPriority="0"/>
    <w:lsdException w:name="List Bullet" w:uiPriority="0"/>
    <w:lsdException w:name="List Number" w:uiPriority="0"/>
    <w:lsdException w:name="List Number 5"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pacing w:after="240"/>
    </w:pPr>
    <w:rPr>
      <w:rFonts w:ascii="Times New Roman" w:hAnsi="Times New Roman"/>
      <w:color w:val="000000"/>
      <w:sz w:val="22"/>
      <w:lang w:val="en-GB" w:eastAsia="zh-CN"/>
    </w:rPr>
  </w:style>
  <w:style w:type="paragraph" w:styleId="Heading1">
    <w:name w:val="heading 1"/>
    <w:aliases w:val="Para (1),Heading 1 Char1 Char,Heading 1 Char Char Char,Para (1) Char Char Char,Para (1) Char1 Char,Heading 1 Char1,Heading 1 Char Char,Para (1) Char Char,Para (1) Char1,Heading 1 Char1 Char Char,Heading 1 Char,Heading 1 Char1 Char Char Char"/>
    <w:basedOn w:val="Normal"/>
    <w:next w:val="Normal"/>
    <w:autoRedefine/>
    <w:uiPriority w:val="9"/>
    <w:qFormat/>
    <w:rsid w:val="00413E4A"/>
    <w:pPr>
      <w:keepNext/>
      <w:spacing w:before="120"/>
      <w:ind w:left="810" w:hanging="810"/>
      <w:outlineLvl w:val="0"/>
    </w:pPr>
    <w:rPr>
      <w:sz w:val="28"/>
    </w:rPr>
  </w:style>
  <w:style w:type="paragraph" w:styleId="Heading2">
    <w:name w:val="heading 2"/>
    <w:aliases w:val="SubPara (a),Heading 2 Char1 Char,SubPara (a) Char1 Char,Heading 2 Char3 Char Char,Heading 2 Char Char2 Char Char,Heading 2 Char1 Char Char1 Char Char,SubPara (a) Char Char Char1 Char Char,Heading 2 Char Char Char Char1 Char Char,Heading 2 C..."/>
    <w:basedOn w:val="Heading1"/>
    <w:next w:val="Normal"/>
    <w:autoRedefine/>
    <w:uiPriority w:val="9"/>
    <w:qFormat/>
    <w:rsid w:val="00FE44D6"/>
    <w:pPr>
      <w:widowControl w:val="0"/>
      <w:tabs>
        <w:tab w:val="left" w:pos="720"/>
      </w:tabs>
      <w:autoSpaceDE w:val="0"/>
      <w:autoSpaceDN w:val="0"/>
      <w:adjustRightInd w:val="0"/>
      <w:spacing w:before="240"/>
      <w:ind w:left="720" w:right="29" w:hanging="720"/>
      <w:outlineLvl w:val="1"/>
    </w:pPr>
    <w:rPr>
      <w:rFonts w:eastAsia="MS Mincho"/>
      <w:b/>
      <w:snapToGrid w:val="0"/>
      <w:color w:val="auto"/>
      <w:sz w:val="24"/>
      <w:szCs w:val="22"/>
      <w:lang w:val="en-US" w:eastAsia="en-US"/>
    </w:rPr>
  </w:style>
  <w:style w:type="paragraph" w:styleId="Heading3">
    <w:name w:val="heading 3"/>
    <w:aliases w:val="Heading 3 Char1 Char,Heading 3 Char Char Char,Char Char Char Char,Char Char1 Char,Sec"/>
    <w:basedOn w:val="Heading2"/>
    <w:next w:val="Normal"/>
    <w:autoRedefine/>
    <w:uiPriority w:val="9"/>
    <w:qFormat/>
    <w:rsid w:val="004D571E"/>
    <w:pPr>
      <w:keepLines/>
      <w:spacing w:before="120"/>
      <w:outlineLvl w:val="2"/>
    </w:pPr>
    <w:rPr>
      <w:b w:val="0"/>
      <w:i/>
    </w:rPr>
  </w:style>
  <w:style w:type="paragraph" w:styleId="Heading4">
    <w:name w:val="heading 4"/>
    <w:aliases w:val="MainPara"/>
    <w:basedOn w:val="Heading3"/>
    <w:next w:val="Normal"/>
    <w:autoRedefine/>
    <w:uiPriority w:val="9"/>
    <w:qFormat/>
    <w:rsid w:val="003D3418"/>
    <w:pPr>
      <w:keepLines w:val="0"/>
      <w:autoSpaceDE/>
      <w:autoSpaceDN/>
      <w:adjustRightInd/>
      <w:spacing w:before="0" w:after="60" w:line="276" w:lineRule="auto"/>
      <w:ind w:left="1440" w:right="0"/>
      <w:outlineLvl w:val="3"/>
    </w:pPr>
    <w:rPr>
      <w:b/>
      <w:i w:val="0"/>
      <w:sz w:val="22"/>
      <w:lang w:val="en-GB"/>
    </w:rPr>
  </w:style>
  <w:style w:type="paragraph" w:styleId="Heading5">
    <w:name w:val="heading 5"/>
    <w:aliases w:val="Subpara 2"/>
    <w:basedOn w:val="Heading1"/>
    <w:next w:val="Normal"/>
    <w:autoRedefine/>
    <w:uiPriority w:val="9"/>
    <w:qFormat/>
    <w:rsid w:val="00BB3EB4"/>
    <w:pPr>
      <w:widowControl w:val="0"/>
      <w:ind w:left="1702" w:firstLine="0"/>
      <w:outlineLvl w:val="4"/>
    </w:pPr>
    <w:rPr>
      <w:i/>
      <w:sz w:val="20"/>
    </w:rPr>
  </w:style>
  <w:style w:type="paragraph" w:styleId="Heading6">
    <w:name w:val="heading 6"/>
    <w:aliases w:val="Subpara 3"/>
    <w:basedOn w:val="Normal"/>
    <w:next w:val="Normal"/>
    <w:uiPriority w:val="9"/>
    <w:qFormat/>
    <w:pPr>
      <w:keepNext/>
      <w:tabs>
        <w:tab w:val="left" w:pos="230"/>
        <w:tab w:val="left" w:pos="1877"/>
      </w:tabs>
      <w:spacing w:before="48"/>
      <w:outlineLvl w:val="5"/>
    </w:pPr>
  </w:style>
  <w:style w:type="paragraph" w:styleId="Heading7">
    <w:name w:val="heading 7"/>
    <w:aliases w:val="Subpara 4"/>
    <w:basedOn w:val="Normal"/>
    <w:next w:val="Normal"/>
    <w:uiPriority w:val="9"/>
    <w:qFormat/>
    <w:pPr>
      <w:keepNext/>
      <w:numPr>
        <w:ilvl w:val="6"/>
        <w:numId w:val="6"/>
      </w:numPr>
      <w:spacing w:before="48"/>
      <w:jc w:val="center"/>
      <w:outlineLvl w:val="6"/>
    </w:pPr>
    <w:rPr>
      <w:b/>
    </w:rPr>
  </w:style>
  <w:style w:type="paragraph" w:styleId="Heading8">
    <w:name w:val="heading 8"/>
    <w:aliases w:val="Subpara 5"/>
    <w:basedOn w:val="Normal"/>
    <w:next w:val="Normal"/>
    <w:uiPriority w:val="9"/>
    <w:qFormat/>
    <w:pPr>
      <w:keepNext/>
      <w:numPr>
        <w:ilvl w:val="7"/>
        <w:numId w:val="6"/>
      </w:numPr>
      <w:tabs>
        <w:tab w:val="left" w:pos="2160"/>
        <w:tab w:val="left" w:pos="2880"/>
        <w:tab w:val="left" w:pos="3600"/>
        <w:tab w:val="left" w:pos="6480"/>
        <w:tab w:val="left" w:pos="7290"/>
        <w:tab w:val="left" w:pos="7920"/>
        <w:tab w:val="left" w:pos="8640"/>
      </w:tabs>
      <w:spacing w:line="240" w:lineRule="exact"/>
      <w:outlineLvl w:val="7"/>
    </w:pPr>
    <w:rPr>
      <w:b/>
    </w:rPr>
  </w:style>
  <w:style w:type="paragraph" w:styleId="Heading9">
    <w:name w:val="heading 9"/>
    <w:aliases w:val="Subpara 6"/>
    <w:basedOn w:val="Normal"/>
    <w:next w:val="Normal"/>
    <w:uiPriority w:val="9"/>
    <w:qFormat/>
    <w:pPr>
      <w:keepNext/>
      <w:numPr>
        <w:ilvl w:val="8"/>
        <w:numId w:val="6"/>
      </w:numPr>
      <w:spacing w:line="240" w:lineRule="atLeast"/>
      <w:jc w:val="center"/>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rChar2">
    <w:name w:val="Char Char2"/>
    <w:locked/>
    <w:rPr>
      <w:b/>
      <w:noProof w:val="0"/>
      <w:color w:val="000000"/>
      <w:sz w:val="28"/>
      <w:lang w:val="en-GB" w:eastAsia="zh-CN" w:bidi="ar-SA"/>
    </w:rPr>
  </w:style>
  <w:style w:type="character" w:customStyle="1" w:styleId="SubParaaCharChar">
    <w:name w:val="SubPara (a) Char Char"/>
    <w:rPr>
      <w:b/>
      <w:noProof w:val="0"/>
      <w:snapToGrid w:val="0"/>
      <w:color w:val="000000"/>
      <w:sz w:val="24"/>
      <w:szCs w:val="24"/>
      <w:lang w:val="en-GB" w:eastAsia="zh-CN" w:bidi="ar-SA"/>
    </w:rPr>
  </w:style>
  <w:style w:type="paragraph" w:styleId="BodyText">
    <w:name w:val="Body Text"/>
    <w:aliases w:val=" Char Char,Char Char,Body Text Char Char Char Char Char,Body Text Char Char Char Char"/>
    <w:basedOn w:val="Normal"/>
    <w:uiPriority w:val="99"/>
    <w:pPr>
      <w:spacing w:line="240" w:lineRule="atLeast"/>
    </w:pPr>
  </w:style>
  <w:style w:type="paragraph" w:styleId="Footer">
    <w:name w:val="footer"/>
    <w:basedOn w:val="Normal"/>
    <w:uiPriority w:val="99"/>
    <w:pPr>
      <w:tabs>
        <w:tab w:val="center" w:pos="4320"/>
        <w:tab w:val="right" w:pos="8640"/>
      </w:tabs>
    </w:pPr>
  </w:style>
  <w:style w:type="character" w:styleId="PageNumber">
    <w:name w:val="page number"/>
    <w:basedOn w:val="DefaultParagraphFont"/>
  </w:style>
  <w:style w:type="paragraph" w:styleId="Header">
    <w:name w:val="header"/>
    <w:aliases w:val="EthylHeader"/>
    <w:basedOn w:val="Normal"/>
    <w:link w:val="HeaderChar1"/>
    <w:uiPriority w:val="99"/>
    <w:pPr>
      <w:tabs>
        <w:tab w:val="center" w:pos="4320"/>
        <w:tab w:val="right" w:pos="8640"/>
      </w:tabs>
    </w:pPr>
  </w:style>
  <w:style w:type="paragraph" w:customStyle="1" w:styleId="ChapterHeading">
    <w:name w:val="Chapter Heading"/>
    <w:basedOn w:val="Heading1"/>
    <w:pPr>
      <w:keepNext w:val="0"/>
      <w:keepLines/>
      <w:ind w:left="2520" w:hanging="1440"/>
    </w:pPr>
    <w:rPr>
      <w:sz w:val="32"/>
    </w:rPr>
  </w:style>
  <w:style w:type="paragraph" w:customStyle="1" w:styleId="Bullet">
    <w:name w:val="Bullet"/>
    <w:basedOn w:val="Normal"/>
    <w:pPr>
      <w:numPr>
        <w:numId w:val="1"/>
      </w:numPr>
      <w:tabs>
        <w:tab w:val="left" w:pos="1531"/>
      </w:tabs>
      <w:spacing w:before="60" w:after="60"/>
    </w:pPr>
  </w:style>
  <w:style w:type="character" w:styleId="FootnoteReference">
    <w:name w:val="footnote reference"/>
    <w:aliases w:val="Footnote text,16 Point,Superscript 6 Point,number,Footnote reference number,Footnote symbol,note TESI,-E Fußnotenzeichen,SUPERS,stylish,ftref,Footnote Reference Superscript,-E Fuﬂnotenzeichen,-E Fuûnotenzeichen,EN Footnote Reference"/>
    <w:uiPriority w:val="99"/>
    <w:rPr>
      <w:vertAlign w:val="superscript"/>
    </w:rPr>
  </w:style>
  <w:style w:type="paragraph" w:styleId="ListBullet">
    <w:name w:val="List Bullet"/>
    <w:basedOn w:val="Normal"/>
    <w:pPr>
      <w:widowControl w:val="0"/>
      <w:ind w:left="425" w:hanging="425"/>
    </w:pPr>
    <w:rPr>
      <w:color w:val="auto"/>
    </w:rPr>
  </w:style>
  <w:style w:type="paragraph" w:styleId="ListNumber">
    <w:name w:val="List Number"/>
    <w:basedOn w:val="Normal"/>
    <w:pPr>
      <w:widowControl w:val="0"/>
      <w:spacing w:before="120"/>
      <w:ind w:left="1512" w:hanging="432"/>
    </w:pPr>
    <w:rPr>
      <w:color w:val="auto"/>
    </w:rPr>
  </w:style>
  <w:style w:type="paragraph" w:styleId="FootnoteText">
    <w:name w:val="footnote text"/>
    <w:aliases w:val="Geneva 9,Font: Geneva 9,Boston 10,f,Fußnotentextf,-E Fußnotentext,Fußnotentext Ursprung,-E Fußnotentext1,-E Fußnotentext2,-E Fußnotentext3,Fußnotentext Char1,Fußnotentext Char Char,Fußnotentext Char1 Char Char"/>
    <w:basedOn w:val="Normal"/>
    <w:uiPriority w:val="99"/>
    <w:pPr>
      <w:widowControl w:val="0"/>
    </w:pPr>
    <w:rPr>
      <w:color w:val="auto"/>
      <w:sz w:val="20"/>
    </w:rPr>
  </w:style>
  <w:style w:type="paragraph" w:styleId="BodyTextIndent">
    <w:name w:val="Body Text Indent"/>
    <w:basedOn w:val="Normal"/>
    <w:pPr>
      <w:spacing w:line="240" w:lineRule="atLeast"/>
      <w:ind w:left="2127" w:hanging="993"/>
    </w:pPr>
  </w:style>
  <w:style w:type="character" w:styleId="LineNumber">
    <w:name w:val="line number"/>
    <w:basedOn w:val="DefaultParagraphFont"/>
  </w:style>
  <w:style w:type="paragraph" w:customStyle="1" w:styleId="SummaryShading">
    <w:name w:val="Summary Shading"/>
    <w:basedOn w:val="Normal"/>
    <w:pPr>
      <w:shd w:val="pct5" w:color="808080" w:fill="auto"/>
      <w:spacing w:before="120" w:after="120"/>
      <w:jc w:val="both"/>
    </w:pPr>
    <w:rPr>
      <w:rFonts w:ascii="Garamond" w:hAnsi="Garamond"/>
      <w:color w:val="auto"/>
    </w:rPr>
  </w:style>
  <w:style w:type="paragraph" w:customStyle="1" w:styleId="MainText">
    <w:name w:val="Main Text"/>
    <w:pPr>
      <w:widowControl w:val="0"/>
      <w:spacing w:line="240" w:lineRule="exact"/>
      <w:ind w:left="567" w:hanging="567"/>
    </w:pPr>
    <w:rPr>
      <w:color w:val="000000"/>
      <w:lang w:val="en-US" w:eastAsia="zh-CN"/>
    </w:rPr>
  </w:style>
  <w:style w:type="paragraph" w:customStyle="1" w:styleId="Paragraph">
    <w:name w:val="Paragraph"/>
    <w:basedOn w:val="Normal"/>
    <w:pPr>
      <w:spacing w:before="120" w:after="120"/>
      <w:jc w:val="both"/>
    </w:pPr>
    <w:rPr>
      <w:rFonts w:ascii="Garamond" w:hAnsi="Garamond"/>
      <w:lang w:val="de-DE"/>
    </w:rPr>
  </w:style>
  <w:style w:type="paragraph" w:customStyle="1" w:styleId="DotPoints">
    <w:name w:val="Dot Points"/>
    <w:basedOn w:val="Normal"/>
    <w:pPr>
      <w:spacing w:after="60"/>
      <w:ind w:left="709" w:right="284" w:hanging="284"/>
      <w:jc w:val="both"/>
    </w:pPr>
    <w:rPr>
      <w:rFonts w:ascii="Garamond" w:hAnsi="Garamond"/>
      <w:color w:val="auto"/>
    </w:rPr>
  </w:style>
  <w:style w:type="paragraph" w:customStyle="1" w:styleId="Style1">
    <w:name w:val="Style1"/>
    <w:basedOn w:val="Normal"/>
    <w:link w:val="Style1Char"/>
    <w:qFormat/>
    <w:pPr>
      <w:spacing w:before="120" w:after="120" w:line="360" w:lineRule="auto"/>
    </w:pPr>
    <w:rPr>
      <w:rFonts w:ascii="Garamond" w:hAnsi="Garamond"/>
      <w:color w:val="auto"/>
      <w:lang w:val="en-AU"/>
    </w:rPr>
  </w:style>
  <w:style w:type="paragraph" w:customStyle="1" w:styleId="TableColumnHeading">
    <w:name w:val="Table Column Heading"/>
    <w:basedOn w:val="Normal"/>
    <w:pPr>
      <w:spacing w:before="80" w:after="120"/>
      <w:jc w:val="center"/>
    </w:pPr>
    <w:rPr>
      <w:rFonts w:ascii="Arial Narrow" w:hAnsi="Arial Narrow"/>
      <w:b/>
      <w:color w:val="auto"/>
      <w:sz w:val="20"/>
    </w:rPr>
  </w:style>
  <w:style w:type="paragraph" w:customStyle="1" w:styleId="TableDetails">
    <w:name w:val="Table Details"/>
    <w:basedOn w:val="Normal"/>
    <w:pPr>
      <w:spacing w:before="60" w:after="60"/>
      <w:ind w:left="113" w:right="113"/>
      <w:jc w:val="both"/>
    </w:pPr>
    <w:rPr>
      <w:rFonts w:ascii="Arial Narrow" w:hAnsi="Arial Narrow"/>
      <w:color w:val="auto"/>
      <w:sz w:val="20"/>
    </w:rPr>
  </w:style>
  <w:style w:type="paragraph" w:customStyle="1" w:styleId="TableHeading">
    <w:name w:val="Table Heading"/>
    <w:basedOn w:val="Normal"/>
    <w:pPr>
      <w:spacing w:before="120" w:after="120"/>
      <w:ind w:left="1134" w:hanging="1134"/>
      <w:jc w:val="both"/>
    </w:pPr>
    <w:rPr>
      <w:rFonts w:ascii="Arial" w:hAnsi="Arial"/>
      <w:b/>
      <w:color w:val="auto"/>
      <w:sz w:val="20"/>
    </w:rPr>
  </w:style>
  <w:style w:type="paragraph" w:customStyle="1" w:styleId="References">
    <w:name w:val="References"/>
    <w:basedOn w:val="Normal"/>
    <w:pPr>
      <w:keepLines/>
      <w:spacing w:before="60" w:after="60"/>
      <w:ind w:left="1134" w:hanging="1134"/>
      <w:jc w:val="both"/>
    </w:pPr>
    <w:rPr>
      <w:rFonts w:ascii="Garamond" w:hAnsi="Garamond"/>
      <w:color w:val="auto"/>
      <w:sz w:val="20"/>
    </w:rPr>
  </w:style>
  <w:style w:type="character" w:styleId="Hyperlink">
    <w:name w:val="Hyperlink"/>
    <w:uiPriority w:val="99"/>
    <w:rPr>
      <w:color w:val="0000FF"/>
      <w:u w:val="single"/>
    </w:rPr>
  </w:style>
  <w:style w:type="paragraph" w:styleId="Caption">
    <w:name w:val="caption"/>
    <w:basedOn w:val="Normal"/>
    <w:next w:val="Normal"/>
    <w:uiPriority w:val="35"/>
    <w:qFormat/>
    <w:pPr>
      <w:spacing w:line="240" w:lineRule="atLeast"/>
      <w:ind w:left="1077"/>
    </w:pPr>
    <w:rPr>
      <w:i/>
    </w:rPr>
  </w:style>
  <w:style w:type="character" w:styleId="CommentReference">
    <w:name w:val="annotation reference"/>
    <w:uiPriority w:val="99"/>
    <w:semiHidden/>
    <w:rPr>
      <w:sz w:val="16"/>
    </w:rPr>
  </w:style>
  <w:style w:type="paragraph" w:styleId="CommentText">
    <w:name w:val="annotation text"/>
    <w:basedOn w:val="Normal"/>
    <w:uiPriority w:val="99"/>
    <w:semiHidden/>
    <w:pPr>
      <w:widowControl w:val="0"/>
    </w:pPr>
    <w:rPr>
      <w:rFonts w:ascii="Arial" w:hAnsi="Arial"/>
      <w:color w:val="auto"/>
      <w:sz w:val="20"/>
    </w:rPr>
  </w:style>
  <w:style w:type="character" w:customStyle="1" w:styleId="CharChar1">
    <w:name w:val="Char Char1"/>
    <w:rPr>
      <w:rFonts w:ascii="Arial" w:hAnsi="Arial"/>
      <w:noProof w:val="0"/>
      <w:lang w:val="en-GB" w:eastAsia="zh-CN" w:bidi="ar-SA"/>
    </w:rPr>
  </w:style>
  <w:style w:type="paragraph" w:styleId="TOC1">
    <w:name w:val="toc 1"/>
    <w:basedOn w:val="Normal"/>
    <w:next w:val="Normal"/>
    <w:autoRedefine/>
    <w:uiPriority w:val="39"/>
    <w:qFormat/>
    <w:rsid w:val="00132C6A"/>
    <w:pPr>
      <w:spacing w:before="120" w:after="0"/>
    </w:pPr>
    <w:rPr>
      <w:rFonts w:asciiTheme="minorHAnsi" w:hAnsiTheme="minorHAnsi"/>
      <w:b/>
      <w:caps/>
      <w:szCs w:val="22"/>
    </w:rPr>
  </w:style>
  <w:style w:type="paragraph" w:styleId="TOC2">
    <w:name w:val="toc 2"/>
    <w:basedOn w:val="Normal"/>
    <w:next w:val="Normal"/>
    <w:autoRedefine/>
    <w:uiPriority w:val="39"/>
    <w:qFormat/>
    <w:rsid w:val="006579E0"/>
    <w:pPr>
      <w:tabs>
        <w:tab w:val="left" w:pos="1268"/>
        <w:tab w:val="right" w:leader="dot" w:pos="9015"/>
      </w:tabs>
      <w:spacing w:after="0"/>
      <w:ind w:left="1260" w:hanging="1040"/>
    </w:pPr>
    <w:rPr>
      <w:rFonts w:asciiTheme="minorHAnsi" w:hAnsiTheme="minorHAnsi"/>
      <w:b/>
      <w:smallCaps/>
      <w:noProof/>
      <w:szCs w:val="22"/>
    </w:rPr>
  </w:style>
  <w:style w:type="paragraph" w:styleId="TOC3">
    <w:name w:val="toc 3"/>
    <w:basedOn w:val="Normal"/>
    <w:next w:val="Normal"/>
    <w:autoRedefine/>
    <w:uiPriority w:val="39"/>
    <w:qFormat/>
    <w:rsid w:val="00943D38"/>
    <w:pPr>
      <w:tabs>
        <w:tab w:val="left" w:pos="1260"/>
        <w:tab w:val="right" w:leader="dot" w:pos="9360"/>
      </w:tabs>
      <w:spacing w:after="0"/>
      <w:ind w:left="1260" w:right="-310" w:hanging="820"/>
    </w:pPr>
    <w:rPr>
      <w:rFonts w:asciiTheme="minorHAnsi" w:hAnsiTheme="minorHAnsi"/>
      <w:i/>
      <w:szCs w:val="22"/>
    </w:rPr>
  </w:style>
  <w:style w:type="paragraph" w:styleId="TOC4">
    <w:name w:val="toc 4"/>
    <w:basedOn w:val="Normal"/>
    <w:next w:val="Normal"/>
    <w:autoRedefine/>
    <w:uiPriority w:val="39"/>
    <w:pPr>
      <w:spacing w:after="0"/>
      <w:ind w:left="660"/>
    </w:pPr>
    <w:rPr>
      <w:rFonts w:asciiTheme="minorHAnsi" w:hAnsiTheme="minorHAnsi"/>
      <w:sz w:val="18"/>
      <w:szCs w:val="18"/>
    </w:rPr>
  </w:style>
  <w:style w:type="paragraph" w:styleId="TOC5">
    <w:name w:val="toc 5"/>
    <w:basedOn w:val="Normal"/>
    <w:next w:val="Normal"/>
    <w:autoRedefine/>
    <w:uiPriority w:val="39"/>
    <w:pPr>
      <w:spacing w:after="0"/>
      <w:ind w:left="880"/>
    </w:pPr>
    <w:rPr>
      <w:rFonts w:asciiTheme="minorHAnsi" w:hAnsiTheme="minorHAnsi"/>
      <w:sz w:val="18"/>
      <w:szCs w:val="18"/>
    </w:rPr>
  </w:style>
  <w:style w:type="paragraph" w:styleId="TOC6">
    <w:name w:val="toc 6"/>
    <w:basedOn w:val="Normal"/>
    <w:next w:val="Normal"/>
    <w:autoRedefine/>
    <w:uiPriority w:val="39"/>
    <w:pPr>
      <w:spacing w:after="0"/>
      <w:ind w:left="1100"/>
    </w:pPr>
    <w:rPr>
      <w:rFonts w:asciiTheme="minorHAnsi" w:hAnsiTheme="minorHAnsi"/>
      <w:sz w:val="18"/>
      <w:szCs w:val="18"/>
    </w:rPr>
  </w:style>
  <w:style w:type="paragraph" w:styleId="TOC7">
    <w:name w:val="toc 7"/>
    <w:basedOn w:val="Normal"/>
    <w:next w:val="Normal"/>
    <w:autoRedefine/>
    <w:uiPriority w:val="39"/>
    <w:pPr>
      <w:spacing w:after="0"/>
      <w:ind w:left="1320"/>
    </w:pPr>
    <w:rPr>
      <w:rFonts w:asciiTheme="minorHAnsi" w:hAnsiTheme="minorHAnsi"/>
      <w:sz w:val="18"/>
      <w:szCs w:val="18"/>
    </w:rPr>
  </w:style>
  <w:style w:type="paragraph" w:styleId="TOC8">
    <w:name w:val="toc 8"/>
    <w:basedOn w:val="Normal"/>
    <w:next w:val="Normal"/>
    <w:autoRedefine/>
    <w:uiPriority w:val="39"/>
    <w:pPr>
      <w:spacing w:after="0"/>
      <w:ind w:left="1540"/>
    </w:pPr>
    <w:rPr>
      <w:rFonts w:asciiTheme="minorHAnsi" w:hAnsiTheme="minorHAnsi"/>
      <w:sz w:val="18"/>
      <w:szCs w:val="18"/>
    </w:rPr>
  </w:style>
  <w:style w:type="paragraph" w:styleId="TOC9">
    <w:name w:val="toc 9"/>
    <w:basedOn w:val="Normal"/>
    <w:next w:val="Normal"/>
    <w:autoRedefine/>
    <w:uiPriority w:val="39"/>
    <w:pPr>
      <w:spacing w:after="0"/>
      <w:ind w:left="1760"/>
    </w:pPr>
    <w:rPr>
      <w:rFonts w:asciiTheme="minorHAnsi" w:hAnsiTheme="minorHAnsi"/>
      <w:sz w:val="18"/>
      <w:szCs w:val="18"/>
    </w:rPr>
  </w:style>
  <w:style w:type="paragraph" w:customStyle="1" w:styleId="Table-Labels">
    <w:name w:val="Table-Labels"/>
    <w:basedOn w:val="Normal"/>
    <w:next w:val="Normal"/>
    <w:pPr>
      <w:keepNext/>
      <w:keepLines/>
      <w:spacing w:after="60"/>
      <w:ind w:left="2160" w:hanging="1080"/>
    </w:pPr>
    <w:rPr>
      <w:i/>
    </w:rPr>
  </w:style>
  <w:style w:type="paragraph" w:styleId="DocumentMap">
    <w:name w:val="Document Map"/>
    <w:basedOn w:val="Normal"/>
    <w:uiPriority w:val="99"/>
    <w:semiHidden/>
    <w:pPr>
      <w:shd w:val="clear" w:color="auto" w:fill="000080"/>
    </w:pPr>
    <w:rPr>
      <w:rFonts w:ascii="Tahoma" w:hAnsi="Tahoma"/>
    </w:rPr>
  </w:style>
  <w:style w:type="paragraph" w:customStyle="1" w:styleId="Table">
    <w:name w:val="Table"/>
    <w:basedOn w:val="Normal"/>
    <w:pPr>
      <w:keepLines/>
      <w:spacing w:after="0"/>
      <w:ind w:left="72" w:right="72"/>
    </w:pPr>
    <w:rPr>
      <w:snapToGrid w:val="0"/>
      <w:sz w:val="20"/>
    </w:rPr>
  </w:style>
  <w:style w:type="paragraph" w:customStyle="1" w:styleId="Tabel">
    <w:name w:val="Tabel"/>
    <w:basedOn w:val="Normal"/>
    <w:pPr>
      <w:spacing w:after="120"/>
    </w:pPr>
  </w:style>
  <w:style w:type="paragraph" w:styleId="BlockText">
    <w:name w:val="Block Text"/>
    <w:basedOn w:val="Normal"/>
    <w:pPr>
      <w:spacing w:before="120" w:after="120"/>
      <w:ind w:left="450" w:right="566"/>
      <w:jc w:val="both"/>
    </w:pPr>
    <w:rPr>
      <w:rFonts w:ascii="Garamond" w:hAnsi="Garamond"/>
      <w:i/>
      <w:color w:val="auto"/>
    </w:rPr>
  </w:style>
  <w:style w:type="paragraph" w:customStyle="1" w:styleId="Document">
    <w:name w:val="Document"/>
    <w:basedOn w:val="Normal"/>
    <w:pPr>
      <w:spacing w:after="0"/>
      <w:jc w:val="center"/>
    </w:pPr>
    <w:rPr>
      <w:rFonts w:ascii="CG Times" w:hAnsi="CG Times"/>
    </w:rPr>
  </w:style>
  <w:style w:type="paragraph" w:customStyle="1" w:styleId="Bibliogrphy">
    <w:name w:val="Bibliogrphy"/>
    <w:basedOn w:val="Normal"/>
    <w:pPr>
      <w:spacing w:after="0"/>
      <w:ind w:left="720" w:firstLine="720"/>
    </w:pPr>
    <w:rPr>
      <w:rFonts w:ascii="CG Times" w:hAnsi="CG Times"/>
    </w:rPr>
  </w:style>
  <w:style w:type="paragraph" w:customStyle="1" w:styleId="TechInit">
    <w:name w:val="Tech Init"/>
    <w:basedOn w:val="Normal"/>
    <w:pPr>
      <w:spacing w:after="0"/>
    </w:pPr>
    <w:rPr>
      <w:rFonts w:ascii="CG Times" w:hAnsi="CG Times"/>
    </w:rPr>
  </w:style>
  <w:style w:type="paragraph" w:customStyle="1" w:styleId="Technical">
    <w:name w:val="Technical"/>
    <w:basedOn w:val="Normal"/>
    <w:pPr>
      <w:spacing w:after="0"/>
    </w:pPr>
    <w:rPr>
      <w:rFonts w:ascii="CG Times" w:hAnsi="CG Times"/>
    </w:rPr>
  </w:style>
  <w:style w:type="paragraph" w:customStyle="1" w:styleId="Pleading">
    <w:name w:val="Pleading"/>
    <w:basedOn w:val="Normal"/>
    <w:pPr>
      <w:tabs>
        <w:tab w:val="right" w:pos="288"/>
      </w:tabs>
      <w:spacing w:after="0"/>
    </w:pPr>
    <w:rPr>
      <w:rFonts w:ascii="CG Times" w:hAnsi="CG Times"/>
    </w:rPr>
  </w:style>
  <w:style w:type="paragraph" w:customStyle="1" w:styleId="BulletList">
    <w:name w:val="Bullet List"/>
    <w:basedOn w:val="Normal"/>
    <w:pPr>
      <w:spacing w:after="0"/>
      <w:ind w:left="720"/>
    </w:pPr>
    <w:rPr>
      <w:rFonts w:ascii="Roman" w:hAnsi="Roman"/>
      <w:color w:val="auto"/>
      <w:lang w:val="it-IT"/>
    </w:rPr>
  </w:style>
  <w:style w:type="character" w:styleId="FollowedHyperlink">
    <w:name w:val="FollowedHyperlink"/>
    <w:uiPriority w:val="99"/>
    <w:rPr>
      <w:color w:val="800080"/>
      <w:u w:val="single"/>
    </w:rPr>
  </w:style>
  <w:style w:type="paragraph" w:styleId="Title">
    <w:name w:val="Title"/>
    <w:basedOn w:val="Normal"/>
    <w:link w:val="TitleChar1"/>
    <w:uiPriority w:val="10"/>
    <w:qFormat/>
    <w:pPr>
      <w:spacing w:line="240" w:lineRule="atLeast"/>
      <w:jc w:val="center"/>
    </w:pPr>
    <w:rPr>
      <w:b/>
      <w:sz w:val="32"/>
    </w:rPr>
  </w:style>
  <w:style w:type="paragraph" w:customStyle="1" w:styleId="Outline">
    <w:name w:val="Outline"/>
    <w:basedOn w:val="Normal"/>
    <w:pPr>
      <w:spacing w:before="240" w:after="0"/>
    </w:pPr>
    <w:rPr>
      <w:rFonts w:eastAsia="SimSun"/>
      <w:color w:val="auto"/>
      <w:kern w:val="28"/>
    </w:rPr>
  </w:style>
  <w:style w:type="paragraph" w:customStyle="1" w:styleId="Body">
    <w:name w:val="Body"/>
    <w:pPr>
      <w:widowControl w:val="0"/>
    </w:pPr>
    <w:rPr>
      <w:rFonts w:ascii="Times New Roman" w:hAnsi="Times New Roman"/>
      <w:sz w:val="24"/>
      <w:lang w:val="en-GB" w:eastAsia="zh-CN"/>
    </w:rPr>
  </w:style>
  <w:style w:type="character" w:styleId="EndnoteReference">
    <w:name w:val="endnote reference"/>
    <w:semiHidden/>
    <w:rPr>
      <w:vertAlign w:val="superscript"/>
    </w:rPr>
  </w:style>
  <w:style w:type="paragraph" w:customStyle="1" w:styleId="DefaultText">
    <w:name w:val="Default Text"/>
    <w:basedOn w:val="Normal"/>
    <w:pPr>
      <w:autoSpaceDE w:val="0"/>
      <w:autoSpaceDN w:val="0"/>
      <w:adjustRightInd w:val="0"/>
      <w:spacing w:after="0"/>
    </w:pPr>
    <w:rPr>
      <w:color w:val="auto"/>
    </w:rPr>
  </w:style>
  <w:style w:type="paragraph" w:customStyle="1" w:styleId="MSNormal">
    <w:name w:val="MSNormal"/>
    <w:basedOn w:val="Normal"/>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pPr>
    <w:rPr>
      <w:rFonts w:ascii="Chicago" w:hAnsi="Chicago"/>
      <w:color w:val="auto"/>
    </w:rPr>
  </w:style>
  <w:style w:type="paragraph" w:styleId="PlainText">
    <w:name w:val="Plain Text"/>
    <w:aliases w:val=" Char,Char"/>
    <w:basedOn w:val="Normal"/>
    <w:uiPriority w:val="99"/>
    <w:pPr>
      <w:spacing w:after="0"/>
    </w:pPr>
    <w:rPr>
      <w:rFonts w:ascii="Courier" w:eastAsia="Times" w:hAnsi="Courier"/>
      <w:color w:val="auto"/>
    </w:rPr>
  </w:style>
  <w:style w:type="paragraph" w:customStyle="1" w:styleId="Reference">
    <w:name w:val="Reference"/>
    <w:basedOn w:val="Normal"/>
    <w:pPr>
      <w:spacing w:after="60"/>
      <w:ind w:left="284"/>
    </w:pPr>
    <w:rPr>
      <w:color w:val="auto"/>
    </w:rPr>
  </w:style>
  <w:style w:type="paragraph" w:customStyle="1" w:styleId="Figures">
    <w:name w:val="Figures"/>
    <w:basedOn w:val="Normal"/>
    <w:pPr>
      <w:tabs>
        <w:tab w:val="center" w:pos="4680"/>
      </w:tabs>
      <w:suppressAutoHyphens/>
      <w:overflowPunct w:val="0"/>
      <w:autoSpaceDE w:val="0"/>
      <w:autoSpaceDN w:val="0"/>
      <w:adjustRightInd w:val="0"/>
      <w:spacing w:before="240" w:after="120"/>
      <w:jc w:val="both"/>
      <w:textAlignment w:val="baseline"/>
    </w:pPr>
    <w:rPr>
      <w:b/>
      <w:color w:val="auto"/>
    </w:rPr>
  </w:style>
  <w:style w:type="paragraph" w:styleId="BodyTextIndent2">
    <w:name w:val="Body Text Indent 2"/>
    <w:basedOn w:val="Normal"/>
    <w:pPr>
      <w:widowControl w:val="0"/>
      <w:spacing w:after="0"/>
      <w:ind w:firstLine="720"/>
      <w:jc w:val="both"/>
    </w:pPr>
    <w:rPr>
      <w:snapToGrid w:val="0"/>
      <w:color w:val="auto"/>
    </w:rPr>
  </w:style>
  <w:style w:type="paragraph" w:styleId="BodyTextIndent3">
    <w:name w:val="Body Text Indent 3"/>
    <w:basedOn w:val="Normal"/>
    <w:pPr>
      <w:widowControl w:val="0"/>
      <w:spacing w:after="0"/>
      <w:ind w:firstLine="720"/>
      <w:jc w:val="both"/>
    </w:pPr>
    <w:rPr>
      <w:snapToGrid w:val="0"/>
      <w:color w:val="FF0000"/>
    </w:rPr>
  </w:style>
  <w:style w:type="paragraph" w:styleId="BodyText2">
    <w:name w:val="Body Text 2"/>
    <w:basedOn w:val="Normal"/>
    <w:pPr>
      <w:spacing w:after="0"/>
      <w:jc w:val="center"/>
    </w:pPr>
    <w:rPr>
      <w:color w:val="auto"/>
      <w:sz w:val="48"/>
    </w:rPr>
  </w:style>
  <w:style w:type="paragraph" w:styleId="BodyText3">
    <w:name w:val="Body Text 3"/>
    <w:basedOn w:val="Normal"/>
    <w:pPr>
      <w:spacing w:after="0"/>
      <w:jc w:val="center"/>
    </w:pPr>
    <w:rPr>
      <w:color w:val="auto"/>
      <w:sz w:val="36"/>
    </w:rPr>
  </w:style>
  <w:style w:type="paragraph" w:customStyle="1" w:styleId="DefinitionL">
    <w:name w:val="Definition L"/>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pPr>
    <w:rPr>
      <w:rFonts w:ascii="Times New Roman" w:hAnsi="Times New Roman"/>
      <w:snapToGrid w:val="0"/>
      <w:sz w:val="24"/>
      <w:lang w:val="en-US" w:eastAsia="zh-CN"/>
    </w:rPr>
  </w:style>
  <w:style w:type="paragraph" w:customStyle="1" w:styleId="Tableheading0">
    <w:name w:val="Table heading"/>
    <w:basedOn w:val="Normal"/>
    <w:pPr>
      <w:keepNext/>
      <w:spacing w:before="120"/>
      <w:ind w:left="1984" w:hanging="907"/>
    </w:pPr>
    <w:rPr>
      <w:i/>
      <w:color w:val="auto"/>
    </w:rPr>
  </w:style>
  <w:style w:type="paragraph" w:customStyle="1" w:styleId="Figure">
    <w:name w:val="Figure"/>
    <w:basedOn w:val="Normal"/>
    <w:pPr>
      <w:widowControl w:val="0"/>
      <w:spacing w:line="-240" w:lineRule="auto"/>
      <w:ind w:left="1077"/>
    </w:pPr>
    <w:rPr>
      <w:rFonts w:ascii="Arial" w:hAnsi="Arial"/>
      <w:b/>
      <w:color w:val="auto"/>
    </w:rPr>
  </w:style>
  <w:style w:type="paragraph" w:styleId="Index1">
    <w:name w:val="index 1"/>
    <w:basedOn w:val="Normal"/>
    <w:next w:val="Normal"/>
    <w:autoRedefine/>
    <w:semiHidden/>
    <w:pPr>
      <w:ind w:left="240" w:hanging="240"/>
    </w:pPr>
    <w:rPr>
      <w:color w:val="auto"/>
    </w:rPr>
  </w:style>
  <w:style w:type="paragraph" w:customStyle="1" w:styleId="xl24">
    <w:name w:val="xl24"/>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olor w:val="auto"/>
    </w:rPr>
  </w:style>
  <w:style w:type="paragraph" w:customStyle="1" w:styleId="xl25">
    <w:name w:val="xl25"/>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b/>
      <w:color w:val="auto"/>
    </w:rPr>
  </w:style>
  <w:style w:type="paragraph" w:customStyle="1" w:styleId="xl26">
    <w:name w:val="xl2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b/>
      <w:color w:val="auto"/>
    </w:rPr>
  </w:style>
  <w:style w:type="paragraph" w:customStyle="1" w:styleId="xl27">
    <w:name w:val="xl27"/>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olor w:val="auto"/>
    </w:rPr>
  </w:style>
  <w:style w:type="paragraph" w:customStyle="1" w:styleId="xl28">
    <w:name w:val="xl28"/>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olor w:val="auto"/>
    </w:rPr>
  </w:style>
  <w:style w:type="paragraph" w:customStyle="1" w:styleId="xl29">
    <w:name w:val="xl2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olor w:val="auto"/>
    </w:rPr>
  </w:style>
  <w:style w:type="paragraph" w:customStyle="1" w:styleId="xl30">
    <w:name w:val="xl30"/>
    <w:basedOn w:val="Normal"/>
    <w:pPr>
      <w:pBdr>
        <w:top w:val="single" w:sz="4" w:space="0" w:color="auto"/>
        <w:left w:val="single" w:sz="4" w:space="0" w:color="auto"/>
        <w:bottom w:val="single" w:sz="4" w:space="0" w:color="auto"/>
      </w:pBdr>
      <w:spacing w:before="100" w:beforeAutospacing="1" w:after="100" w:afterAutospacing="1"/>
      <w:textAlignment w:val="top"/>
    </w:pPr>
    <w:rPr>
      <w:rFonts w:ascii="Arial" w:eastAsia="Arial Unicode MS" w:hAnsi="Arial"/>
      <w:color w:val="auto"/>
    </w:rPr>
  </w:style>
  <w:style w:type="paragraph" w:customStyle="1" w:styleId="xl31">
    <w:name w:val="xl3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eastAsia="Arial Unicode MS" w:hAnsi="Arial"/>
      <w:color w:val="auto"/>
    </w:rPr>
  </w:style>
  <w:style w:type="paragraph" w:customStyle="1" w:styleId="xl32">
    <w:name w:val="xl32"/>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b/>
      <w:color w:val="auto"/>
    </w:rPr>
  </w:style>
  <w:style w:type="paragraph" w:customStyle="1" w:styleId="xl33">
    <w:name w:val="xl3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b/>
      <w:color w:val="auto"/>
    </w:rPr>
  </w:style>
  <w:style w:type="character" w:styleId="Strong">
    <w:name w:val="Strong"/>
    <w:qFormat/>
    <w:rPr>
      <w:b/>
    </w:rPr>
  </w:style>
  <w:style w:type="paragraph" w:styleId="BalloonText">
    <w:name w:val="Balloon Text"/>
    <w:basedOn w:val="Normal"/>
    <w:uiPriority w:val="99"/>
    <w:rPr>
      <w:rFonts w:ascii="Tahoma" w:eastAsia="SimSun" w:hAnsi="Tahoma"/>
      <w:sz w:val="16"/>
    </w:rPr>
  </w:style>
  <w:style w:type="paragraph" w:styleId="NormalWeb">
    <w:name w:val="Normal (Web)"/>
    <w:basedOn w:val="Normal"/>
    <w:uiPriority w:val="99"/>
    <w:pPr>
      <w:spacing w:before="100" w:after="100"/>
    </w:pPr>
    <w:rPr>
      <w:color w:val="auto"/>
      <w:lang w:val="en-US"/>
    </w:rPr>
  </w:style>
  <w:style w:type="paragraph" w:customStyle="1" w:styleId="Thesisheading1">
    <w:name w:val="Thesisheading1"/>
    <w:basedOn w:val="BodyTextIndent2"/>
    <w:pPr>
      <w:widowControl/>
      <w:numPr>
        <w:numId w:val="2"/>
      </w:numPr>
      <w:spacing w:line="360" w:lineRule="auto"/>
    </w:pPr>
    <w:rPr>
      <w:rFonts w:ascii="Arial" w:hAnsi="Arial"/>
      <w:b/>
      <w:caps/>
      <w:snapToGrid/>
      <w:sz w:val="32"/>
    </w:rPr>
  </w:style>
  <w:style w:type="paragraph" w:customStyle="1" w:styleId="Thesisheading4">
    <w:name w:val="Thesisheading4"/>
    <w:basedOn w:val="Heading3"/>
    <w:pPr>
      <w:numPr>
        <w:ilvl w:val="2"/>
        <w:numId w:val="2"/>
      </w:numPr>
      <w:tabs>
        <w:tab w:val="clear" w:pos="720"/>
        <w:tab w:val="num" w:pos="2880"/>
      </w:tabs>
      <w:spacing w:line="360" w:lineRule="auto"/>
      <w:ind w:left="2880" w:hanging="360"/>
    </w:pPr>
    <w:rPr>
      <w:rFonts w:ascii="Arial" w:hAnsi="Arial"/>
      <w:b/>
      <w:snapToGrid/>
    </w:rPr>
  </w:style>
  <w:style w:type="paragraph" w:customStyle="1" w:styleId="font5">
    <w:name w:val="font5"/>
    <w:basedOn w:val="Normal"/>
    <w:pPr>
      <w:spacing w:before="100" w:after="100"/>
    </w:pPr>
    <w:rPr>
      <w:rFonts w:ascii="Arial" w:eastAsia="Arial Unicode MS" w:hAnsi="Arial"/>
      <w:color w:val="00FF00"/>
      <w:sz w:val="20"/>
      <w:lang w:val="en-AU"/>
    </w:rPr>
  </w:style>
  <w:style w:type="paragraph" w:customStyle="1" w:styleId="xl34">
    <w:name w:val="xl34"/>
    <w:basedOn w:val="Normal"/>
    <w:pPr>
      <w:pBdr>
        <w:left w:val="single" w:sz="4" w:space="0" w:color="auto"/>
        <w:bottom w:val="single" w:sz="4" w:space="0" w:color="auto"/>
        <w:right w:val="single" w:sz="4" w:space="0" w:color="auto"/>
      </w:pBdr>
      <w:spacing w:before="100" w:after="100"/>
      <w:textAlignment w:val="top"/>
    </w:pPr>
    <w:rPr>
      <w:rFonts w:ascii="Arial" w:eastAsia="Arial Unicode MS" w:hAnsi="Arial"/>
      <w:color w:val="auto"/>
      <w:lang w:val="en-AU"/>
    </w:rPr>
  </w:style>
  <w:style w:type="paragraph" w:customStyle="1" w:styleId="xl35">
    <w:name w:val="xl35"/>
    <w:basedOn w:val="Normal"/>
    <w:pPr>
      <w:pBdr>
        <w:left w:val="single" w:sz="4" w:space="0" w:color="auto"/>
        <w:bottom w:val="single" w:sz="4" w:space="0" w:color="auto"/>
        <w:right w:val="single" w:sz="4" w:space="0" w:color="auto"/>
      </w:pBdr>
      <w:spacing w:before="100" w:after="100"/>
      <w:textAlignment w:val="top"/>
    </w:pPr>
    <w:rPr>
      <w:rFonts w:ascii="Arial" w:eastAsia="Arial Unicode MS" w:hAnsi="Arial"/>
      <w:color w:val="auto"/>
      <w:lang w:val="en-AU"/>
    </w:rPr>
  </w:style>
  <w:style w:type="paragraph" w:customStyle="1" w:styleId="xl36">
    <w:name w:val="xl36"/>
    <w:basedOn w:val="Normal"/>
    <w:pPr>
      <w:pBdr>
        <w:top w:val="single" w:sz="4" w:space="0" w:color="auto"/>
        <w:left w:val="single" w:sz="4" w:space="0" w:color="auto"/>
        <w:bottom w:val="single" w:sz="4" w:space="0" w:color="auto"/>
        <w:right w:val="single" w:sz="4" w:space="0" w:color="auto"/>
      </w:pBdr>
      <w:spacing w:before="100" w:after="100"/>
      <w:textAlignment w:val="top"/>
    </w:pPr>
    <w:rPr>
      <w:rFonts w:ascii="Arial" w:eastAsia="Arial Unicode MS" w:hAnsi="Arial"/>
      <w:color w:val="auto"/>
      <w:lang w:val="en-AU"/>
    </w:rPr>
  </w:style>
  <w:style w:type="paragraph" w:customStyle="1" w:styleId="xl37">
    <w:name w:val="xl37"/>
    <w:basedOn w:val="Normal"/>
    <w:pPr>
      <w:pBdr>
        <w:top w:val="single" w:sz="4" w:space="0" w:color="auto"/>
        <w:left w:val="single" w:sz="4" w:space="0" w:color="auto"/>
        <w:bottom w:val="single" w:sz="4" w:space="0" w:color="auto"/>
        <w:right w:val="single" w:sz="4" w:space="0" w:color="auto"/>
      </w:pBdr>
      <w:spacing w:before="100" w:after="100"/>
      <w:textAlignment w:val="top"/>
    </w:pPr>
    <w:rPr>
      <w:rFonts w:ascii="Arial" w:eastAsia="Arial Unicode MS" w:hAnsi="Arial"/>
      <w:color w:val="auto"/>
      <w:lang w:val="en-AU"/>
    </w:rPr>
  </w:style>
  <w:style w:type="paragraph" w:customStyle="1" w:styleId="xl38">
    <w:name w:val="xl38"/>
    <w:basedOn w:val="Normal"/>
    <w:pPr>
      <w:pBdr>
        <w:top w:val="single" w:sz="4" w:space="0" w:color="auto"/>
        <w:left w:val="single" w:sz="4" w:space="0" w:color="auto"/>
        <w:bottom w:val="single" w:sz="4" w:space="0" w:color="auto"/>
        <w:right w:val="single" w:sz="4" w:space="0" w:color="auto"/>
      </w:pBdr>
      <w:spacing w:before="100" w:after="100"/>
      <w:textAlignment w:val="top"/>
    </w:pPr>
    <w:rPr>
      <w:rFonts w:ascii="Arial" w:eastAsia="Arial Unicode MS" w:hAnsi="Arial"/>
      <w:color w:val="auto"/>
      <w:lang w:val="en-AU"/>
    </w:rPr>
  </w:style>
  <w:style w:type="paragraph" w:customStyle="1" w:styleId="xl39">
    <w:name w:val="xl39"/>
    <w:basedOn w:val="Normal"/>
    <w:pPr>
      <w:pBdr>
        <w:top w:val="single" w:sz="4" w:space="0" w:color="auto"/>
        <w:left w:val="single" w:sz="4" w:space="0" w:color="auto"/>
        <w:bottom w:val="single" w:sz="4" w:space="0" w:color="auto"/>
        <w:right w:val="single" w:sz="4" w:space="0" w:color="auto"/>
      </w:pBdr>
      <w:shd w:val="clear" w:color="auto" w:fill="FFFFFF"/>
      <w:spacing w:before="100" w:after="100"/>
      <w:jc w:val="both"/>
      <w:textAlignment w:val="top"/>
    </w:pPr>
    <w:rPr>
      <w:rFonts w:ascii="Arial" w:eastAsia="Arial Unicode MS" w:hAnsi="Arial"/>
      <w:color w:val="auto"/>
      <w:lang w:val="en-AU"/>
    </w:rPr>
  </w:style>
  <w:style w:type="paragraph" w:customStyle="1" w:styleId="xl40">
    <w:name w:val="xl40"/>
    <w:basedOn w:val="Normal"/>
    <w:pPr>
      <w:pBdr>
        <w:top w:val="single" w:sz="4" w:space="0" w:color="auto"/>
        <w:left w:val="single" w:sz="4" w:space="0" w:color="auto"/>
        <w:bottom w:val="single" w:sz="4" w:space="0" w:color="auto"/>
        <w:right w:val="single" w:sz="4" w:space="0" w:color="auto"/>
      </w:pBdr>
      <w:shd w:val="clear" w:color="auto" w:fill="FFFFFF"/>
      <w:spacing w:before="100" w:after="100"/>
      <w:textAlignment w:val="top"/>
    </w:pPr>
    <w:rPr>
      <w:rFonts w:ascii="Arial" w:eastAsia="Arial Unicode MS" w:hAnsi="Arial"/>
      <w:color w:val="auto"/>
      <w:lang w:val="en-AU"/>
    </w:rPr>
  </w:style>
  <w:style w:type="paragraph" w:customStyle="1" w:styleId="xl41">
    <w:name w:val="xl41"/>
    <w:basedOn w:val="Normal"/>
    <w:pPr>
      <w:spacing w:before="100" w:after="100"/>
    </w:pPr>
    <w:rPr>
      <w:rFonts w:ascii="Arial" w:eastAsia="Arial Unicode MS" w:hAnsi="Arial"/>
      <w:color w:val="auto"/>
      <w:lang w:val="en-AU"/>
    </w:rPr>
  </w:style>
  <w:style w:type="paragraph" w:customStyle="1" w:styleId="xl42">
    <w:name w:val="xl42"/>
    <w:basedOn w:val="Normal"/>
    <w:pPr>
      <w:pBdr>
        <w:top w:val="single" w:sz="4" w:space="0" w:color="auto"/>
        <w:left w:val="single" w:sz="4" w:space="0" w:color="000000"/>
        <w:right w:val="single" w:sz="4" w:space="0" w:color="auto"/>
      </w:pBdr>
      <w:spacing w:before="100" w:after="100"/>
      <w:textAlignment w:val="top"/>
    </w:pPr>
    <w:rPr>
      <w:rFonts w:ascii="Arial" w:eastAsia="Arial Unicode MS" w:hAnsi="Arial"/>
      <w:color w:val="auto"/>
      <w:lang w:val="en-AU"/>
    </w:rPr>
  </w:style>
  <w:style w:type="paragraph" w:customStyle="1" w:styleId="xl43">
    <w:name w:val="xl43"/>
    <w:basedOn w:val="Normal"/>
    <w:pPr>
      <w:spacing w:before="100" w:after="100"/>
      <w:jc w:val="center"/>
    </w:pPr>
    <w:rPr>
      <w:rFonts w:ascii="Arial" w:eastAsia="Arial Unicode MS" w:hAnsi="Arial"/>
      <w:color w:val="auto"/>
      <w:lang w:val="en-AU"/>
    </w:rPr>
  </w:style>
  <w:style w:type="paragraph" w:customStyle="1" w:styleId="xl44">
    <w:name w:val="xl44"/>
    <w:basedOn w:val="Normal"/>
    <w:pPr>
      <w:spacing w:before="100" w:after="100"/>
      <w:textAlignment w:val="top"/>
    </w:pPr>
    <w:rPr>
      <w:rFonts w:ascii="Arial" w:eastAsia="Arial Unicode MS" w:hAnsi="Arial"/>
      <w:color w:val="auto"/>
      <w:lang w:val="en-AU"/>
    </w:rPr>
  </w:style>
  <w:style w:type="paragraph" w:customStyle="1" w:styleId="xl45">
    <w:name w:val="xl45"/>
    <w:basedOn w:val="Normal"/>
    <w:pPr>
      <w:pBdr>
        <w:top w:val="single" w:sz="4" w:space="0" w:color="auto"/>
        <w:left w:val="single" w:sz="4" w:space="0" w:color="auto"/>
        <w:bottom w:val="single" w:sz="4" w:space="0" w:color="auto"/>
        <w:right w:val="single" w:sz="4" w:space="0" w:color="auto"/>
      </w:pBdr>
      <w:spacing w:before="100" w:after="100"/>
      <w:jc w:val="center"/>
      <w:textAlignment w:val="top"/>
    </w:pPr>
    <w:rPr>
      <w:rFonts w:ascii="Arial" w:eastAsia="Arial Unicode MS" w:hAnsi="Arial"/>
      <w:color w:val="auto"/>
      <w:lang w:val="en-AU"/>
    </w:rPr>
  </w:style>
  <w:style w:type="paragraph" w:customStyle="1" w:styleId="xl46">
    <w:name w:val="xl46"/>
    <w:basedOn w:val="Normal"/>
    <w:pPr>
      <w:pBdr>
        <w:top w:val="single" w:sz="4" w:space="0" w:color="auto"/>
        <w:left w:val="single" w:sz="4" w:space="0" w:color="auto"/>
        <w:bottom w:val="single" w:sz="4" w:space="0" w:color="auto"/>
        <w:right w:val="single" w:sz="4" w:space="0" w:color="auto"/>
      </w:pBdr>
      <w:shd w:val="clear" w:color="auto" w:fill="FFFFFF"/>
      <w:spacing w:before="100" w:after="100"/>
      <w:textAlignment w:val="top"/>
    </w:pPr>
    <w:rPr>
      <w:rFonts w:ascii="Arial" w:eastAsia="Arial Unicode MS" w:hAnsi="Arial"/>
      <w:color w:val="auto"/>
      <w:lang w:val="en-AU"/>
    </w:rPr>
  </w:style>
  <w:style w:type="paragraph" w:customStyle="1" w:styleId="xl47">
    <w:name w:val="xl47"/>
    <w:basedOn w:val="Normal"/>
    <w:pPr>
      <w:pBdr>
        <w:left w:val="single" w:sz="4" w:space="0" w:color="auto"/>
        <w:bottom w:val="single" w:sz="4" w:space="0" w:color="auto"/>
        <w:right w:val="single" w:sz="4" w:space="0" w:color="auto"/>
      </w:pBdr>
      <w:spacing w:before="100" w:after="100"/>
      <w:jc w:val="center"/>
      <w:textAlignment w:val="top"/>
    </w:pPr>
    <w:rPr>
      <w:rFonts w:ascii="Arial" w:eastAsia="Arial Unicode MS" w:hAnsi="Arial"/>
      <w:color w:val="auto"/>
      <w:lang w:val="en-AU"/>
    </w:rPr>
  </w:style>
  <w:style w:type="paragraph" w:customStyle="1" w:styleId="xl48">
    <w:name w:val="xl48"/>
    <w:basedOn w:val="Normal"/>
    <w:pPr>
      <w:pBdr>
        <w:top w:val="single" w:sz="4" w:space="0" w:color="auto"/>
        <w:left w:val="single" w:sz="4" w:space="0" w:color="auto"/>
        <w:bottom w:val="single" w:sz="4" w:space="0" w:color="auto"/>
        <w:right w:val="single" w:sz="4" w:space="0" w:color="auto"/>
      </w:pBdr>
      <w:spacing w:before="100" w:after="100"/>
      <w:jc w:val="center"/>
      <w:textAlignment w:val="top"/>
    </w:pPr>
    <w:rPr>
      <w:rFonts w:ascii="Arial" w:eastAsia="Arial Unicode MS" w:hAnsi="Arial"/>
      <w:color w:val="auto"/>
      <w:lang w:val="en-AU"/>
    </w:rPr>
  </w:style>
  <w:style w:type="paragraph" w:customStyle="1" w:styleId="xl49">
    <w:name w:val="xl49"/>
    <w:basedOn w:val="Normal"/>
    <w:pPr>
      <w:pBdr>
        <w:left w:val="single" w:sz="4" w:space="0" w:color="auto"/>
        <w:bottom w:val="single" w:sz="4" w:space="0" w:color="auto"/>
        <w:right w:val="single" w:sz="4" w:space="0" w:color="auto"/>
      </w:pBdr>
      <w:spacing w:before="100" w:after="100"/>
      <w:jc w:val="center"/>
      <w:textAlignment w:val="top"/>
    </w:pPr>
    <w:rPr>
      <w:rFonts w:ascii="Arial" w:eastAsia="Arial Unicode MS" w:hAnsi="Arial"/>
      <w:color w:val="auto"/>
      <w:lang w:val="en-AU"/>
    </w:rPr>
  </w:style>
  <w:style w:type="paragraph" w:customStyle="1" w:styleId="xl50">
    <w:name w:val="xl50"/>
    <w:basedOn w:val="Normal"/>
    <w:pPr>
      <w:pBdr>
        <w:top w:val="single" w:sz="4" w:space="0" w:color="auto"/>
        <w:left w:val="single" w:sz="4" w:space="0" w:color="auto"/>
        <w:bottom w:val="single" w:sz="4" w:space="0" w:color="auto"/>
        <w:right w:val="single" w:sz="4" w:space="0" w:color="auto"/>
      </w:pBdr>
      <w:spacing w:before="100" w:after="100"/>
      <w:jc w:val="center"/>
      <w:textAlignment w:val="top"/>
    </w:pPr>
    <w:rPr>
      <w:rFonts w:ascii="Arial" w:eastAsia="Arial Unicode MS" w:hAnsi="Arial"/>
      <w:color w:val="auto"/>
      <w:lang w:val="en-AU"/>
    </w:rPr>
  </w:style>
  <w:style w:type="paragraph" w:customStyle="1" w:styleId="xl51">
    <w:name w:val="xl51"/>
    <w:basedOn w:val="Normal"/>
    <w:pPr>
      <w:pBdr>
        <w:top w:val="single" w:sz="4" w:space="0" w:color="auto"/>
        <w:left w:val="single" w:sz="4" w:space="0" w:color="auto"/>
        <w:bottom w:val="single" w:sz="4" w:space="0" w:color="auto"/>
        <w:right w:val="single" w:sz="4" w:space="0" w:color="auto"/>
      </w:pBdr>
      <w:shd w:val="clear" w:color="auto" w:fill="FFFFFF"/>
      <w:spacing w:before="100" w:after="100"/>
      <w:jc w:val="center"/>
      <w:textAlignment w:val="top"/>
    </w:pPr>
    <w:rPr>
      <w:rFonts w:ascii="Arial" w:eastAsia="Arial Unicode MS" w:hAnsi="Arial"/>
      <w:color w:val="auto"/>
      <w:lang w:val="en-AU"/>
    </w:rPr>
  </w:style>
  <w:style w:type="paragraph" w:customStyle="1" w:styleId="xl52">
    <w:name w:val="xl52"/>
    <w:basedOn w:val="Normal"/>
    <w:pPr>
      <w:pBdr>
        <w:top w:val="single" w:sz="4" w:space="0" w:color="auto"/>
        <w:left w:val="single" w:sz="4" w:space="0" w:color="auto"/>
        <w:bottom w:val="single" w:sz="4" w:space="0" w:color="auto"/>
        <w:right w:val="single" w:sz="4" w:space="0" w:color="auto"/>
      </w:pBdr>
      <w:spacing w:before="100" w:after="100"/>
      <w:jc w:val="center"/>
      <w:textAlignment w:val="top"/>
    </w:pPr>
    <w:rPr>
      <w:rFonts w:ascii="Arial" w:eastAsia="Arial Unicode MS" w:hAnsi="Arial"/>
      <w:color w:val="auto"/>
      <w:lang w:val="en-AU"/>
    </w:rPr>
  </w:style>
  <w:style w:type="paragraph" w:customStyle="1" w:styleId="xl53">
    <w:name w:val="xl53"/>
    <w:basedOn w:val="Normal"/>
    <w:pPr>
      <w:pBdr>
        <w:top w:val="single" w:sz="4" w:space="0" w:color="auto"/>
        <w:left w:val="single" w:sz="4" w:space="0" w:color="auto"/>
        <w:bottom w:val="single" w:sz="4" w:space="0" w:color="auto"/>
        <w:right w:val="single" w:sz="4" w:space="0" w:color="auto"/>
      </w:pBdr>
      <w:spacing w:before="100" w:after="100"/>
      <w:jc w:val="center"/>
      <w:textAlignment w:val="top"/>
    </w:pPr>
    <w:rPr>
      <w:rFonts w:ascii="Arial" w:eastAsia="Arial Unicode MS" w:hAnsi="Arial"/>
      <w:color w:val="auto"/>
      <w:lang w:val="en-AU"/>
    </w:rPr>
  </w:style>
  <w:style w:type="paragraph" w:customStyle="1" w:styleId="xl54">
    <w:name w:val="xl54"/>
    <w:basedOn w:val="Normal"/>
    <w:pPr>
      <w:pBdr>
        <w:top w:val="single" w:sz="4" w:space="0" w:color="auto"/>
        <w:left w:val="single" w:sz="4" w:space="0" w:color="auto"/>
        <w:bottom w:val="single" w:sz="4" w:space="0" w:color="auto"/>
        <w:right w:val="single" w:sz="4" w:space="0" w:color="auto"/>
      </w:pBdr>
      <w:spacing w:before="100" w:after="100"/>
      <w:jc w:val="center"/>
      <w:textAlignment w:val="top"/>
    </w:pPr>
    <w:rPr>
      <w:rFonts w:ascii="Arial" w:eastAsia="Arial Unicode MS" w:hAnsi="Arial"/>
      <w:color w:val="auto"/>
      <w:lang w:val="en-AU"/>
    </w:rPr>
  </w:style>
  <w:style w:type="paragraph" w:customStyle="1" w:styleId="xl55">
    <w:name w:val="xl55"/>
    <w:basedOn w:val="Normal"/>
    <w:pPr>
      <w:pBdr>
        <w:top w:val="single" w:sz="4" w:space="0" w:color="auto"/>
        <w:left w:val="single" w:sz="4" w:space="0" w:color="auto"/>
        <w:bottom w:val="single" w:sz="4" w:space="0" w:color="auto"/>
        <w:right w:val="single" w:sz="4" w:space="0" w:color="auto"/>
      </w:pBdr>
      <w:spacing w:before="100" w:after="100"/>
      <w:jc w:val="center"/>
      <w:textAlignment w:val="top"/>
    </w:pPr>
    <w:rPr>
      <w:rFonts w:ascii="Arial" w:eastAsia="Arial Unicode MS" w:hAnsi="Arial"/>
      <w:color w:val="auto"/>
      <w:lang w:val="en-AU"/>
    </w:rPr>
  </w:style>
  <w:style w:type="paragraph" w:customStyle="1" w:styleId="xl56">
    <w:name w:val="xl56"/>
    <w:basedOn w:val="Normal"/>
    <w:pPr>
      <w:pBdr>
        <w:top w:val="single" w:sz="4" w:space="0" w:color="auto"/>
        <w:left w:val="single" w:sz="4" w:space="0" w:color="auto"/>
        <w:bottom w:val="single" w:sz="4" w:space="0" w:color="auto"/>
        <w:right w:val="single" w:sz="4" w:space="0" w:color="auto"/>
      </w:pBdr>
      <w:spacing w:before="100" w:after="100"/>
      <w:jc w:val="center"/>
      <w:textAlignment w:val="top"/>
    </w:pPr>
    <w:rPr>
      <w:rFonts w:ascii="Arial" w:eastAsia="Arial Unicode MS" w:hAnsi="Arial"/>
      <w:color w:val="auto"/>
      <w:lang w:val="en-AU"/>
    </w:rPr>
  </w:style>
  <w:style w:type="paragraph" w:customStyle="1" w:styleId="Default">
    <w:name w:val="Default"/>
    <w:pPr>
      <w:autoSpaceDE w:val="0"/>
      <w:autoSpaceDN w:val="0"/>
      <w:adjustRightInd w:val="0"/>
    </w:pPr>
    <w:rPr>
      <w:rFonts w:ascii="Times New Roman" w:hAnsi="Times New Roman"/>
      <w:color w:val="000000"/>
      <w:sz w:val="24"/>
      <w:lang w:val="en-US"/>
    </w:rPr>
  </w:style>
  <w:style w:type="paragraph" w:styleId="ListNumber5">
    <w:name w:val="List Number 5"/>
    <w:basedOn w:val="Normal"/>
    <w:pPr>
      <w:numPr>
        <w:numId w:val="3"/>
      </w:numPr>
      <w:tabs>
        <w:tab w:val="clear" w:pos="1492"/>
        <w:tab w:val="num" w:pos="1800"/>
      </w:tabs>
      <w:spacing w:after="0"/>
      <w:ind w:left="1800"/>
    </w:pPr>
    <w:rPr>
      <w:color w:val="auto"/>
      <w:lang w:val="en-US"/>
    </w:rPr>
  </w:style>
  <w:style w:type="paragraph" w:customStyle="1" w:styleId="Sectionheading">
    <w:name w:val="Section heading"/>
    <w:basedOn w:val="Heading2"/>
    <w:pPr>
      <w:spacing w:before="120"/>
      <w:ind w:left="1080" w:hanging="1080"/>
    </w:pPr>
    <w:rPr>
      <w:snapToGrid/>
    </w:rPr>
  </w:style>
  <w:style w:type="paragraph" w:customStyle="1" w:styleId="Sectionsub-heading">
    <w:name w:val="Section sub-heading"/>
    <w:basedOn w:val="Heading3"/>
    <w:pPr>
      <w:spacing w:before="60"/>
      <w:ind w:left="2126" w:hanging="1049"/>
    </w:pPr>
    <w:rPr>
      <w:snapToGrid/>
    </w:rPr>
  </w:style>
  <w:style w:type="paragraph" w:customStyle="1" w:styleId="MainTextIndent">
    <w:name w:val="Main Text Indent"/>
    <w:basedOn w:val="MainText"/>
    <w:pPr>
      <w:tabs>
        <w:tab w:val="left" w:pos="567"/>
      </w:tabs>
      <w:ind w:left="993" w:hanging="993"/>
    </w:pPr>
  </w:style>
  <w:style w:type="paragraph" w:customStyle="1" w:styleId="MainTextDoubleIndent">
    <w:name w:val="Main Text Double Indent"/>
    <w:basedOn w:val="MainTextIndent"/>
    <w:pPr>
      <w:tabs>
        <w:tab w:val="left" w:pos="993"/>
      </w:tabs>
      <w:ind w:left="1418" w:hanging="1418"/>
    </w:pPr>
  </w:style>
  <w:style w:type="paragraph" w:customStyle="1" w:styleId="HeadingSub">
    <w:name w:val="Heading: Sub"/>
    <w:basedOn w:val="MainText"/>
    <w:rPr>
      <w:rFonts w:ascii="Futura" w:hAnsi="Futura"/>
    </w:rPr>
  </w:style>
  <w:style w:type="paragraph" w:customStyle="1" w:styleId="MainTextNon-indent">
    <w:name w:val="Main Text Non-indent"/>
    <w:basedOn w:val="MainText"/>
    <w:pPr>
      <w:ind w:left="0" w:firstLine="0"/>
    </w:pPr>
  </w:style>
  <w:style w:type="paragraph" w:customStyle="1" w:styleId="HeadingSection">
    <w:name w:val="Heading: Section"/>
    <w:basedOn w:val="Normal"/>
    <w:pPr>
      <w:widowControl w:val="0"/>
      <w:tabs>
        <w:tab w:val="left" w:pos="3969"/>
      </w:tabs>
      <w:spacing w:line="360" w:lineRule="exact"/>
      <w:ind w:left="1701" w:hanging="1701"/>
    </w:pPr>
    <w:rPr>
      <w:rFonts w:ascii="Arial" w:hAnsi="Arial"/>
    </w:rPr>
  </w:style>
  <w:style w:type="paragraph" w:customStyle="1" w:styleId="GCDCB12">
    <w:name w:val="GCD_CB12"/>
    <w:basedOn w:val="Normal"/>
    <w:next w:val="Normal"/>
    <w:pPr>
      <w:jc w:val="center"/>
    </w:pPr>
    <w:rPr>
      <w:b/>
      <w:color w:val="auto"/>
    </w:rPr>
  </w:style>
  <w:style w:type="paragraph" w:customStyle="1" w:styleId="Closeup">
    <w:name w:val="Closeup"/>
    <w:basedOn w:val="Normal"/>
    <w:pPr>
      <w:spacing w:after="0"/>
    </w:pPr>
    <w:rPr>
      <w:color w:val="auto"/>
      <w:lang w:eastAsia="ja-JP"/>
    </w:rPr>
  </w:style>
  <w:style w:type="paragraph" w:customStyle="1" w:styleId="ScreenFormat-1">
    <w:name w:val="ScreenFormat-1"/>
    <w:basedOn w:val="Normal"/>
    <w:pPr>
      <w:spacing w:before="120" w:after="120"/>
    </w:pPr>
    <w:rPr>
      <w:color w:val="auto"/>
      <w:sz w:val="32"/>
      <w:lang w:eastAsia="ja-JP"/>
    </w:rPr>
  </w:style>
  <w:style w:type="paragraph" w:customStyle="1" w:styleId="TableText">
    <w:name w:val="TableText"/>
    <w:basedOn w:val="BodyText"/>
    <w:pPr>
      <w:keepLines/>
      <w:spacing w:after="0" w:line="240" w:lineRule="auto"/>
    </w:pPr>
    <w:rPr>
      <w:rFonts w:eastAsia="Times"/>
      <w:color w:val="auto"/>
      <w:sz w:val="20"/>
      <w:lang w:val="en-US" w:eastAsia="ja-JP"/>
    </w:rPr>
  </w:style>
  <w:style w:type="paragraph" w:customStyle="1" w:styleId="Equation">
    <w:name w:val="Equation"/>
    <w:basedOn w:val="BodyText"/>
    <w:pPr>
      <w:keepLines/>
      <w:tabs>
        <w:tab w:val="right" w:pos="9639"/>
      </w:tabs>
      <w:spacing w:after="0" w:line="240" w:lineRule="auto"/>
      <w:ind w:left="567"/>
    </w:pPr>
    <w:rPr>
      <w:rFonts w:eastAsia="Times"/>
      <w:color w:val="auto"/>
      <w:lang w:val="en-US" w:eastAsia="ja-JP"/>
    </w:rPr>
  </w:style>
  <w:style w:type="paragraph" w:customStyle="1" w:styleId="Note">
    <w:name w:val="Note"/>
    <w:basedOn w:val="BodyText"/>
    <w:pPr>
      <w:keepLines/>
      <w:pBdr>
        <w:top w:val="single" w:sz="2" w:space="1" w:color="808080"/>
        <w:left w:val="single" w:sz="2" w:space="4" w:color="808080"/>
        <w:bottom w:val="single" w:sz="2" w:space="1" w:color="808080"/>
        <w:right w:val="single" w:sz="2" w:space="4" w:color="808080"/>
      </w:pBdr>
      <w:spacing w:after="0" w:line="240" w:lineRule="auto"/>
    </w:pPr>
    <w:rPr>
      <w:rFonts w:eastAsia="Times"/>
      <w:i/>
      <w:color w:val="auto"/>
      <w:lang w:val="en-US" w:eastAsia="ja-JP"/>
    </w:rPr>
  </w:style>
  <w:style w:type="paragraph" w:customStyle="1" w:styleId="AR4Listbullet1">
    <w:name w:val="AR4 List bullet 1"/>
    <w:basedOn w:val="Normal"/>
    <w:pPr>
      <w:numPr>
        <w:numId w:val="4"/>
      </w:numPr>
      <w:spacing w:after="0"/>
    </w:pPr>
    <w:rPr>
      <w:rFonts w:ascii="Times" w:eastAsia="Times" w:hAnsi="Times"/>
      <w:color w:val="auto"/>
      <w:lang w:val="en-US" w:eastAsia="ja-JP"/>
    </w:rPr>
  </w:style>
  <w:style w:type="paragraph" w:customStyle="1" w:styleId="OurCaption">
    <w:name w:val="OurCaption"/>
    <w:basedOn w:val="Normal"/>
    <w:pPr>
      <w:spacing w:after="0"/>
      <w:ind w:right="12"/>
    </w:pPr>
    <w:rPr>
      <w:rFonts w:eastAsia="Times"/>
      <w:color w:val="auto"/>
      <w:sz w:val="20"/>
      <w:lang w:eastAsia="ja-JP"/>
    </w:rPr>
  </w:style>
  <w:style w:type="paragraph" w:customStyle="1" w:styleId="Paralevel1">
    <w:name w:val="Para level1"/>
    <w:basedOn w:val="Normal"/>
    <w:autoRedefine/>
    <w:pPr>
      <w:tabs>
        <w:tab w:val="left" w:pos="2070"/>
      </w:tabs>
      <w:suppressAutoHyphens/>
    </w:pPr>
    <w:rPr>
      <w:color w:val="auto"/>
      <w:sz w:val="20"/>
    </w:rPr>
  </w:style>
  <w:style w:type="paragraph" w:customStyle="1" w:styleId="CH4">
    <w:name w:val="CH4"/>
    <w:basedOn w:val="Normal"/>
    <w:autoRedefine/>
    <w:pPr>
      <w:keepNext/>
      <w:keepLines/>
      <w:numPr>
        <w:numId w:val="5"/>
      </w:numPr>
      <w:tabs>
        <w:tab w:val="clear" w:pos="0"/>
        <w:tab w:val="num" w:pos="360"/>
      </w:tabs>
      <w:spacing w:before="120"/>
      <w:ind w:left="0"/>
    </w:pPr>
    <w:rPr>
      <w:b/>
      <w:color w:val="auto"/>
      <w:sz w:val="20"/>
    </w:rPr>
  </w:style>
  <w:style w:type="character" w:customStyle="1" w:styleId="Para1Car">
    <w:name w:val="Para (1) Car"/>
    <w:aliases w:val="Heading 1 Char1 Char Car,Heading 1 Char Char Char Car,Para (1) Char Char Char Car,Para (1) Char1 Char Car,Heading 1 Char1 Car,Heading 1 Char Char Car,Para (1) Char Char Car,Para (1) Char1 Car,Heading 1 Char1 Char Char Car,Heading 1 Char Car"/>
    <w:rPr>
      <w:rFonts w:ascii="Arial" w:eastAsia="MS Mincho" w:hAnsi="Arial" w:cs="Arial"/>
      <w:b/>
      <w:bCs/>
      <w:noProof w:val="0"/>
      <w:kern w:val="32"/>
      <w:sz w:val="32"/>
      <w:szCs w:val="32"/>
      <w:lang w:val="en-US" w:eastAsia="ja-JP" w:bidi="ar-SA"/>
    </w:rPr>
  </w:style>
  <w:style w:type="paragraph" w:customStyle="1" w:styleId="Titulo3">
    <w:name w:val="Titulo 3"/>
    <w:basedOn w:val="Normal"/>
    <w:pPr>
      <w:widowControl w:val="0"/>
      <w:spacing w:after="0"/>
      <w:ind w:left="1185"/>
      <w:jc w:val="both"/>
    </w:pPr>
    <w:rPr>
      <w:rFonts w:eastAsia="MS Mincho"/>
      <w:b/>
      <w:i/>
      <w:color w:val="auto"/>
      <w:kern w:val="2"/>
      <w:lang w:val="en-US" w:eastAsia="ja-JP"/>
    </w:rPr>
  </w:style>
  <w:style w:type="paragraph" w:customStyle="1" w:styleId="Style2">
    <w:name w:val="Style2"/>
    <w:basedOn w:val="Normal"/>
    <w:link w:val="Style2Char"/>
    <w:qFormat/>
    <w:pPr>
      <w:spacing w:after="0"/>
    </w:pPr>
    <w:rPr>
      <w:color w:val="auto"/>
      <w:lang w:eastAsia="en-GB"/>
    </w:rPr>
  </w:style>
  <w:style w:type="paragraph" w:customStyle="1" w:styleId="TEXTO">
    <w:name w:val="TEXTO"/>
    <w:pPr>
      <w:autoSpaceDE w:val="0"/>
      <w:autoSpaceDN w:val="0"/>
      <w:adjustRightInd w:val="0"/>
      <w:jc w:val="both"/>
    </w:pPr>
    <w:rPr>
      <w:rFonts w:ascii="Galliard" w:hAnsi="Galliard"/>
      <w:color w:val="000000"/>
      <w:sz w:val="22"/>
      <w:szCs w:val="22"/>
      <w:lang w:val="en-US"/>
    </w:rPr>
  </w:style>
  <w:style w:type="paragraph" w:customStyle="1" w:styleId="font6">
    <w:name w:val="font6"/>
    <w:basedOn w:val="Normal"/>
    <w:pPr>
      <w:spacing w:before="100" w:beforeAutospacing="1" w:after="100" w:afterAutospacing="1"/>
    </w:pPr>
    <w:rPr>
      <w:rFonts w:ascii="Arial" w:eastAsia="Arial Unicode MS" w:hAnsi="Arial" w:cs="Arial"/>
      <w:color w:val="auto"/>
      <w:sz w:val="20"/>
      <w:lang w:eastAsia="en-US"/>
    </w:rPr>
  </w:style>
  <w:style w:type="paragraph" w:customStyle="1" w:styleId="font7">
    <w:name w:val="font7"/>
    <w:basedOn w:val="Normal"/>
    <w:pPr>
      <w:spacing w:before="100" w:beforeAutospacing="1" w:after="100" w:afterAutospacing="1"/>
    </w:pPr>
    <w:rPr>
      <w:rFonts w:ascii="Arial" w:eastAsia="Arial Unicode MS" w:hAnsi="Arial" w:cs="Arial"/>
      <w:color w:val="FF0000"/>
      <w:sz w:val="20"/>
      <w:lang w:eastAsia="en-US"/>
    </w:rPr>
  </w:style>
  <w:style w:type="paragraph" w:customStyle="1" w:styleId="font8">
    <w:name w:val="font8"/>
    <w:basedOn w:val="Normal"/>
    <w:pPr>
      <w:spacing w:before="100" w:beforeAutospacing="1" w:after="100" w:afterAutospacing="1"/>
    </w:pPr>
    <w:rPr>
      <w:rFonts w:ascii="Arial" w:eastAsia="Arial Unicode MS" w:hAnsi="Arial" w:cs="Arial"/>
      <w:color w:val="0000FF"/>
      <w:sz w:val="20"/>
      <w:lang w:eastAsia="en-US"/>
    </w:rPr>
  </w:style>
  <w:style w:type="paragraph" w:customStyle="1" w:styleId="Normaalweb">
    <w:name w:val="Normaal (web)"/>
    <w:basedOn w:val="Normal"/>
    <w:pPr>
      <w:spacing w:before="100" w:beforeAutospacing="1" w:after="100" w:afterAutospacing="1"/>
    </w:pPr>
    <w:rPr>
      <w:szCs w:val="24"/>
      <w:lang w:val="fr-FR" w:eastAsia="fr-FR"/>
    </w:rPr>
  </w:style>
  <w:style w:type="character" w:customStyle="1" w:styleId="epaltsans1">
    <w:name w:val="epaltsans1"/>
    <w:rPr>
      <w:rFonts w:ascii="Arial" w:hAnsi="Arial" w:cs="Arial" w:hint="default"/>
      <w:sz w:val="16"/>
      <w:szCs w:val="16"/>
    </w:rPr>
  </w:style>
  <w:style w:type="paragraph" w:styleId="List">
    <w:name w:val="List"/>
    <w:basedOn w:val="Normal"/>
    <w:semiHidden/>
    <w:pPr>
      <w:spacing w:after="0"/>
      <w:ind w:left="360" w:hanging="360"/>
    </w:pPr>
    <w:rPr>
      <w:color w:val="auto"/>
      <w:szCs w:val="24"/>
      <w:lang w:val="en-US" w:eastAsia="en-US"/>
    </w:rPr>
  </w:style>
  <w:style w:type="character" w:customStyle="1" w:styleId="w">
    <w:name w:val="w"/>
    <w:basedOn w:val="DefaultParagraphFont"/>
  </w:style>
  <w:style w:type="paragraph" w:customStyle="1" w:styleId="BodyTextLetterBullets">
    <w:name w:val="Body Text + Letter Bullets"/>
    <w:basedOn w:val="BodyText"/>
    <w:pPr>
      <w:tabs>
        <w:tab w:val="num" w:pos="360"/>
      </w:tabs>
      <w:spacing w:before="120" w:after="0" w:line="288" w:lineRule="auto"/>
    </w:pPr>
    <w:rPr>
      <w:color w:val="auto"/>
      <w:szCs w:val="22"/>
      <w:lang w:val="en-US" w:eastAsia="en-US"/>
    </w:rPr>
  </w:style>
  <w:style w:type="paragraph" w:customStyle="1" w:styleId="BodyTextSmallBullets">
    <w:name w:val="Body Text + Small Bullets"/>
    <w:basedOn w:val="BodyText"/>
    <w:pPr>
      <w:tabs>
        <w:tab w:val="num" w:pos="360"/>
      </w:tabs>
      <w:spacing w:after="0" w:line="288" w:lineRule="auto"/>
    </w:pPr>
    <w:rPr>
      <w:color w:val="auto"/>
      <w:szCs w:val="22"/>
      <w:lang w:val="en-AU" w:eastAsia="en-US"/>
    </w:rPr>
  </w:style>
  <w:style w:type="paragraph" w:customStyle="1" w:styleId="BodyTextbullet">
    <w:name w:val="Body Text + bullet"/>
    <w:basedOn w:val="BodyText"/>
    <w:pPr>
      <w:tabs>
        <w:tab w:val="num" w:pos="360"/>
      </w:tabs>
      <w:spacing w:after="0" w:line="288" w:lineRule="auto"/>
    </w:pPr>
    <w:rPr>
      <w:color w:val="auto"/>
      <w:szCs w:val="22"/>
      <w:lang w:val="en-AU" w:eastAsia="en-US"/>
    </w:rPr>
  </w:style>
  <w:style w:type="paragraph" w:customStyle="1" w:styleId="Head1">
    <w:name w:val="Head 1"/>
    <w:basedOn w:val="Normal"/>
    <w:pPr>
      <w:tabs>
        <w:tab w:val="left" w:pos="340"/>
        <w:tab w:val="num" w:pos="720"/>
        <w:tab w:val="left" w:pos="2775"/>
        <w:tab w:val="left" w:pos="6300"/>
      </w:tabs>
      <w:autoSpaceDE w:val="0"/>
      <w:autoSpaceDN w:val="0"/>
      <w:adjustRightInd w:val="0"/>
      <w:spacing w:after="0"/>
      <w:ind w:left="340" w:hanging="340"/>
    </w:pPr>
    <w:rPr>
      <w:rFonts w:eastAsia="MS Mincho"/>
      <w:b/>
      <w:bCs/>
      <w:color w:val="auto"/>
      <w:szCs w:val="24"/>
      <w:lang w:val="en-US" w:eastAsia="en-US"/>
    </w:rPr>
  </w:style>
  <w:style w:type="paragraph" w:customStyle="1" w:styleId="xl57">
    <w:name w:val="xl57"/>
    <w:basedOn w:val="Normal"/>
    <w:pPr>
      <w:shd w:val="clear" w:color="auto" w:fill="FFFFFF"/>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58">
    <w:name w:val="xl58"/>
    <w:basedOn w:val="Normal"/>
    <w:pPr>
      <w:pBdr>
        <w:left w:val="single" w:sz="4" w:space="0" w:color="auto"/>
        <w:right w:val="single" w:sz="4" w:space="0" w:color="auto"/>
      </w:pBdr>
      <w:shd w:val="clear" w:color="auto" w:fill="FFFFFF"/>
      <w:spacing w:before="100" w:beforeAutospacing="1" w:after="100" w:afterAutospacing="1"/>
      <w:jc w:val="center"/>
    </w:pPr>
    <w:rPr>
      <w:rFonts w:ascii="Arial Unicode MS" w:hAnsi="Arial Unicode MS" w:cs="ArialUnicodeMS"/>
      <w:b/>
      <w:bCs/>
      <w:color w:val="auto"/>
      <w:sz w:val="12"/>
      <w:szCs w:val="12"/>
      <w:lang w:val="en-AU" w:eastAsia="en-US"/>
    </w:rPr>
  </w:style>
  <w:style w:type="paragraph" w:customStyle="1" w:styleId="xl59">
    <w:name w:val="xl59"/>
    <w:basedOn w:val="Normal"/>
    <w:pPr>
      <w:shd w:val="clear" w:color="auto" w:fill="FFFFFF"/>
      <w:spacing w:before="100" w:beforeAutospacing="1" w:after="100" w:afterAutospacing="1"/>
      <w:jc w:val="center"/>
    </w:pPr>
    <w:rPr>
      <w:rFonts w:ascii="Arial Unicode MS" w:hAnsi="Arial Unicode MS" w:cs="ArialUnicodeMS"/>
      <w:b/>
      <w:bCs/>
      <w:color w:val="auto"/>
      <w:sz w:val="12"/>
      <w:szCs w:val="12"/>
      <w:lang w:val="en-AU" w:eastAsia="en-US"/>
    </w:rPr>
  </w:style>
  <w:style w:type="paragraph" w:customStyle="1" w:styleId="xl60">
    <w:name w:val="xl60"/>
    <w:basedOn w:val="Normal"/>
    <w:pPr>
      <w:pBdr>
        <w:right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61">
    <w:name w:val="xl61"/>
    <w:basedOn w:val="Normal"/>
    <w:pPr>
      <w:pBdr>
        <w:top w:val="single" w:sz="4" w:space="0" w:color="auto"/>
        <w:bottom w:val="single" w:sz="4" w:space="0" w:color="auto"/>
      </w:pBdr>
      <w:shd w:val="clear" w:color="auto" w:fill="FFFFFF"/>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62">
    <w:name w:val="xl62"/>
    <w:basedOn w:val="Normal"/>
    <w:pPr>
      <w:pBdr>
        <w:top w:val="single" w:sz="4" w:space="0" w:color="auto"/>
        <w:bottom w:val="single" w:sz="4" w:space="0" w:color="auto"/>
      </w:pBdr>
      <w:shd w:val="clear" w:color="auto" w:fill="FFFFFF"/>
      <w:spacing w:before="100" w:beforeAutospacing="1" w:after="100" w:afterAutospacing="1"/>
      <w:jc w:val="center"/>
    </w:pPr>
    <w:rPr>
      <w:rFonts w:ascii="Arial Unicode MS" w:hAnsi="Arial Unicode MS" w:cs="ArialUnicodeMS"/>
      <w:b/>
      <w:bCs/>
      <w:color w:val="auto"/>
      <w:sz w:val="12"/>
      <w:szCs w:val="12"/>
      <w:lang w:val="en-AU" w:eastAsia="en-US"/>
    </w:rPr>
  </w:style>
  <w:style w:type="paragraph" w:customStyle="1" w:styleId="xl63">
    <w:name w:val="xl63"/>
    <w:basedOn w:val="Normal"/>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64">
    <w:name w:val="xl64"/>
    <w:basedOn w:val="Normal"/>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65">
    <w:name w:val="xl65"/>
    <w:basedOn w:val="Normal"/>
    <w:pPr>
      <w:pBdr>
        <w:top w:val="single" w:sz="4" w:space="0" w:color="auto"/>
      </w:pBdr>
      <w:shd w:val="clear" w:color="auto" w:fill="FFFFFF"/>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66">
    <w:name w:val="xl66"/>
    <w:basedOn w:val="Normal"/>
    <w:pPr>
      <w:pBdr>
        <w:top w:val="single" w:sz="4" w:space="0" w:color="auto"/>
        <w:right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67">
    <w:name w:val="xl67"/>
    <w:basedOn w:val="Normal"/>
    <w:pPr>
      <w:pBdr>
        <w:top w:val="single" w:sz="4" w:space="0" w:color="auto"/>
        <w:right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68">
    <w:name w:val="xl68"/>
    <w:basedOn w:val="Normal"/>
    <w:pPr>
      <w:pBdr>
        <w:bottom w:val="single" w:sz="4" w:space="0" w:color="auto"/>
        <w:right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69">
    <w:name w:val="xl69"/>
    <w:basedOn w:val="Normal"/>
    <w:pPr>
      <w:pBdr>
        <w:right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70">
    <w:name w:val="xl70"/>
    <w:basedOn w:val="Normal"/>
    <w:pPr>
      <w:pBdr>
        <w:top w:val="single" w:sz="4" w:space="0" w:color="auto"/>
        <w:left w:val="single" w:sz="4" w:space="0" w:color="auto"/>
        <w:right w:val="single" w:sz="4" w:space="0" w:color="auto"/>
      </w:pBdr>
      <w:spacing w:before="100" w:beforeAutospacing="1" w:after="100" w:afterAutospacing="1"/>
    </w:pPr>
    <w:rPr>
      <w:rFonts w:ascii="Arial Unicode MS" w:hAnsi="Arial Unicode MS" w:cs="ArialUnicodeMS"/>
      <w:color w:val="auto"/>
      <w:sz w:val="12"/>
      <w:szCs w:val="12"/>
      <w:lang w:val="en-AU" w:eastAsia="en-US"/>
    </w:rPr>
  </w:style>
  <w:style w:type="paragraph" w:customStyle="1" w:styleId="xl71">
    <w:name w:val="xl71"/>
    <w:basedOn w:val="Normal"/>
    <w:pPr>
      <w:pBdr>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72">
    <w:name w:val="xl72"/>
    <w:basedOn w:val="Normal"/>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73">
    <w:name w:val="xl73"/>
    <w:basedOn w:val="Normal"/>
    <w:pPr>
      <w:pBdr>
        <w:right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74">
    <w:name w:val="xl74"/>
    <w:basedOn w:val="Normal"/>
    <w:pPr>
      <w:pBdr>
        <w:top w:val="single" w:sz="4" w:space="0" w:color="auto"/>
        <w:left w:val="single" w:sz="4" w:space="0" w:color="auto"/>
        <w:bottom w:val="single" w:sz="4" w:space="0" w:color="auto"/>
      </w:pBdr>
      <w:shd w:val="clear" w:color="auto" w:fill="FFFFFF"/>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75">
    <w:name w:val="xl75"/>
    <w:basedOn w:val="Normal"/>
    <w:pPr>
      <w:pBdr>
        <w:right w:val="single" w:sz="4" w:space="0" w:color="auto"/>
      </w:pBd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76">
    <w:name w:val="xl76"/>
    <w:basedOn w:val="Normal"/>
    <w:pPr>
      <w:pBdr>
        <w:left w:val="single" w:sz="4" w:space="0" w:color="auto"/>
      </w:pBdr>
      <w:shd w:val="clear" w:color="auto" w:fill="FFFFFF"/>
      <w:spacing w:before="100" w:beforeAutospacing="1" w:after="100" w:afterAutospacing="1"/>
      <w:jc w:val="center"/>
    </w:pPr>
    <w:rPr>
      <w:rFonts w:ascii="Arial Unicode MS" w:hAnsi="Arial Unicode MS" w:cs="ArialUnicodeMS"/>
      <w:b/>
      <w:bCs/>
      <w:color w:val="auto"/>
      <w:sz w:val="12"/>
      <w:szCs w:val="12"/>
      <w:lang w:val="en-AU" w:eastAsia="en-US"/>
    </w:rPr>
  </w:style>
  <w:style w:type="paragraph" w:customStyle="1" w:styleId="xl77">
    <w:name w:val="xl77"/>
    <w:basedOn w:val="Normal"/>
    <w:pPr>
      <w:pBdr>
        <w:right w:val="single" w:sz="4" w:space="0" w:color="auto"/>
      </w:pBdr>
      <w:shd w:val="clear" w:color="auto" w:fill="FFFFFF"/>
      <w:spacing w:before="100" w:beforeAutospacing="1" w:after="100" w:afterAutospacing="1"/>
      <w:jc w:val="center"/>
    </w:pPr>
    <w:rPr>
      <w:rFonts w:ascii="Arial Unicode MS" w:hAnsi="Arial Unicode MS" w:cs="ArialUnicodeMS"/>
      <w:b/>
      <w:bCs/>
      <w:color w:val="auto"/>
      <w:sz w:val="12"/>
      <w:szCs w:val="12"/>
      <w:lang w:val="en-AU" w:eastAsia="en-US"/>
    </w:rPr>
  </w:style>
  <w:style w:type="paragraph" w:customStyle="1" w:styleId="xl78">
    <w:name w:val="xl78"/>
    <w:basedOn w:val="Normal"/>
    <w:pPr>
      <w:pBdr>
        <w:left w:val="single" w:sz="4" w:space="0" w:color="auto"/>
        <w:right w:val="single" w:sz="4" w:space="0" w:color="auto"/>
      </w:pBdr>
      <w:shd w:val="clear" w:color="auto" w:fill="FFFFFF"/>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79">
    <w:name w:val="xl79"/>
    <w:basedOn w:val="Normal"/>
    <w:pPr>
      <w:pBdr>
        <w:left w:val="single" w:sz="4" w:space="0" w:color="auto"/>
        <w:right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80">
    <w:name w:val="xl80"/>
    <w:basedOn w:val="Normal"/>
    <w:pPr>
      <w:pBdr>
        <w:right w:val="single" w:sz="4" w:space="0" w:color="auto"/>
      </w:pBdr>
      <w:shd w:val="clear" w:color="auto" w:fill="FFFFFF"/>
      <w:spacing w:before="100" w:beforeAutospacing="1" w:after="100" w:afterAutospacing="1"/>
    </w:pPr>
    <w:rPr>
      <w:rFonts w:ascii="Arial Unicode MS" w:hAnsi="Arial Unicode MS" w:cs="ArialUnicodeMS"/>
      <w:b/>
      <w:bCs/>
      <w:color w:val="auto"/>
      <w:sz w:val="12"/>
      <w:szCs w:val="12"/>
      <w:lang w:val="en-AU" w:eastAsia="en-US"/>
    </w:rPr>
  </w:style>
  <w:style w:type="paragraph" w:customStyle="1" w:styleId="xl81">
    <w:name w:val="xl81"/>
    <w:basedOn w:val="Normal"/>
    <w:pPr>
      <w:pBdr>
        <w:left w:val="single" w:sz="4" w:space="0" w:color="auto"/>
        <w:bottom w:val="single" w:sz="4" w:space="0" w:color="auto"/>
      </w:pBdr>
      <w:shd w:val="clear" w:color="auto" w:fill="FFFFFF"/>
      <w:spacing w:before="100" w:beforeAutospacing="1" w:after="100" w:afterAutospacing="1"/>
      <w:jc w:val="center"/>
    </w:pPr>
    <w:rPr>
      <w:rFonts w:ascii="Arial Unicode MS" w:hAnsi="Arial Unicode MS" w:cs="ArialUnicodeMS"/>
      <w:b/>
      <w:bCs/>
      <w:color w:val="auto"/>
      <w:sz w:val="12"/>
      <w:szCs w:val="12"/>
      <w:lang w:val="en-AU" w:eastAsia="en-US"/>
    </w:rPr>
  </w:style>
  <w:style w:type="paragraph" w:customStyle="1" w:styleId="xl82">
    <w:name w:val="xl82"/>
    <w:basedOn w:val="Normal"/>
    <w:pPr>
      <w:pBdr>
        <w:bottom w:val="single" w:sz="4" w:space="0" w:color="auto"/>
        <w:right w:val="single" w:sz="4" w:space="0" w:color="auto"/>
      </w:pBdr>
      <w:shd w:val="clear" w:color="auto" w:fill="FFFFFF"/>
      <w:spacing w:before="100" w:beforeAutospacing="1" w:after="100" w:afterAutospacing="1"/>
      <w:jc w:val="center"/>
    </w:pPr>
    <w:rPr>
      <w:rFonts w:ascii="Arial Unicode MS" w:hAnsi="Arial Unicode MS" w:cs="ArialUnicodeMS"/>
      <w:b/>
      <w:bCs/>
      <w:color w:val="auto"/>
      <w:sz w:val="12"/>
      <w:szCs w:val="12"/>
      <w:lang w:val="en-AU" w:eastAsia="en-US"/>
    </w:rPr>
  </w:style>
  <w:style w:type="paragraph" w:customStyle="1" w:styleId="xl83">
    <w:name w:val="xl83"/>
    <w:basedOn w:val="Normal"/>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84">
    <w:name w:val="xl84"/>
    <w:basedOn w:val="Normal"/>
    <w:pPr>
      <w:pBdr>
        <w:bottom w:val="single" w:sz="4" w:space="0" w:color="auto"/>
        <w:right w:val="single" w:sz="4" w:space="0" w:color="auto"/>
      </w:pBdr>
      <w:shd w:val="clear" w:color="auto" w:fill="FFFFFF"/>
      <w:spacing w:before="100" w:beforeAutospacing="1" w:after="100" w:afterAutospacing="1"/>
    </w:pPr>
    <w:rPr>
      <w:rFonts w:ascii="Arial Unicode MS" w:hAnsi="Arial Unicode MS" w:cs="ArialUnicodeMS"/>
      <w:b/>
      <w:bCs/>
      <w:color w:val="auto"/>
      <w:sz w:val="12"/>
      <w:szCs w:val="12"/>
      <w:lang w:val="en-AU" w:eastAsia="en-US"/>
    </w:rPr>
  </w:style>
  <w:style w:type="paragraph" w:customStyle="1" w:styleId="xl85">
    <w:name w:val="xl85"/>
    <w:basedOn w:val="Normal"/>
    <w:pPr>
      <w:pBdr>
        <w:left w:val="single" w:sz="4" w:space="0" w:color="auto"/>
        <w:bottom w:val="single" w:sz="4" w:space="0" w:color="auto"/>
        <w:right w:val="single" w:sz="4" w:space="0" w:color="auto"/>
      </w:pBdr>
      <w:spacing w:before="100" w:beforeAutospacing="1" w:after="100" w:afterAutospacing="1"/>
    </w:pPr>
    <w:rPr>
      <w:rFonts w:ascii="Arial Unicode MS" w:hAnsi="Arial Unicode MS" w:cs="ArialUnicodeMS"/>
      <w:color w:val="auto"/>
      <w:sz w:val="12"/>
      <w:szCs w:val="12"/>
      <w:lang w:val="en-AU" w:eastAsia="en-US"/>
    </w:rPr>
  </w:style>
  <w:style w:type="paragraph" w:customStyle="1" w:styleId="xl86">
    <w:name w:val="xl8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87">
    <w:name w:val="xl87"/>
    <w:basedOn w:val="Normal"/>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88">
    <w:name w:val="xl88"/>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hAnsi="Arial Unicode MS" w:cs="ArialUnicodeMS"/>
      <w:b/>
      <w:bCs/>
      <w:color w:val="auto"/>
      <w:sz w:val="12"/>
      <w:szCs w:val="12"/>
      <w:lang w:val="en-AU" w:eastAsia="en-US"/>
    </w:rPr>
  </w:style>
  <w:style w:type="paragraph" w:customStyle="1" w:styleId="xl89">
    <w:name w:val="xl89"/>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90">
    <w:name w:val="xl90"/>
    <w:basedOn w:val="Normal"/>
    <w:pPr>
      <w:pBdr>
        <w:top w:val="single" w:sz="4" w:space="0" w:color="auto"/>
        <w:left w:val="single" w:sz="4" w:space="0" w:color="auto"/>
        <w:bottom w:val="single" w:sz="4" w:space="0" w:color="auto"/>
      </w:pBdr>
      <w:shd w:val="clear" w:color="auto" w:fill="FFFFFF"/>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91">
    <w:name w:val="xl91"/>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92">
    <w:name w:val="xl92"/>
    <w:basedOn w:val="Normal"/>
    <w:pPr>
      <w:pBdr>
        <w:top w:val="single" w:sz="4" w:space="0" w:color="auto"/>
        <w:left w:val="single" w:sz="4" w:space="0" w:color="auto"/>
        <w:right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93">
    <w:name w:val="xl93"/>
    <w:basedOn w:val="Normal"/>
    <w:pPr>
      <w:pBdr>
        <w:left w:val="single" w:sz="4" w:space="0" w:color="auto"/>
        <w:bottom w:val="single" w:sz="4" w:space="0" w:color="auto"/>
        <w:right w:val="single" w:sz="4" w:space="0" w:color="auto"/>
      </w:pBdr>
      <w:spacing w:before="100" w:beforeAutospacing="1" w:after="100" w:afterAutospacing="1"/>
    </w:pPr>
    <w:rPr>
      <w:rFonts w:ascii="Arial Unicode MS" w:hAnsi="Arial Unicode MS" w:cs="ArialUnicodeMS"/>
      <w:color w:val="auto"/>
      <w:sz w:val="12"/>
      <w:szCs w:val="12"/>
      <w:lang w:val="en-AU" w:eastAsia="en-US"/>
    </w:rPr>
  </w:style>
  <w:style w:type="paragraph" w:customStyle="1" w:styleId="xl94">
    <w:name w:val="xl94"/>
    <w:basedOn w:val="Normal"/>
    <w:pPr>
      <w:pBdr>
        <w:top w:val="single" w:sz="4" w:space="0" w:color="auto"/>
        <w:bottom w:val="single" w:sz="4" w:space="0" w:color="auto"/>
      </w:pBd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95">
    <w:name w:val="xl95"/>
    <w:basedOn w:val="Normal"/>
    <w:pPr>
      <w:pBdr>
        <w:top w:val="single" w:sz="4" w:space="0" w:color="auto"/>
        <w:left w:val="single" w:sz="4" w:space="0" w:color="auto"/>
        <w:bottom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96">
    <w:name w:val="xl96"/>
    <w:basedOn w:val="Normal"/>
    <w:pPr>
      <w:pBdr>
        <w:top w:val="single" w:sz="4" w:space="0" w:color="auto"/>
        <w:bottom w:val="single" w:sz="4" w:space="0" w:color="auto"/>
        <w:right w:val="single" w:sz="4" w:space="0" w:color="auto"/>
      </w:pBd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97">
    <w:name w:val="xl97"/>
    <w:basedOn w:val="Normal"/>
    <w:pPr>
      <w:pBdr>
        <w:top w:val="single" w:sz="4" w:space="0" w:color="auto"/>
        <w:bottom w:val="single" w:sz="4" w:space="0" w:color="auto"/>
      </w:pBdr>
      <w:spacing w:before="100" w:beforeAutospacing="1" w:after="100" w:afterAutospacing="1"/>
    </w:pPr>
    <w:rPr>
      <w:rFonts w:ascii="Arial Unicode MS" w:hAnsi="Arial Unicode MS" w:cs="ArialUnicodeMS"/>
      <w:color w:val="auto"/>
      <w:szCs w:val="24"/>
      <w:lang w:val="en-AU" w:eastAsia="en-US"/>
    </w:rPr>
  </w:style>
  <w:style w:type="paragraph" w:customStyle="1" w:styleId="xl98">
    <w:name w:val="xl98"/>
    <w:basedOn w:val="Normal"/>
    <w:pPr>
      <w:pBdr>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99">
    <w:name w:val="xl99"/>
    <w:basedOn w:val="Normal"/>
    <w:pPr>
      <w:pBdr>
        <w:top w:val="single" w:sz="4" w:space="0" w:color="auto"/>
        <w:left w:val="single" w:sz="4" w:space="0" w:color="auto"/>
        <w:right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100">
    <w:name w:val="xl100"/>
    <w:basedOn w:val="Normal"/>
    <w:pPr>
      <w:pBdr>
        <w:top w:val="single" w:sz="4" w:space="0" w:color="auto"/>
        <w:bottom w:val="single" w:sz="4" w:space="0" w:color="auto"/>
        <w:right w:val="single" w:sz="4" w:space="0" w:color="auto"/>
      </w:pBdr>
      <w:spacing w:before="100" w:beforeAutospacing="1" w:after="100" w:afterAutospacing="1"/>
    </w:pPr>
    <w:rPr>
      <w:rFonts w:ascii="Arial Unicode MS" w:hAnsi="Arial Unicode MS" w:cs="ArialUnicodeMS"/>
      <w:color w:val="auto"/>
      <w:szCs w:val="24"/>
      <w:lang w:val="en-AU" w:eastAsia="en-US"/>
    </w:rPr>
  </w:style>
  <w:style w:type="paragraph" w:customStyle="1" w:styleId="xl101">
    <w:name w:val="xl101"/>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hAnsi="Arial Unicode MS" w:cs="ArialUnicodeMS"/>
      <w:color w:val="auto"/>
      <w:sz w:val="12"/>
      <w:szCs w:val="12"/>
      <w:lang w:val="en-AU" w:eastAsia="en-US"/>
    </w:rPr>
  </w:style>
  <w:style w:type="paragraph" w:customStyle="1" w:styleId="xl102">
    <w:name w:val="xl102"/>
    <w:basedOn w:val="Normal"/>
    <w:pPr>
      <w:pBdr>
        <w:top w:val="single" w:sz="4" w:space="0" w:color="auto"/>
        <w:left w:val="single" w:sz="4" w:space="0" w:color="auto"/>
        <w:right w:val="single" w:sz="4" w:space="0" w:color="auto"/>
      </w:pBd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103">
    <w:name w:val="xl103"/>
    <w:basedOn w:val="Normal"/>
    <w:pPr>
      <w:pBdr>
        <w:top w:val="single" w:sz="4" w:space="0" w:color="auto"/>
        <w:left w:val="single" w:sz="4" w:space="0" w:color="auto"/>
      </w:pBd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104">
    <w:name w:val="xl104"/>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hAnsi="Arial Unicode MS" w:cs="ArialUnicodeMS"/>
      <w:b/>
      <w:bCs/>
      <w:color w:val="auto"/>
      <w:sz w:val="12"/>
      <w:szCs w:val="12"/>
      <w:lang w:val="en-AU" w:eastAsia="en-US"/>
    </w:rPr>
  </w:style>
  <w:style w:type="paragraph" w:customStyle="1" w:styleId="xl105">
    <w:name w:val="xl105"/>
    <w:basedOn w:val="Normal"/>
    <w:pPr>
      <w:pBdr>
        <w:top w:val="single" w:sz="4" w:space="0" w:color="auto"/>
        <w:bottom w:val="single" w:sz="4" w:space="0" w:color="auto"/>
      </w:pBdr>
      <w:spacing w:before="100" w:beforeAutospacing="1" w:after="100" w:afterAutospacing="1"/>
    </w:pPr>
    <w:rPr>
      <w:rFonts w:ascii="Arial Unicode MS" w:hAnsi="Arial Unicode MS" w:cs="ArialUnicodeMS"/>
      <w:b/>
      <w:bCs/>
      <w:color w:val="auto"/>
      <w:sz w:val="12"/>
      <w:szCs w:val="12"/>
      <w:lang w:val="en-AU" w:eastAsia="en-US"/>
    </w:rPr>
  </w:style>
  <w:style w:type="paragraph" w:customStyle="1" w:styleId="xl106">
    <w:name w:val="xl106"/>
    <w:basedOn w:val="Normal"/>
    <w:pPr>
      <w:pBdr>
        <w:top w:val="single" w:sz="4" w:space="0" w:color="auto"/>
        <w:left w:val="single" w:sz="4" w:space="0" w:color="auto"/>
        <w:right w:val="single" w:sz="4" w:space="0" w:color="auto"/>
      </w:pBdr>
      <w:spacing w:before="100" w:beforeAutospacing="1" w:after="100" w:afterAutospacing="1"/>
    </w:pPr>
    <w:rPr>
      <w:rFonts w:ascii="Arial Unicode MS" w:hAnsi="Arial Unicode MS" w:cs="ArialUnicodeMS"/>
      <w:color w:val="auto"/>
      <w:sz w:val="12"/>
      <w:szCs w:val="12"/>
      <w:lang w:val="en-AU" w:eastAsia="en-US"/>
    </w:rPr>
  </w:style>
  <w:style w:type="paragraph" w:customStyle="1" w:styleId="xl107">
    <w:name w:val="xl107"/>
    <w:basedOn w:val="Normal"/>
    <w:pPr>
      <w:pBdr>
        <w:top w:val="single" w:sz="4" w:space="0" w:color="auto"/>
        <w:right w:val="single" w:sz="4" w:space="0" w:color="auto"/>
      </w:pBd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108">
    <w:name w:val="xl108"/>
    <w:basedOn w:val="Normal"/>
    <w:pPr>
      <w:pBdr>
        <w:left w:val="single" w:sz="4" w:space="0" w:color="auto"/>
        <w:right w:val="single" w:sz="4" w:space="0" w:color="auto"/>
      </w:pBd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109">
    <w:name w:val="xl109"/>
    <w:basedOn w:val="Normal"/>
    <w:pPr>
      <w:pBdr>
        <w:top w:val="single" w:sz="4" w:space="0" w:color="auto"/>
        <w:left w:val="single" w:sz="4" w:space="0" w:color="auto"/>
        <w:bottom w:val="single" w:sz="4" w:space="0" w:color="auto"/>
      </w:pBdr>
      <w:spacing w:before="100" w:beforeAutospacing="1" w:after="100" w:afterAutospacing="1"/>
      <w:jc w:val="center"/>
    </w:pPr>
    <w:rPr>
      <w:rFonts w:ascii="Arial Unicode MS" w:hAnsi="Arial Unicode MS" w:cs="ArialUnicodeMS"/>
      <w:b/>
      <w:bCs/>
      <w:color w:val="auto"/>
      <w:sz w:val="12"/>
      <w:szCs w:val="12"/>
      <w:lang w:val="en-AU" w:eastAsia="en-US"/>
    </w:rPr>
  </w:style>
  <w:style w:type="paragraph" w:customStyle="1" w:styleId="xl110">
    <w:name w:val="xl110"/>
    <w:basedOn w:val="Normal"/>
    <w:pPr>
      <w:pBdr>
        <w:top w:val="single" w:sz="4" w:space="0" w:color="auto"/>
        <w:bottom w:val="single" w:sz="4" w:space="0" w:color="auto"/>
      </w:pBdr>
      <w:spacing w:before="100" w:beforeAutospacing="1" w:after="100" w:afterAutospacing="1"/>
      <w:jc w:val="center"/>
    </w:pPr>
    <w:rPr>
      <w:rFonts w:ascii="Arial Unicode MS" w:hAnsi="Arial Unicode MS" w:cs="ArialUnicodeMS"/>
      <w:color w:val="auto"/>
      <w:szCs w:val="24"/>
      <w:lang w:val="en-AU" w:eastAsia="en-US"/>
    </w:rPr>
  </w:style>
  <w:style w:type="paragraph" w:customStyle="1" w:styleId="xl111">
    <w:name w:val="xl111"/>
    <w:basedOn w:val="Normal"/>
    <w:pPr>
      <w:pBdr>
        <w:top w:val="single" w:sz="4" w:space="0" w:color="auto"/>
        <w:bottom w:val="single" w:sz="4" w:space="0" w:color="auto"/>
        <w:right w:val="single" w:sz="4" w:space="0" w:color="auto"/>
      </w:pBdr>
      <w:spacing w:before="100" w:beforeAutospacing="1" w:after="100" w:afterAutospacing="1"/>
      <w:jc w:val="center"/>
    </w:pPr>
    <w:rPr>
      <w:rFonts w:ascii="Arial Unicode MS" w:hAnsi="Arial Unicode MS" w:cs="ArialUnicodeMS"/>
      <w:color w:val="auto"/>
      <w:szCs w:val="24"/>
      <w:lang w:val="en-AU" w:eastAsia="en-US"/>
    </w:rPr>
  </w:style>
  <w:style w:type="paragraph" w:customStyle="1" w:styleId="xl112">
    <w:name w:val="xl112"/>
    <w:basedOn w:val="Normal"/>
    <w:pPr>
      <w:pBdr>
        <w:top w:val="single" w:sz="4" w:space="0" w:color="auto"/>
        <w:left w:val="single" w:sz="4" w:space="0" w:color="auto"/>
        <w:bottom w:val="single" w:sz="4" w:space="0" w:color="auto"/>
      </w:pBdr>
      <w:spacing w:before="100" w:beforeAutospacing="1" w:after="100" w:afterAutospacing="1"/>
    </w:pPr>
    <w:rPr>
      <w:rFonts w:ascii="Arial Unicode MS" w:hAnsi="Arial Unicode MS" w:cs="ArialUnicodeMS"/>
      <w:b/>
      <w:bCs/>
      <w:color w:val="auto"/>
      <w:sz w:val="12"/>
      <w:szCs w:val="12"/>
      <w:lang w:val="en-AU" w:eastAsia="en-US"/>
    </w:rPr>
  </w:style>
  <w:style w:type="paragraph" w:customStyle="1" w:styleId="xl113">
    <w:name w:val="xl113"/>
    <w:basedOn w:val="Normal"/>
    <w:pPr>
      <w:pBdr>
        <w:top w:val="single" w:sz="4" w:space="0" w:color="auto"/>
        <w:bottom w:val="single" w:sz="4" w:space="0" w:color="auto"/>
      </w:pBdr>
      <w:spacing w:before="100" w:beforeAutospacing="1" w:after="100" w:afterAutospacing="1"/>
    </w:pPr>
    <w:rPr>
      <w:rFonts w:ascii="Arial Unicode MS" w:hAnsi="Arial Unicode MS" w:cs="ArialUnicodeMS"/>
      <w:color w:val="auto"/>
      <w:sz w:val="12"/>
      <w:szCs w:val="12"/>
      <w:lang w:val="en-AU" w:eastAsia="en-US"/>
    </w:rPr>
  </w:style>
  <w:style w:type="paragraph" w:customStyle="1" w:styleId="xl114">
    <w:name w:val="xl114"/>
    <w:basedOn w:val="Normal"/>
    <w:pPr>
      <w:pBdr>
        <w:right w:val="single" w:sz="4" w:space="0" w:color="auto"/>
      </w:pBdr>
      <w:spacing w:before="100" w:beforeAutospacing="1" w:after="100" w:afterAutospacing="1"/>
    </w:pPr>
    <w:rPr>
      <w:rFonts w:ascii="Arial Unicode MS" w:hAnsi="Arial Unicode MS" w:cs="ArialUnicodeMS"/>
      <w:color w:val="auto"/>
      <w:sz w:val="12"/>
      <w:szCs w:val="12"/>
      <w:lang w:val="en-AU" w:eastAsia="en-US"/>
    </w:rPr>
  </w:style>
  <w:style w:type="paragraph" w:customStyle="1" w:styleId="xl115">
    <w:name w:val="xl115"/>
    <w:basedOn w:val="Normal"/>
    <w:pPr>
      <w:pBdr>
        <w:left w:val="single" w:sz="4" w:space="0" w:color="auto"/>
      </w:pBd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116">
    <w:name w:val="xl116"/>
    <w:basedOn w:val="Normal"/>
    <w:pP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117">
    <w:name w:val="xl117"/>
    <w:basedOn w:val="Normal"/>
    <w:pPr>
      <w:pBdr>
        <w:top w:val="single" w:sz="4" w:space="0" w:color="auto"/>
        <w:left w:val="single" w:sz="4" w:space="0" w:color="auto"/>
        <w:right w:val="single" w:sz="4" w:space="0" w:color="auto"/>
      </w:pBd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118">
    <w:name w:val="xl118"/>
    <w:basedOn w:val="Normal"/>
    <w:pPr>
      <w:pBdr>
        <w:top w:val="single" w:sz="4" w:space="0" w:color="auto"/>
        <w:left w:val="single" w:sz="4" w:space="0" w:color="auto"/>
        <w:right w:val="single" w:sz="4" w:space="0" w:color="auto"/>
      </w:pBd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119">
    <w:name w:val="xl119"/>
    <w:basedOn w:val="Normal"/>
    <w:pP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120">
    <w:name w:val="xl120"/>
    <w:basedOn w:val="Normal"/>
    <w:pPr>
      <w:pBdr>
        <w:top w:val="single" w:sz="4" w:space="0" w:color="auto"/>
        <w:right w:val="single" w:sz="4" w:space="0" w:color="auto"/>
      </w:pBd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121">
    <w:name w:val="xl121"/>
    <w:basedOn w:val="Normal"/>
    <w:pPr>
      <w:pBdr>
        <w:top w:val="single" w:sz="4" w:space="0" w:color="auto"/>
        <w:left w:val="single" w:sz="4" w:space="0" w:color="auto"/>
      </w:pBd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122">
    <w:name w:val="xl122"/>
    <w:basedOn w:val="Normal"/>
    <w:pPr>
      <w:pBdr>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123">
    <w:name w:val="xl123"/>
    <w:basedOn w:val="Normal"/>
    <w:pPr>
      <w:pBdr>
        <w:bottom w:val="single" w:sz="4" w:space="0" w:color="auto"/>
      </w:pBd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124">
    <w:name w:val="xl124"/>
    <w:basedOn w:val="Normal"/>
    <w:pPr>
      <w:pBdr>
        <w:left w:val="single" w:sz="4" w:space="0" w:color="auto"/>
        <w:bottom w:val="single" w:sz="4" w:space="0" w:color="auto"/>
      </w:pBd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125">
    <w:name w:val="xl125"/>
    <w:basedOn w:val="Normal"/>
    <w:pPr>
      <w:pBdr>
        <w:bottom w:val="single" w:sz="4" w:space="0" w:color="auto"/>
        <w:right w:val="single" w:sz="4" w:space="0" w:color="auto"/>
      </w:pBdr>
      <w:spacing w:before="100" w:beforeAutospacing="1" w:after="100" w:afterAutospacing="1"/>
    </w:pPr>
    <w:rPr>
      <w:rFonts w:ascii="Arial Unicode MS" w:hAnsi="Arial Unicode MS" w:cs="ArialUnicodeMS"/>
      <w:color w:val="auto"/>
      <w:sz w:val="12"/>
      <w:szCs w:val="12"/>
      <w:lang w:val="en-AU" w:eastAsia="en-US"/>
    </w:rPr>
  </w:style>
  <w:style w:type="paragraph" w:customStyle="1" w:styleId="xl126">
    <w:name w:val="xl126"/>
    <w:basedOn w:val="Normal"/>
    <w:pPr>
      <w:pBdr>
        <w:top w:val="single" w:sz="4" w:space="0" w:color="auto"/>
        <w:left w:val="single" w:sz="4" w:space="0" w:color="auto"/>
        <w:bottom w:val="single" w:sz="8" w:space="0" w:color="auto"/>
      </w:pBdr>
      <w:spacing w:before="100" w:beforeAutospacing="1" w:after="100" w:afterAutospacing="1"/>
      <w:jc w:val="center"/>
    </w:pPr>
    <w:rPr>
      <w:rFonts w:ascii="Arial" w:hAnsi="Arial" w:cs="Arial"/>
      <w:b/>
      <w:bCs/>
      <w:color w:val="auto"/>
      <w:sz w:val="12"/>
      <w:szCs w:val="12"/>
      <w:lang w:val="en-AU" w:eastAsia="en-US"/>
    </w:rPr>
  </w:style>
  <w:style w:type="paragraph" w:customStyle="1" w:styleId="xl127">
    <w:name w:val="xl127"/>
    <w:basedOn w:val="Normal"/>
    <w:pPr>
      <w:pBdr>
        <w:top w:val="single" w:sz="4" w:space="0" w:color="auto"/>
        <w:bottom w:val="single" w:sz="8" w:space="0" w:color="auto"/>
      </w:pBdr>
      <w:spacing w:before="100" w:beforeAutospacing="1" w:after="100" w:afterAutospacing="1"/>
      <w:jc w:val="center"/>
    </w:pPr>
    <w:rPr>
      <w:rFonts w:ascii="Arial" w:hAnsi="Arial" w:cs="Arial"/>
      <w:b/>
      <w:bCs/>
      <w:color w:val="auto"/>
      <w:sz w:val="12"/>
      <w:szCs w:val="12"/>
      <w:lang w:val="en-AU" w:eastAsia="en-US"/>
    </w:rPr>
  </w:style>
  <w:style w:type="paragraph" w:customStyle="1" w:styleId="xl128">
    <w:name w:val="xl128"/>
    <w:basedOn w:val="Normal"/>
    <w:pPr>
      <w:pBdr>
        <w:top w:val="single" w:sz="4" w:space="0" w:color="auto"/>
        <w:bottom w:val="single" w:sz="8" w:space="0" w:color="auto"/>
        <w:right w:val="single" w:sz="4" w:space="0" w:color="auto"/>
      </w:pBdr>
      <w:spacing w:before="100" w:beforeAutospacing="1" w:after="100" w:afterAutospacing="1"/>
      <w:jc w:val="center"/>
    </w:pPr>
    <w:rPr>
      <w:rFonts w:ascii="Arial" w:hAnsi="Arial" w:cs="Arial"/>
      <w:b/>
      <w:bCs/>
      <w:color w:val="auto"/>
      <w:sz w:val="12"/>
      <w:szCs w:val="12"/>
      <w:lang w:val="en-AU" w:eastAsia="en-US"/>
    </w:rPr>
  </w:style>
  <w:style w:type="paragraph" w:customStyle="1" w:styleId="xl129">
    <w:name w:val="xl129"/>
    <w:basedOn w:val="Normal"/>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130">
    <w:name w:val="xl130"/>
    <w:basedOn w:val="Normal"/>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Unicode MS" w:hAnsi="Arial Unicode MS" w:cs="ArialUnicodeMS"/>
      <w:b/>
      <w:bCs/>
      <w:color w:val="auto"/>
      <w:sz w:val="12"/>
      <w:szCs w:val="12"/>
      <w:lang w:val="en-AU" w:eastAsia="en-US"/>
    </w:rPr>
  </w:style>
  <w:style w:type="paragraph" w:customStyle="1" w:styleId="xl131">
    <w:name w:val="xl131"/>
    <w:basedOn w:val="Normal"/>
    <w:pPr>
      <w:pBdr>
        <w:top w:val="single" w:sz="4" w:space="0" w:color="auto"/>
        <w:bottom w:val="single" w:sz="8" w:space="0" w:color="auto"/>
      </w:pBdr>
      <w:spacing w:before="100" w:beforeAutospacing="1" w:after="100" w:afterAutospacing="1"/>
      <w:jc w:val="center"/>
    </w:pPr>
    <w:rPr>
      <w:rFonts w:ascii="Arial Unicode MS" w:hAnsi="Arial Unicode MS" w:cs="ArialUnicodeMS"/>
      <w:b/>
      <w:bCs/>
      <w:color w:val="auto"/>
      <w:sz w:val="12"/>
      <w:szCs w:val="12"/>
      <w:lang w:val="en-AU" w:eastAsia="en-US"/>
    </w:rPr>
  </w:style>
  <w:style w:type="paragraph" w:customStyle="1" w:styleId="xl132">
    <w:name w:val="xl132"/>
    <w:basedOn w:val="Normal"/>
    <w:pPr>
      <w:pBdr>
        <w:top w:val="single" w:sz="4" w:space="0" w:color="auto"/>
        <w:bottom w:val="single" w:sz="8" w:space="0" w:color="auto"/>
      </w:pBdr>
      <w:spacing w:before="100" w:beforeAutospacing="1" w:after="100" w:afterAutospacing="1"/>
    </w:pPr>
    <w:rPr>
      <w:rFonts w:ascii="Arial Unicode MS" w:hAnsi="Arial Unicode MS" w:cs="ArialUnicodeMS"/>
      <w:color w:val="auto"/>
      <w:sz w:val="12"/>
      <w:szCs w:val="12"/>
      <w:lang w:val="en-AU" w:eastAsia="en-US"/>
    </w:rPr>
  </w:style>
  <w:style w:type="paragraph" w:customStyle="1" w:styleId="xl133">
    <w:name w:val="xl133"/>
    <w:basedOn w:val="Normal"/>
    <w:pPr>
      <w:pBdr>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134">
    <w:name w:val="xl134"/>
    <w:basedOn w:val="Normal"/>
    <w:pPr>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Arial Unicode MS" w:hAnsi="Arial Unicode MS" w:cs="ArialUnicodeMS"/>
      <w:color w:val="auto"/>
      <w:sz w:val="12"/>
      <w:szCs w:val="12"/>
      <w:lang w:val="en-AU" w:eastAsia="en-US"/>
    </w:rPr>
  </w:style>
  <w:style w:type="paragraph" w:customStyle="1" w:styleId="xl135">
    <w:name w:val="xl135"/>
    <w:basedOn w:val="Normal"/>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cs="ArialUnicodeMS"/>
      <w:color w:val="auto"/>
      <w:szCs w:val="24"/>
      <w:lang w:val="en-AU" w:eastAsia="en-US"/>
    </w:rPr>
  </w:style>
  <w:style w:type="paragraph" w:customStyle="1" w:styleId="xl136">
    <w:name w:val="xl136"/>
    <w:basedOn w:val="Normal"/>
    <w:pPr>
      <w:pBdr>
        <w:top w:val="single" w:sz="4" w:space="0" w:color="auto"/>
        <w:bottom w:val="single" w:sz="4" w:space="0" w:color="auto"/>
      </w:pBdr>
      <w:spacing w:before="100" w:beforeAutospacing="1" w:after="100" w:afterAutospacing="1"/>
    </w:pPr>
    <w:rPr>
      <w:rFonts w:ascii="Arial Unicode MS" w:hAnsi="Arial Unicode MS" w:cs="ArialUnicodeMS"/>
      <w:color w:val="auto"/>
      <w:szCs w:val="24"/>
      <w:lang w:val="en-AU" w:eastAsia="en-US"/>
    </w:rPr>
  </w:style>
  <w:style w:type="paragraph" w:customStyle="1" w:styleId="xl137">
    <w:name w:val="xl137"/>
    <w:basedOn w:val="Normal"/>
    <w:pPr>
      <w:pBdr>
        <w:top w:val="single" w:sz="4" w:space="0" w:color="auto"/>
        <w:bottom w:val="single" w:sz="4" w:space="0" w:color="auto"/>
        <w:right w:val="single" w:sz="4" w:space="0" w:color="auto"/>
      </w:pBdr>
      <w:spacing w:before="100" w:beforeAutospacing="1" w:after="100" w:afterAutospacing="1"/>
    </w:pPr>
    <w:rPr>
      <w:rFonts w:ascii="Arial Unicode MS" w:hAnsi="Arial Unicode MS" w:cs="ArialUnicodeMS"/>
      <w:color w:val="auto"/>
      <w:szCs w:val="24"/>
      <w:lang w:val="en-AU" w:eastAsia="en-US"/>
    </w:rPr>
  </w:style>
  <w:style w:type="paragraph" w:customStyle="1" w:styleId="xl138">
    <w:name w:val="xl138"/>
    <w:basedOn w:val="Normal"/>
    <w:pPr>
      <w:pBdr>
        <w:top w:val="single" w:sz="4" w:space="0" w:color="auto"/>
        <w:bottom w:val="single" w:sz="4" w:space="0" w:color="auto"/>
      </w:pBdr>
      <w:spacing w:before="100" w:beforeAutospacing="1" w:after="100" w:afterAutospacing="1"/>
    </w:pPr>
    <w:rPr>
      <w:rFonts w:ascii="Arial" w:hAnsi="Arial" w:cs="Arial"/>
      <w:b/>
      <w:bCs/>
      <w:color w:val="auto"/>
      <w:sz w:val="12"/>
      <w:szCs w:val="12"/>
      <w:lang w:val="en-AU" w:eastAsia="en-US"/>
    </w:rPr>
  </w:style>
  <w:style w:type="paragraph" w:customStyle="1" w:styleId="Anxhead">
    <w:name w:val="Anx head"/>
    <w:basedOn w:val="Normal"/>
    <w:pPr>
      <w:spacing w:after="0"/>
    </w:pPr>
    <w:rPr>
      <w:b/>
      <w:bCs/>
      <w:color w:val="auto"/>
      <w:sz w:val="28"/>
      <w:szCs w:val="28"/>
      <w:lang w:eastAsia="en-US"/>
    </w:rPr>
  </w:style>
  <w:style w:type="paragraph" w:customStyle="1" w:styleId="Anxtitle">
    <w:name w:val="Anx title"/>
    <w:basedOn w:val="Normal"/>
    <w:pPr>
      <w:spacing w:after="0"/>
      <w:ind w:left="1247"/>
    </w:pPr>
    <w:rPr>
      <w:b/>
      <w:bCs/>
      <w:color w:val="auto"/>
      <w:sz w:val="28"/>
      <w:szCs w:val="28"/>
      <w:lang w:eastAsia="en-US"/>
    </w:rPr>
  </w:style>
  <w:style w:type="paragraph" w:customStyle="1" w:styleId="Style10ptAfter6pt1">
    <w:name w:val="Style 10 pt After:  6 pt1"/>
    <w:basedOn w:val="Normal"/>
    <w:autoRedefine/>
    <w:pPr>
      <w:spacing w:after="120"/>
    </w:pPr>
    <w:rPr>
      <w:rFonts w:ascii="Arial" w:hAnsi="Arial"/>
      <w:color w:val="auto"/>
      <w:sz w:val="18"/>
      <w:lang w:eastAsia="en-US"/>
    </w:rPr>
  </w:style>
  <w:style w:type="paragraph" w:customStyle="1" w:styleId="StyleHeading311ptBold">
    <w:name w:val="Style Heading 3 + 11 pt Bold"/>
    <w:basedOn w:val="Heading3"/>
    <w:rPr>
      <w:b/>
      <w:bCs/>
      <w:iCs/>
    </w:rPr>
  </w:style>
  <w:style w:type="paragraph" w:customStyle="1" w:styleId="Subtitle">
    <w:name w:val="Sub title"/>
    <w:basedOn w:val="Heading2"/>
    <w:pPr>
      <w:spacing w:after="0"/>
      <w:ind w:left="1247"/>
    </w:pPr>
    <w:rPr>
      <w:snapToGrid/>
      <w:szCs w:val="24"/>
    </w:rPr>
  </w:style>
  <w:style w:type="character" w:customStyle="1" w:styleId="maintextbldleft1">
    <w:name w:val="maintextbldleft1"/>
    <w:rPr>
      <w:rFonts w:ascii="Arial" w:hAnsi="Arial" w:cs="Arial" w:hint="default"/>
      <w:b/>
      <w:bCs/>
      <w:strike w:val="0"/>
      <w:dstrike w:val="0"/>
      <w:color w:val="000000"/>
      <w:sz w:val="18"/>
      <w:szCs w:val="18"/>
      <w:u w:val="none"/>
      <w:effect w:val="none"/>
    </w:rPr>
  </w:style>
  <w:style w:type="character" w:customStyle="1" w:styleId="maintextleft1">
    <w:name w:val="maintextleft1"/>
    <w:rPr>
      <w:rFonts w:ascii="Arial" w:hAnsi="Arial" w:cs="Arial" w:hint="default"/>
      <w:strike w:val="0"/>
      <w:dstrike w:val="0"/>
      <w:color w:val="000000"/>
      <w:sz w:val="18"/>
      <w:szCs w:val="18"/>
      <w:u w:val="none"/>
      <w:effect w:val="none"/>
    </w:rPr>
  </w:style>
  <w:style w:type="character" w:customStyle="1" w:styleId="Heading1Char2">
    <w:name w:val="Heading 1 Char2"/>
    <w:aliases w:val="Para (1) Char,Heading 1 Char1 Char Char1,Heading 1 Char Char Char Char,Para (1) Char Char Char Char,Para (1) Char1 Char Char,Heading 1 Char1 Char1,Heading 1 Char Char Char1,Para (1) Char Char Char1,Para (1) Char1 Char1,Part Char"/>
    <w:autoRedefine/>
    <w:uiPriority w:val="9"/>
    <w:qFormat/>
    <w:rsid w:val="00B81731"/>
    <w:rPr>
      <w:rFonts w:asciiTheme="minorHAnsi" w:hAnsiTheme="minorHAnsi"/>
      <w:b/>
      <w:sz w:val="28"/>
    </w:rPr>
  </w:style>
  <w:style w:type="character" w:customStyle="1" w:styleId="Heading2Char">
    <w:name w:val="Heading 2 Char"/>
    <w:aliases w:val="SubPara (a) Char,Heading 2 Char1 Char Char,SubPara (a) Char1 Char Char,Heading 2 Char3 Char Char Char,Heading 2 Char Char2 Char Char Char,Heading 2 Char1 Char Char1 Char Char Char,SubPara (a) Char Char Char1 Char Char Char,Heading 2 Char1"/>
    <w:uiPriority w:val="9"/>
    <w:rPr>
      <w:b/>
      <w:noProof w:val="0"/>
      <w:snapToGrid w:val="0"/>
      <w:color w:val="000000"/>
      <w:sz w:val="24"/>
      <w:lang w:val="en-GB" w:eastAsia="zh-CN" w:bidi="ar-SA"/>
    </w:rPr>
  </w:style>
  <w:style w:type="character" w:customStyle="1" w:styleId="Heading3Char">
    <w:name w:val="Heading 3 Char"/>
    <w:aliases w:val="Sec Char"/>
    <w:uiPriority w:val="9"/>
    <w:rPr>
      <w:b w:val="0"/>
      <w:noProof w:val="0"/>
      <w:snapToGrid w:val="0"/>
      <w:color w:val="000000"/>
      <w:sz w:val="24"/>
      <w:lang w:val="en-GB" w:eastAsia="zh-CN" w:bidi="ar-SA"/>
    </w:rPr>
  </w:style>
  <w:style w:type="character" w:customStyle="1" w:styleId="Heading4Char">
    <w:name w:val="Heading 4 Char"/>
    <w:aliases w:val="MainPara Char"/>
    <w:autoRedefine/>
    <w:uiPriority w:val="9"/>
    <w:rsid w:val="00F02E32"/>
    <w:rPr>
      <w:snapToGrid w:val="0"/>
      <w:color w:val="000000"/>
      <w:sz w:val="22"/>
      <w:lang w:val="en-GB" w:eastAsia="zh-CN"/>
    </w:rPr>
  </w:style>
  <w:style w:type="paragraph" w:customStyle="1" w:styleId="StyleHeading311ptBold1">
    <w:name w:val="Style Heading 3 + 11 pt Bold1"/>
    <w:basedOn w:val="Heading3"/>
    <w:rPr>
      <w:b/>
      <w:bCs/>
      <w:iCs/>
    </w:rPr>
  </w:style>
  <w:style w:type="paragraph" w:customStyle="1" w:styleId="ANNEXES">
    <w:name w:val="ANNEXES"/>
    <w:basedOn w:val="Normal"/>
    <w:pPr>
      <w:tabs>
        <w:tab w:val="left" w:pos="1080"/>
      </w:tabs>
      <w:spacing w:before="100" w:beforeAutospacing="1" w:after="100" w:afterAutospacing="1"/>
    </w:pPr>
    <w:rPr>
      <w:b/>
      <w:sz w:val="28"/>
    </w:rPr>
  </w:style>
  <w:style w:type="paragraph" w:customStyle="1" w:styleId="Executivesummary">
    <w:name w:val="Executive summary"/>
    <w:basedOn w:val="TOC1"/>
    <w:rPr>
      <w:b w:val="0"/>
    </w:rPr>
  </w:style>
  <w:style w:type="paragraph" w:customStyle="1" w:styleId="Execlevel2">
    <w:name w:val="Exec level2"/>
    <w:basedOn w:val="Anxhead"/>
    <w:rPr>
      <w:sz w:val="24"/>
    </w:rPr>
  </w:style>
  <w:style w:type="character" w:customStyle="1" w:styleId="AnxheadChar">
    <w:name w:val="Anx head Char"/>
    <w:rPr>
      <w:b/>
      <w:bCs/>
      <w:noProof w:val="0"/>
      <w:sz w:val="28"/>
      <w:szCs w:val="28"/>
      <w:lang w:val="en-GB" w:eastAsia="en-US" w:bidi="ar-SA"/>
    </w:rPr>
  </w:style>
  <w:style w:type="character" w:customStyle="1" w:styleId="Execlevel2Char">
    <w:name w:val="Exec level2 Char"/>
    <w:rPr>
      <w:b/>
      <w:bCs/>
      <w:noProof w:val="0"/>
      <w:sz w:val="24"/>
      <w:szCs w:val="28"/>
      <w:lang w:val="en-GB" w:eastAsia="en-US" w:bidi="ar-SA"/>
    </w:rPr>
  </w:style>
  <w:style w:type="character" w:customStyle="1" w:styleId="a">
    <w:name w:val="_"/>
    <w:basedOn w:val="DefaultParagraphFont"/>
  </w:style>
  <w:style w:type="paragraph" w:styleId="CommentSubject">
    <w:name w:val="annotation subject"/>
    <w:basedOn w:val="CommentText"/>
    <w:next w:val="CommentText"/>
    <w:uiPriority w:val="99"/>
    <w:semiHidden/>
    <w:pPr>
      <w:widowControl/>
      <w:spacing w:after="0"/>
    </w:pPr>
    <w:rPr>
      <w:rFonts w:ascii="Times New Roman" w:hAnsi="Times New Roman"/>
      <w:b/>
      <w:lang w:val="en-US"/>
    </w:rPr>
  </w:style>
  <w:style w:type="paragraph" w:customStyle="1" w:styleId="Indentedbullet">
    <w:name w:val="Indented bullet"/>
    <w:basedOn w:val="Indentedbodytext"/>
    <w:pPr>
      <w:tabs>
        <w:tab w:val="num" w:pos="1440"/>
      </w:tabs>
      <w:ind w:left="1434" w:hanging="357"/>
    </w:pPr>
  </w:style>
  <w:style w:type="paragraph" w:customStyle="1" w:styleId="Indentedbodytext">
    <w:name w:val="Indented body text"/>
    <w:basedOn w:val="Normal"/>
    <w:autoRedefine/>
    <w:pPr>
      <w:spacing w:after="120"/>
    </w:pPr>
    <w:rPr>
      <w:lang w:eastAsia="en-US"/>
    </w:rPr>
  </w:style>
  <w:style w:type="paragraph" w:customStyle="1" w:styleId="Smallnumberedbullet">
    <w:name w:val="Small numbered bullet"/>
    <w:basedOn w:val="Smallbullet"/>
    <w:pPr>
      <w:numPr>
        <w:numId w:val="0"/>
      </w:numPr>
      <w:ind w:left="539" w:hanging="539"/>
    </w:pPr>
  </w:style>
  <w:style w:type="paragraph" w:customStyle="1" w:styleId="Smallbullet">
    <w:name w:val="Small bullet"/>
    <w:basedOn w:val="BodyTextSmallBullets"/>
    <w:autoRedefine/>
    <w:pPr>
      <w:numPr>
        <w:numId w:val="8"/>
      </w:numPr>
      <w:tabs>
        <w:tab w:val="num" w:pos="426"/>
      </w:tabs>
      <w:spacing w:after="240" w:line="240" w:lineRule="auto"/>
      <w:ind w:left="425" w:hanging="425"/>
    </w:pPr>
  </w:style>
  <w:style w:type="paragraph" w:customStyle="1" w:styleId="BodyText1">
    <w:name w:val="Body Text1"/>
    <w:basedOn w:val="Normal"/>
    <w:rPr>
      <w:lang w:eastAsia="en-US"/>
    </w:rPr>
  </w:style>
  <w:style w:type="paragraph" w:customStyle="1" w:styleId="Heading311ptBold">
    <w:name w:val="Heading 3 + 11 pt Bold"/>
    <w:basedOn w:val="Heading3"/>
    <w:pPr>
      <w:numPr>
        <w:ilvl w:val="2"/>
        <w:numId w:val="7"/>
      </w:numPr>
      <w:tabs>
        <w:tab w:val="num" w:pos="1800"/>
      </w:tabs>
      <w:ind w:left="0" w:firstLine="0"/>
    </w:pPr>
    <w:rPr>
      <w:b/>
    </w:rPr>
  </w:style>
  <w:style w:type="paragraph" w:customStyle="1" w:styleId="Table5">
    <w:name w:val="Table 5"/>
    <w:basedOn w:val="Normal"/>
    <w:pPr>
      <w:spacing w:after="0" w:line="240" w:lineRule="exact"/>
      <w:ind w:left="567" w:hanging="567"/>
    </w:pPr>
    <w:rPr>
      <w:sz w:val="18"/>
      <w:lang w:eastAsia="ja-JP"/>
    </w:rPr>
  </w:style>
  <w:style w:type="paragraph" w:customStyle="1" w:styleId="ColorfulList-Accent11">
    <w:name w:val="Colorful List - Accent 11"/>
    <w:basedOn w:val="Normal"/>
    <w:qFormat/>
    <w:pPr>
      <w:spacing w:after="0"/>
      <w:ind w:left="720"/>
    </w:pPr>
    <w:rPr>
      <w:rFonts w:eastAsia="MS Mincho"/>
      <w:color w:val="auto"/>
      <w:szCs w:val="24"/>
      <w:lang w:val="en-US" w:eastAsia="ja-JP"/>
    </w:rPr>
  </w:style>
  <w:style w:type="character" w:customStyle="1" w:styleId="mw-headline">
    <w:name w:val="mw-headline"/>
    <w:basedOn w:val="DefaultParagraphFont"/>
  </w:style>
  <w:style w:type="paragraph" w:customStyle="1" w:styleId="ColorfulList-Accent12">
    <w:name w:val="Colorful List - Accent 12"/>
    <w:basedOn w:val="Normal"/>
    <w:qFormat/>
    <w:pPr>
      <w:spacing w:after="0"/>
    </w:pPr>
    <w:rPr>
      <w:rFonts w:ascii="Cambria" w:eastAsia="Cambria" w:hAnsi="Cambria"/>
      <w:color w:val="auto"/>
      <w:sz w:val="24"/>
      <w:lang w:val="en-US"/>
    </w:rPr>
  </w:style>
  <w:style w:type="paragraph" w:styleId="Subtitle0">
    <w:name w:val="Subtitle"/>
    <w:basedOn w:val="Normal"/>
    <w:uiPriority w:val="11"/>
    <w:qFormat/>
    <w:pPr>
      <w:spacing w:after="0"/>
      <w:jc w:val="center"/>
    </w:pPr>
    <w:rPr>
      <w:rFonts w:eastAsia="MS Mincho"/>
      <w:b/>
      <w:color w:val="auto"/>
      <w:lang w:val="en-US"/>
    </w:rPr>
  </w:style>
  <w:style w:type="paragraph" w:styleId="Revision">
    <w:name w:val="Revision"/>
    <w:hidden/>
    <w:uiPriority w:val="99"/>
    <w:semiHidden/>
    <w:rPr>
      <w:rFonts w:ascii="Times New Roman" w:eastAsia="MS Mincho" w:hAnsi="Times New Roman"/>
      <w:sz w:val="24"/>
      <w:szCs w:val="24"/>
      <w:lang w:val="en-US"/>
    </w:rPr>
  </w:style>
  <w:style w:type="paragraph" w:customStyle="1" w:styleId="StyleHeading3Heading3Char1CharHeading3CharCharCharChar">
    <w:name w:val="Style Heading 3Heading 3 Char1 CharHeading 3 Char Char CharChar ..."/>
    <w:basedOn w:val="Heading3"/>
    <w:rPr>
      <w:iCs/>
    </w:rPr>
  </w:style>
  <w:style w:type="paragraph" w:customStyle="1" w:styleId="ParaQPS">
    <w:name w:val="Para QPS"/>
    <w:basedOn w:val="Normal"/>
    <w:qFormat/>
    <w:pPr>
      <w:spacing w:before="120" w:after="120"/>
      <w:ind w:left="1134"/>
      <w:jc w:val="both"/>
    </w:pPr>
    <w:rPr>
      <w:rFonts w:cs="Cambria"/>
      <w:iCs/>
      <w:color w:val="auto"/>
      <w:szCs w:val="24"/>
      <w:lang w:val="en-US" w:eastAsia="en-US" w:bidi="en-US"/>
    </w:rPr>
  </w:style>
  <w:style w:type="paragraph" w:customStyle="1" w:styleId="ParaQPSItalicindent">
    <w:name w:val="Para QPS Italic indent"/>
    <w:basedOn w:val="ParaQPS"/>
    <w:rPr>
      <w:i/>
      <w:iCs w:val="0"/>
    </w:rPr>
  </w:style>
  <w:style w:type="paragraph" w:customStyle="1" w:styleId="ListParagraph1">
    <w:name w:val="List Paragraph1"/>
    <w:aliases w:val="Bullets"/>
    <w:basedOn w:val="Normal"/>
    <w:pPr>
      <w:numPr>
        <w:numId w:val="18"/>
      </w:numPr>
      <w:spacing w:before="60" w:after="60"/>
      <w:jc w:val="both"/>
    </w:pPr>
    <w:rPr>
      <w:rFonts w:ascii="Arial" w:eastAsia="SimSun" w:hAnsi="Arial" w:cs="Arial"/>
      <w:color w:val="auto"/>
      <w:szCs w:val="22"/>
      <w:lang w:eastAsia="en-GB" w:bidi="en-US"/>
    </w:rPr>
  </w:style>
  <w:style w:type="paragraph" w:styleId="Bibliography">
    <w:name w:val="Bibliography"/>
    <w:basedOn w:val="Normal"/>
    <w:next w:val="Normal"/>
    <w:pPr>
      <w:spacing w:before="120" w:after="120"/>
      <w:ind w:left="1134"/>
      <w:jc w:val="both"/>
    </w:pPr>
    <w:rPr>
      <w:rFonts w:ascii="Calibri" w:eastAsia="SimSun" w:hAnsi="Calibri"/>
      <w:color w:val="auto"/>
      <w:szCs w:val="22"/>
      <w:lang w:bidi="en-US"/>
    </w:rPr>
  </w:style>
  <w:style w:type="paragraph" w:customStyle="1" w:styleId="Footnote">
    <w:name w:val="Footnote"/>
    <w:basedOn w:val="FootnoteText"/>
    <w:pPr>
      <w:widowControl/>
      <w:spacing w:after="0"/>
    </w:pPr>
    <w:rPr>
      <w:rFonts w:eastAsia="SimSun"/>
      <w:sz w:val="18"/>
      <w:szCs w:val="22"/>
      <w:lang w:bidi="en-US"/>
    </w:rPr>
  </w:style>
  <w:style w:type="paragraph" w:customStyle="1" w:styleId="TableforUNEPreport">
    <w:name w:val="Table for UNEP report"/>
    <w:basedOn w:val="Caption"/>
    <w:pPr>
      <w:keepNext/>
      <w:spacing w:after="200" w:line="240" w:lineRule="auto"/>
      <w:ind w:left="0"/>
      <w:jc w:val="both"/>
    </w:pPr>
    <w:rPr>
      <w:rFonts w:ascii="Calibri" w:eastAsia="Calibri" w:hAnsi="Calibri"/>
      <w:b/>
      <w:bCs/>
      <w:i w:val="0"/>
      <w:color w:val="auto"/>
      <w:szCs w:val="18"/>
      <w:lang w:eastAsia="en-GB" w:bidi="en-US"/>
    </w:rPr>
  </w:style>
  <w:style w:type="character" w:customStyle="1" w:styleId="FooterChar">
    <w:name w:val="Footer Char"/>
    <w:uiPriority w:val="99"/>
    <w:rPr>
      <w:rFonts w:eastAsia="SimSun" w:cs="Times New Roman"/>
      <w:noProof w:val="0"/>
      <w:sz w:val="22"/>
      <w:lang w:val="x-none" w:eastAsia="zh-CN"/>
    </w:rPr>
  </w:style>
  <w:style w:type="character" w:customStyle="1" w:styleId="BodyText2Char">
    <w:name w:val="Body Text 2 Char"/>
    <w:rPr>
      <w:rFonts w:ascii="Times New Roman" w:hAnsi="Times New Roman" w:cs="Times New Roman"/>
      <w:b/>
      <w:bCs/>
      <w:sz w:val="24"/>
    </w:rPr>
  </w:style>
  <w:style w:type="paragraph" w:customStyle="1" w:styleId="TitleQPSReport">
    <w:name w:val="Title QPS Report"/>
    <w:basedOn w:val="Normal"/>
    <w:pPr>
      <w:spacing w:before="120" w:after="120"/>
      <w:jc w:val="center"/>
    </w:pPr>
    <w:rPr>
      <w:b/>
      <w:bCs/>
      <w:color w:val="auto"/>
      <w:sz w:val="28"/>
      <w:lang w:bidi="en-US"/>
    </w:rPr>
  </w:style>
  <w:style w:type="paragraph" w:customStyle="1" w:styleId="Bulletdash">
    <w:name w:val="Bullet dash"/>
    <w:basedOn w:val="Normal"/>
    <w:qFormat/>
    <w:pPr>
      <w:numPr>
        <w:numId w:val="19"/>
      </w:numPr>
      <w:spacing w:before="120" w:after="120"/>
      <w:ind w:left="1854"/>
      <w:jc w:val="both"/>
    </w:pPr>
    <w:rPr>
      <w:rFonts w:eastAsia="SimSun"/>
      <w:color w:val="auto"/>
      <w:szCs w:val="22"/>
      <w:lang w:bidi="en-US"/>
    </w:rPr>
  </w:style>
  <w:style w:type="paragraph" w:customStyle="1" w:styleId="Paraleft">
    <w:name w:val="Para left"/>
    <w:basedOn w:val="Normal"/>
    <w:qFormat/>
    <w:pPr>
      <w:keepNext/>
      <w:spacing w:before="120" w:after="120"/>
      <w:ind w:left="1134"/>
    </w:pPr>
    <w:rPr>
      <w:rFonts w:eastAsia="SimSun"/>
      <w:b/>
      <w:bCs/>
      <w:color w:val="auto"/>
      <w:szCs w:val="22"/>
      <w:lang w:eastAsia="ja-JP" w:bidi="en-US"/>
    </w:rPr>
  </w:style>
  <w:style w:type="paragraph" w:customStyle="1" w:styleId="TableandFiguretitles">
    <w:name w:val="Table and Figure titles"/>
    <w:basedOn w:val="Caption"/>
    <w:qFormat/>
    <w:pPr>
      <w:keepNext/>
      <w:spacing w:after="200" w:line="240" w:lineRule="auto"/>
      <w:ind w:left="1134"/>
      <w:jc w:val="both"/>
    </w:pPr>
    <w:rPr>
      <w:rFonts w:eastAsia="SimSun"/>
      <w:b/>
      <w:bCs/>
      <w:i w:val="0"/>
      <w:color w:val="auto"/>
      <w:szCs w:val="22"/>
      <w:lang w:bidi="en-US"/>
    </w:rPr>
  </w:style>
  <w:style w:type="paragraph" w:styleId="TableofFigures">
    <w:name w:val="table of figures"/>
    <w:basedOn w:val="Normal"/>
    <w:next w:val="Normal"/>
    <w:semiHidden/>
    <w:unhideWhenUsed/>
    <w:pPr>
      <w:spacing w:before="120" w:after="120"/>
      <w:ind w:left="1757" w:right="624" w:hanging="1077"/>
      <w:jc w:val="both"/>
    </w:pPr>
    <w:rPr>
      <w:rFonts w:eastAsia="SimSun"/>
      <w:b/>
      <w:caps/>
      <w:color w:val="auto"/>
      <w:szCs w:val="22"/>
      <w:lang w:bidi="en-US"/>
    </w:rPr>
  </w:style>
  <w:style w:type="paragraph" w:customStyle="1" w:styleId="StyleParaQPSItalic">
    <w:name w:val="Style Para QPS + Italic"/>
    <w:basedOn w:val="ParaQPS"/>
    <w:rPr>
      <w:i/>
    </w:rPr>
  </w:style>
  <w:style w:type="paragraph" w:customStyle="1" w:styleId="StyleLeft017cm">
    <w:name w:val="Style Left:  0.17 cm"/>
    <w:basedOn w:val="Normal"/>
    <w:pPr>
      <w:spacing w:before="120" w:after="120"/>
      <w:ind w:left="97"/>
      <w:jc w:val="both"/>
    </w:pPr>
    <w:rPr>
      <w:color w:val="auto"/>
      <w:lang w:bidi="en-US"/>
    </w:rPr>
  </w:style>
  <w:style w:type="paragraph" w:customStyle="1" w:styleId="StyleParaQPS11ptItalic">
    <w:name w:val="Style Para QPS + 11 pt Italic"/>
    <w:basedOn w:val="ParaQPS"/>
    <w:rPr>
      <w:i/>
    </w:rPr>
  </w:style>
  <w:style w:type="paragraph" w:customStyle="1" w:styleId="Bulletnumbered">
    <w:name w:val="Bullet numbered"/>
    <w:basedOn w:val="ParaQPS"/>
    <w:qFormat/>
    <w:pPr>
      <w:numPr>
        <w:numId w:val="21"/>
      </w:numPr>
    </w:pPr>
  </w:style>
  <w:style w:type="paragraph" w:customStyle="1" w:styleId="Annexheader">
    <w:name w:val="Annex header"/>
    <w:basedOn w:val="Header"/>
    <w:pPr>
      <w:tabs>
        <w:tab w:val="clear" w:pos="4320"/>
        <w:tab w:val="clear" w:pos="8640"/>
        <w:tab w:val="center" w:pos="4153"/>
        <w:tab w:val="right" w:pos="8306"/>
      </w:tabs>
      <w:spacing w:after="0" w:line="360" w:lineRule="auto"/>
      <w:ind w:firstLine="720"/>
      <w:jc w:val="center"/>
    </w:pPr>
    <w:rPr>
      <w:rFonts w:ascii="Times New Roman Bold" w:hAnsi="Times New Roman Bold"/>
      <w:b/>
      <w:caps/>
      <w:color w:val="auto"/>
      <w:szCs w:val="24"/>
      <w:lang w:val="en-AU" w:eastAsia="en-US"/>
    </w:rPr>
  </w:style>
  <w:style w:type="paragraph" w:customStyle="1" w:styleId="Execlevel3">
    <w:name w:val="Exec level3"/>
    <w:basedOn w:val="Normal"/>
    <w:pPr>
      <w:tabs>
        <w:tab w:val="left" w:pos="1080"/>
      </w:tabs>
      <w:spacing w:after="0"/>
    </w:pPr>
    <w:rPr>
      <w:b/>
      <w:i/>
    </w:rPr>
  </w:style>
  <w:style w:type="paragraph" w:customStyle="1" w:styleId="0Heading0CharChar1Char">
    <w:name w:val="0 Heading 0 Char Char1 Char"/>
    <w:rPr>
      <w:rFonts w:ascii="Times New Roman" w:hAnsi="Times New Roman"/>
      <w:color w:val="000000"/>
      <w:sz w:val="24"/>
      <w:lang w:val="en-GB"/>
    </w:rPr>
  </w:style>
  <w:style w:type="character" w:customStyle="1" w:styleId="0Heading0CharChar1CharChar">
    <w:name w:val="0 Heading 0 Char Char1 Char Char"/>
    <w:rPr>
      <w:noProof w:val="0"/>
      <w:color w:val="000000"/>
      <w:sz w:val="24"/>
      <w:lang w:val="en-GB" w:eastAsia="en-US" w:bidi="ar-SA"/>
    </w:rPr>
  </w:style>
  <w:style w:type="character" w:customStyle="1" w:styleId="HeaderChar">
    <w:name w:val="Header Char"/>
    <w:aliases w:val="EthylHeader Char"/>
    <w:uiPriority w:val="99"/>
    <w:rPr>
      <w:noProof w:val="0"/>
      <w:color w:val="000000"/>
      <w:sz w:val="24"/>
      <w:lang w:val="en-GB" w:eastAsia="zh-CN"/>
    </w:rPr>
  </w:style>
  <w:style w:type="paragraph" w:customStyle="1" w:styleId="Alt2-LevelLegal1">
    <w:name w:val="Alt 2-Level Legal1"/>
    <w:basedOn w:val="Normal"/>
    <w:next w:val="Normal"/>
    <w:pPr>
      <w:numPr>
        <w:numId w:val="23"/>
      </w:numPr>
      <w:jc w:val="center"/>
      <w:outlineLvl w:val="0"/>
    </w:pPr>
    <w:rPr>
      <w:rFonts w:eastAsia="SimSun"/>
      <w:b/>
      <w:color w:val="auto"/>
      <w:szCs w:val="24"/>
    </w:rPr>
  </w:style>
  <w:style w:type="paragraph" w:customStyle="1" w:styleId="Alt2-LevelLegal2">
    <w:name w:val="Alt 2-Level Legal2"/>
    <w:basedOn w:val="Normal"/>
    <w:pPr>
      <w:numPr>
        <w:ilvl w:val="1"/>
        <w:numId w:val="23"/>
      </w:numPr>
      <w:outlineLvl w:val="1"/>
    </w:pPr>
    <w:rPr>
      <w:rFonts w:eastAsia="SimSun"/>
      <w:b/>
      <w:bCs/>
      <w:szCs w:val="24"/>
    </w:rPr>
  </w:style>
  <w:style w:type="paragraph" w:customStyle="1" w:styleId="Alt2-LevelLegal3">
    <w:name w:val="Alt 2-Level Legal3"/>
    <w:basedOn w:val="Normal"/>
    <w:pPr>
      <w:numPr>
        <w:ilvl w:val="2"/>
        <w:numId w:val="23"/>
      </w:numPr>
      <w:outlineLvl w:val="2"/>
    </w:pPr>
    <w:rPr>
      <w:rFonts w:eastAsia="SimSun"/>
      <w:b/>
      <w:szCs w:val="24"/>
    </w:rPr>
  </w:style>
  <w:style w:type="paragraph" w:customStyle="1" w:styleId="Alt2-LevelLegal4">
    <w:name w:val="Alt 2-Level Legal4"/>
    <w:basedOn w:val="Normal"/>
    <w:pPr>
      <w:numPr>
        <w:ilvl w:val="3"/>
        <w:numId w:val="23"/>
      </w:numPr>
      <w:outlineLvl w:val="3"/>
    </w:pPr>
    <w:rPr>
      <w:rFonts w:eastAsia="SimSun"/>
      <w:szCs w:val="24"/>
    </w:rPr>
  </w:style>
  <w:style w:type="paragraph" w:customStyle="1" w:styleId="Alt2-LevelLegal5">
    <w:name w:val="Alt 2-Level Legal5"/>
    <w:basedOn w:val="Normal"/>
    <w:pPr>
      <w:numPr>
        <w:ilvl w:val="4"/>
        <w:numId w:val="23"/>
      </w:numPr>
      <w:ind w:right="720"/>
      <w:jc w:val="both"/>
      <w:outlineLvl w:val="4"/>
    </w:pPr>
    <w:rPr>
      <w:rFonts w:eastAsia="SimSun"/>
      <w:szCs w:val="24"/>
    </w:rPr>
  </w:style>
  <w:style w:type="paragraph" w:customStyle="1" w:styleId="Alt2-LevelLegal6">
    <w:name w:val="Alt 2-Level Legal6"/>
    <w:basedOn w:val="Normal"/>
    <w:pPr>
      <w:numPr>
        <w:ilvl w:val="5"/>
        <w:numId w:val="23"/>
      </w:numPr>
      <w:jc w:val="both"/>
      <w:outlineLvl w:val="5"/>
    </w:pPr>
    <w:rPr>
      <w:rFonts w:eastAsia="SimSun"/>
      <w:szCs w:val="24"/>
    </w:rPr>
  </w:style>
  <w:style w:type="paragraph" w:customStyle="1" w:styleId="Alt2-LevelLegal7">
    <w:name w:val="Alt 2-Level Legal7"/>
    <w:basedOn w:val="Normal"/>
    <w:pPr>
      <w:numPr>
        <w:ilvl w:val="6"/>
        <w:numId w:val="23"/>
      </w:numPr>
      <w:ind w:left="1440"/>
      <w:outlineLvl w:val="6"/>
    </w:pPr>
    <w:rPr>
      <w:rFonts w:eastAsia="SimSun"/>
      <w:szCs w:val="24"/>
    </w:rPr>
  </w:style>
  <w:style w:type="character" w:styleId="Emphasis">
    <w:name w:val="Emphasis"/>
    <w:uiPriority w:val="20"/>
    <w:qFormat/>
    <w:rPr>
      <w:b/>
      <w:bCs/>
      <w:i/>
      <w:iCs/>
      <w:spacing w:val="10"/>
      <w:bdr w:val="none" w:sz="0" w:space="0" w:color="auto"/>
      <w:shd w:val="clear" w:color="auto" w:fill="auto"/>
    </w:rPr>
  </w:style>
  <w:style w:type="paragraph" w:customStyle="1" w:styleId="NoteLevel21">
    <w:name w:val="Note Level 21"/>
    <w:basedOn w:val="Normal"/>
    <w:qFormat/>
    <w:locked/>
    <w:pPr>
      <w:spacing w:after="0"/>
    </w:pPr>
    <w:rPr>
      <w:rFonts w:ascii="Arial" w:eastAsia="Calibri" w:hAnsi="Arial" w:cs="Consolas"/>
      <w:color w:val="auto"/>
      <w:szCs w:val="22"/>
      <w:lang w:eastAsia="en-US"/>
    </w:rPr>
  </w:style>
  <w:style w:type="paragraph" w:styleId="Quote">
    <w:name w:val="Quote"/>
    <w:basedOn w:val="Normal"/>
    <w:next w:val="Normal"/>
    <w:qFormat/>
    <w:locked/>
    <w:pPr>
      <w:spacing w:before="200" w:after="0"/>
      <w:ind w:left="360" w:right="360"/>
    </w:pPr>
    <w:rPr>
      <w:rFonts w:ascii="Arial" w:eastAsia="Calibri" w:hAnsi="Arial" w:cs="Consolas"/>
      <w:i/>
      <w:iCs/>
      <w:color w:val="auto"/>
      <w:szCs w:val="22"/>
      <w:lang w:eastAsia="en-US"/>
    </w:rPr>
  </w:style>
  <w:style w:type="paragraph" w:styleId="IntenseQuote">
    <w:name w:val="Intense Quote"/>
    <w:basedOn w:val="Normal"/>
    <w:next w:val="Normal"/>
    <w:qFormat/>
    <w:locked/>
    <w:pPr>
      <w:pBdr>
        <w:bottom w:val="single" w:sz="4" w:space="1" w:color="auto"/>
      </w:pBdr>
      <w:spacing w:before="200" w:after="280"/>
      <w:ind w:left="1008" w:right="1152"/>
      <w:jc w:val="both"/>
    </w:pPr>
    <w:rPr>
      <w:rFonts w:ascii="Arial" w:eastAsia="Calibri" w:hAnsi="Arial" w:cs="Consolas"/>
      <w:b/>
      <w:bCs/>
      <w:i/>
      <w:iCs/>
      <w:color w:val="auto"/>
      <w:szCs w:val="22"/>
      <w:lang w:eastAsia="en-US"/>
    </w:rPr>
  </w:style>
  <w:style w:type="character" w:styleId="SubtleEmphasis">
    <w:name w:val="Subtle Emphasis"/>
    <w:qFormat/>
    <w:locked/>
    <w:rPr>
      <w:i/>
      <w:iCs/>
    </w:rPr>
  </w:style>
  <w:style w:type="character" w:styleId="IntenseEmphasis">
    <w:name w:val="Intense Emphasis"/>
    <w:qFormat/>
    <w:locked/>
    <w:rPr>
      <w:b/>
      <w:bCs/>
    </w:rPr>
  </w:style>
  <w:style w:type="character" w:styleId="SubtleReference">
    <w:name w:val="Subtle Reference"/>
    <w:uiPriority w:val="31"/>
    <w:qFormat/>
    <w:locked/>
    <w:rPr>
      <w:smallCaps/>
    </w:rPr>
  </w:style>
  <w:style w:type="character" w:styleId="IntenseReference">
    <w:name w:val="Intense Reference"/>
    <w:qFormat/>
    <w:locked/>
    <w:rPr>
      <w:smallCaps/>
      <w:spacing w:val="5"/>
      <w:u w:val="single"/>
    </w:rPr>
  </w:style>
  <w:style w:type="character" w:styleId="BookTitle">
    <w:name w:val="Book Title"/>
    <w:qFormat/>
    <w:locked/>
    <w:rPr>
      <w:i/>
      <w:iCs/>
      <w:smallCaps/>
      <w:spacing w:val="5"/>
    </w:rPr>
  </w:style>
  <w:style w:type="paragraph" w:styleId="TOCHeading">
    <w:name w:val="TOC Heading"/>
    <w:basedOn w:val="Heading1"/>
    <w:next w:val="Normal"/>
    <w:uiPriority w:val="39"/>
    <w:qFormat/>
    <w:locked/>
    <w:pPr>
      <w:keepLines/>
      <w:spacing w:before="0"/>
      <w:ind w:left="0" w:firstLine="0"/>
      <w:outlineLvl w:val="9"/>
    </w:pPr>
    <w:rPr>
      <w:rFonts w:ascii="Arial" w:hAnsi="Arial"/>
      <w:bCs/>
      <w:color w:val="auto"/>
      <w:sz w:val="32"/>
      <w:szCs w:val="28"/>
      <w:lang w:eastAsia="en-US"/>
    </w:rPr>
  </w:style>
  <w:style w:type="character" w:customStyle="1" w:styleId="PlainTextChar">
    <w:name w:val="Plain Text Char"/>
    <w:uiPriority w:val="99"/>
    <w:rPr>
      <w:rFonts w:ascii="Consolas" w:hAnsi="Consolas" w:cs="Consolas"/>
      <w:noProof w:val="0"/>
      <w:sz w:val="21"/>
      <w:szCs w:val="21"/>
      <w:lang w:val="en-US" w:eastAsia="en-US"/>
    </w:rPr>
  </w:style>
  <w:style w:type="character" w:customStyle="1" w:styleId="BodyTextIndent3Char">
    <w:name w:val="Body Text Indent 3 Char"/>
    <w:rPr>
      <w:rFonts w:ascii="Times New Roman" w:eastAsia="MS Mincho" w:hAnsi="Times New Roman" w:cs="Times New Roman"/>
      <w:noProof w:val="0"/>
      <w:snapToGrid w:val="0"/>
      <w:color w:val="FF0000"/>
      <w:sz w:val="24"/>
      <w:lang w:eastAsia="zh-CN"/>
    </w:rPr>
  </w:style>
  <w:style w:type="character" w:customStyle="1" w:styleId="Para1">
    <w:name w:val="Para (1) (文字)"/>
    <w:aliases w:val="Heading 1 Char1 Char (文字),Heading 1 Char Char Char (文字),Para (1) Char Char Char (文字),Para (1) Char1 Char (文字),Heading 1 Char1 (文字),Heading 1 Char Char (文字),Para (1) Char Char (文字),Para (1) Char1 (文字),Heading 1 Char1 Char Char (文字)"/>
    <w:rPr>
      <w:rFonts w:ascii="Arial" w:eastAsia="MS Mincho" w:hAnsi="Arial" w:cs="Arial"/>
      <w:b/>
      <w:bCs/>
      <w:noProof w:val="0"/>
      <w:kern w:val="32"/>
      <w:sz w:val="32"/>
      <w:szCs w:val="32"/>
      <w:lang w:val="en-US" w:eastAsia="ja-JP" w:bidi="ar-SA"/>
    </w:rPr>
  </w:style>
  <w:style w:type="paragraph" w:customStyle="1" w:styleId="a0">
    <w:name w:val="吹き出し"/>
    <w:basedOn w:val="Normal"/>
    <w:semiHidden/>
    <w:pPr>
      <w:spacing w:after="0"/>
    </w:pPr>
    <w:rPr>
      <w:rFonts w:ascii="Tahoma" w:eastAsia="MS Mincho" w:hAnsi="Tahoma" w:cs="Consolas"/>
      <w:color w:val="auto"/>
      <w:sz w:val="16"/>
      <w:szCs w:val="16"/>
      <w:lang w:val="en-US" w:eastAsia="en-US"/>
    </w:rPr>
  </w:style>
  <w:style w:type="character" w:customStyle="1" w:styleId="SubParaa">
    <w:name w:val="SubPara (a) (文字) (文字)"/>
    <w:rPr>
      <w:rFonts w:ascii="Arial" w:eastAsia="MS Mincho" w:hAnsi="Arial" w:cs="Arial"/>
      <w:b/>
      <w:bCs/>
      <w:i/>
      <w:iCs/>
      <w:noProof w:val="0"/>
      <w:kern w:val="2"/>
      <w:sz w:val="28"/>
      <w:szCs w:val="28"/>
      <w:lang w:val="en-US" w:eastAsia="ja-JP" w:bidi="ar-SA"/>
    </w:rPr>
  </w:style>
  <w:style w:type="character" w:customStyle="1" w:styleId="1">
    <w:name w:val="(文字) (文字)1"/>
    <w:rPr>
      <w:rFonts w:eastAsia="SimSun"/>
      <w:noProof w:val="0"/>
      <w:sz w:val="24"/>
      <w:szCs w:val="24"/>
      <w:lang w:val="en-US" w:eastAsia="zh-CN" w:bidi="ar-SA"/>
    </w:rPr>
  </w:style>
  <w:style w:type="paragraph" w:customStyle="1" w:styleId="a1">
    <w:name w:val="コメント内容"/>
    <w:basedOn w:val="CommentText"/>
    <w:next w:val="CommentText"/>
    <w:pPr>
      <w:widowControl/>
      <w:spacing w:after="0"/>
    </w:pPr>
    <w:rPr>
      <w:rFonts w:ascii="Times New Roman" w:eastAsia="MS Mincho" w:hAnsi="Times New Roman"/>
      <w:b/>
      <w:bCs/>
      <w:lang w:val="en-US" w:eastAsia="en-US"/>
    </w:rPr>
  </w:style>
  <w:style w:type="character" w:customStyle="1" w:styleId="a2">
    <w:name w:val="(文字) (文字)"/>
    <w:rPr>
      <w:rFonts w:eastAsia="SimSun"/>
      <w:b/>
      <w:bCs/>
      <w:noProof w:val="0"/>
      <w:sz w:val="24"/>
      <w:szCs w:val="24"/>
      <w:lang w:val="en-US" w:eastAsia="en-US" w:bidi="ar-SA"/>
    </w:rPr>
  </w:style>
  <w:style w:type="character" w:customStyle="1" w:styleId="CarCar19">
    <w:name w:val="Car Car19"/>
    <w:locked/>
    <w:rPr>
      <w:rFonts w:eastAsia="MS Mincho"/>
      <w:noProof w:val="0"/>
      <w:color w:val="000000"/>
      <w:sz w:val="24"/>
      <w:szCs w:val="24"/>
      <w:lang w:val="en-GB" w:eastAsia="zh-CN" w:bidi="ar-SA"/>
    </w:rPr>
  </w:style>
  <w:style w:type="paragraph" w:customStyle="1" w:styleId="Decisionparagraphs">
    <w:name w:val="Decision paragraphs"/>
    <w:basedOn w:val="Normal"/>
    <w:autoRedefine/>
    <w:pPr>
      <w:spacing w:after="0"/>
    </w:pPr>
    <w:rPr>
      <w:i/>
      <w:color w:val="auto"/>
      <w:lang w:eastAsia="en-US"/>
    </w:rPr>
  </w:style>
  <w:style w:type="paragraph" w:customStyle="1" w:styleId="Style3">
    <w:name w:val="Style3"/>
    <w:basedOn w:val="Heading1"/>
    <w:pPr>
      <w:tabs>
        <w:tab w:val="left" w:pos="0"/>
        <w:tab w:val="left" w:pos="720"/>
        <w:tab w:val="num" w:pos="1492"/>
      </w:tabs>
      <w:spacing w:before="0" w:after="0"/>
      <w:ind w:left="720" w:hanging="720"/>
    </w:pPr>
    <w:rPr>
      <w:szCs w:val="28"/>
    </w:rPr>
  </w:style>
  <w:style w:type="paragraph" w:customStyle="1" w:styleId="Style4">
    <w:name w:val="Style4"/>
    <w:basedOn w:val="Heading2"/>
    <w:qFormat/>
    <w:pPr>
      <w:spacing w:after="0"/>
    </w:pPr>
    <w:rPr>
      <w:snapToGrid/>
    </w:rPr>
  </w:style>
  <w:style w:type="paragraph" w:customStyle="1" w:styleId="Style5">
    <w:name w:val="Style5"/>
    <w:basedOn w:val="Heading311ptBold"/>
    <w:autoRedefine/>
    <w:pPr>
      <w:numPr>
        <w:ilvl w:val="0"/>
        <w:numId w:val="0"/>
      </w:numPr>
      <w:tabs>
        <w:tab w:val="clear" w:pos="1800"/>
        <w:tab w:val="left" w:pos="720"/>
        <w:tab w:val="center" w:pos="1440"/>
      </w:tabs>
      <w:spacing w:before="0" w:after="0"/>
    </w:pPr>
    <w:rPr>
      <w:b w:val="0"/>
      <w:snapToGrid/>
    </w:rPr>
  </w:style>
  <w:style w:type="paragraph" w:customStyle="1" w:styleId="Style6">
    <w:name w:val="Style6"/>
    <w:basedOn w:val="Heading311ptBold"/>
    <w:next w:val="Style5"/>
    <w:pPr>
      <w:numPr>
        <w:ilvl w:val="0"/>
        <w:numId w:val="0"/>
      </w:numPr>
      <w:tabs>
        <w:tab w:val="clear" w:pos="1800"/>
        <w:tab w:val="left" w:pos="720"/>
        <w:tab w:val="center" w:pos="1440"/>
      </w:tabs>
      <w:spacing w:before="0" w:after="0"/>
    </w:pPr>
    <w:rPr>
      <w:b w:val="0"/>
      <w:snapToGrid/>
    </w:rPr>
  </w:style>
  <w:style w:type="paragraph" w:customStyle="1" w:styleId="Style7">
    <w:name w:val="Style7"/>
    <w:basedOn w:val="Heading311ptBold"/>
    <w:pPr>
      <w:numPr>
        <w:ilvl w:val="0"/>
        <w:numId w:val="0"/>
      </w:numPr>
      <w:tabs>
        <w:tab w:val="clear" w:pos="1800"/>
        <w:tab w:val="left" w:pos="720"/>
        <w:tab w:val="center" w:pos="1440"/>
      </w:tabs>
      <w:spacing w:before="0" w:after="0"/>
      <w:ind w:left="720" w:hanging="720"/>
    </w:pPr>
    <w:rPr>
      <w:b w:val="0"/>
      <w:snapToGrid/>
    </w:rPr>
  </w:style>
  <w:style w:type="paragraph" w:customStyle="1" w:styleId="StyleHeading2SubParaaHeading2Char1CharSubParaaChar1">
    <w:name w:val="Style Heading 2SubPara (a)Heading 2 Char1 CharSubPara (a) Char1 ..."/>
    <w:basedOn w:val="Heading2"/>
    <w:autoRedefine/>
    <w:pPr>
      <w:spacing w:after="0"/>
    </w:pPr>
    <w:rPr>
      <w:bCs/>
      <w:snapToGrid/>
      <w:szCs w:val="20"/>
    </w:rPr>
  </w:style>
  <w:style w:type="paragraph" w:customStyle="1" w:styleId="StyleStyleHeading2SubParaaHeading2Char1CharSubParaaCha">
    <w:name w:val="Style Style Heading 2SubPara (a)Heading 2 Char1 CharSubPara (a) Cha..."/>
    <w:basedOn w:val="StyleHeading2SubParaaHeading2Char1CharSubParaaChar1"/>
  </w:style>
  <w:style w:type="paragraph" w:customStyle="1" w:styleId="StyleHeading4Left0Firstline0">
    <w:name w:val="Style Heading 4 + Left:  0&quot; First line:  0&quot;"/>
    <w:basedOn w:val="Heading4"/>
    <w:autoRedefine/>
    <w:pPr>
      <w:spacing w:after="0"/>
      <w:ind w:left="720"/>
    </w:pPr>
    <w:rPr>
      <w:b w:val="0"/>
      <w:bCs/>
      <w:snapToGrid/>
      <w:szCs w:val="20"/>
    </w:rPr>
  </w:style>
  <w:style w:type="paragraph" w:styleId="ListBullet2">
    <w:name w:val="List Bullet 2"/>
    <w:basedOn w:val="Normal"/>
    <w:semiHidden/>
    <w:pPr>
      <w:tabs>
        <w:tab w:val="num" w:pos="643"/>
      </w:tabs>
      <w:spacing w:after="0"/>
      <w:ind w:left="643" w:hanging="360"/>
    </w:pPr>
    <w:rPr>
      <w:color w:val="auto"/>
      <w:szCs w:val="24"/>
      <w:lang w:eastAsia="en-GB"/>
    </w:rPr>
  </w:style>
  <w:style w:type="paragraph" w:styleId="ListBullet3">
    <w:name w:val="List Bullet 3"/>
    <w:basedOn w:val="Normal"/>
    <w:semiHidden/>
    <w:pPr>
      <w:tabs>
        <w:tab w:val="num" w:pos="926"/>
      </w:tabs>
      <w:spacing w:after="0"/>
      <w:ind w:left="926" w:hanging="360"/>
    </w:pPr>
    <w:rPr>
      <w:color w:val="auto"/>
      <w:szCs w:val="24"/>
      <w:lang w:eastAsia="en-GB"/>
    </w:rPr>
  </w:style>
  <w:style w:type="paragraph" w:styleId="ListBullet4">
    <w:name w:val="List Bullet 4"/>
    <w:basedOn w:val="Normal"/>
    <w:semiHidden/>
    <w:pPr>
      <w:tabs>
        <w:tab w:val="num" w:pos="1209"/>
      </w:tabs>
      <w:spacing w:after="0"/>
      <w:ind w:left="1209" w:hanging="360"/>
    </w:pPr>
    <w:rPr>
      <w:color w:val="auto"/>
      <w:szCs w:val="24"/>
      <w:lang w:eastAsia="en-GB"/>
    </w:rPr>
  </w:style>
  <w:style w:type="paragraph" w:customStyle="1" w:styleId="ECMSHeading1">
    <w:name w:val="ECMS Heading 1"/>
    <w:basedOn w:val="Heading1"/>
    <w:pPr>
      <w:spacing w:after="1080"/>
      <w:ind w:left="0" w:firstLine="0"/>
    </w:pPr>
    <w:rPr>
      <w:rFonts w:ascii="Garamond" w:hAnsi="Garamond" w:cs="Arial"/>
      <w:bCs/>
      <w:color w:val="auto"/>
      <w:sz w:val="48"/>
      <w:szCs w:val="18"/>
      <w:lang w:eastAsia="en-GB"/>
    </w:rPr>
  </w:style>
  <w:style w:type="paragraph" w:customStyle="1" w:styleId="ECMStableheader">
    <w:name w:val="ECMS table header"/>
    <w:basedOn w:val="Normal"/>
    <w:pPr>
      <w:spacing w:after="0"/>
      <w:ind w:left="1320" w:hanging="1320"/>
    </w:pPr>
    <w:rPr>
      <w:b/>
      <w:color w:val="auto"/>
      <w:szCs w:val="24"/>
      <w:lang w:eastAsia="en-GB"/>
    </w:rPr>
  </w:style>
  <w:style w:type="paragraph" w:customStyle="1" w:styleId="Paralevel3">
    <w:name w:val="Para level3"/>
    <w:basedOn w:val="Normal"/>
    <w:autoRedefine/>
    <w:pPr>
      <w:numPr>
        <w:numId w:val="26"/>
      </w:numPr>
      <w:tabs>
        <w:tab w:val="clear" w:pos="2892"/>
        <w:tab w:val="num" w:pos="360"/>
      </w:tabs>
      <w:suppressAutoHyphens/>
      <w:spacing w:after="120"/>
      <w:ind w:left="0" w:firstLine="0"/>
    </w:pPr>
    <w:rPr>
      <w:color w:val="auto"/>
      <w:sz w:val="20"/>
      <w:lang w:eastAsia="en-US"/>
    </w:rPr>
  </w:style>
  <w:style w:type="character" w:customStyle="1" w:styleId="ANNEXESChar">
    <w:name w:val="ANNEXES Char"/>
    <w:rPr>
      <w:b/>
      <w:noProof w:val="0"/>
      <w:color w:val="000000"/>
      <w:sz w:val="28"/>
      <w:lang w:val="en-GB" w:eastAsia="zh-CN" w:bidi="ar-SA"/>
    </w:rPr>
  </w:style>
  <w:style w:type="character" w:customStyle="1" w:styleId="BodyTextChar">
    <w:name w:val="Body Text Char"/>
    <w:aliases w:val=" Char Char Char,Char Char Char,Body Text Char Char Char Char Char Char,Body Text Char Char Char Char Char1"/>
    <w:uiPriority w:val="99"/>
    <w:rPr>
      <w:rFonts w:ascii="Times New Roman" w:hAnsi="Times New Roman"/>
      <w:noProof w:val="0"/>
      <w:color w:val="000000"/>
      <w:lang w:val="en-GB" w:eastAsia="zh-CN"/>
    </w:rPr>
  </w:style>
  <w:style w:type="character" w:customStyle="1" w:styleId="BodyTextIndentChar">
    <w:name w:val="Body Text Indent Char"/>
    <w:rPr>
      <w:rFonts w:ascii="Times New Roman" w:hAnsi="Times New Roman"/>
      <w:noProof w:val="0"/>
      <w:color w:val="000000"/>
      <w:lang w:val="en-GB" w:eastAsia="zh-CN"/>
    </w:rPr>
  </w:style>
  <w:style w:type="paragraph" w:customStyle="1" w:styleId="ColorfulShading-Accent31">
    <w:name w:val="Colorful Shading - Accent 31"/>
    <w:basedOn w:val="Normal"/>
    <w:qFormat/>
    <w:pPr>
      <w:spacing w:after="0"/>
    </w:pPr>
    <w:rPr>
      <w:rFonts w:ascii="Cambria" w:eastAsia="Cambria" w:hAnsi="Cambria"/>
      <w:color w:val="auto"/>
      <w:sz w:val="24"/>
      <w:lang w:val="en-US"/>
    </w:rPr>
  </w:style>
  <w:style w:type="paragraph" w:customStyle="1" w:styleId="summarylevel3">
    <w:name w:val="summary level3"/>
    <w:basedOn w:val="Heading3"/>
    <w:next w:val="Normal"/>
    <w:pPr>
      <w:keepLines w:val="0"/>
      <w:suppressLineNumbers/>
      <w:tabs>
        <w:tab w:val="left" w:pos="851"/>
      </w:tabs>
      <w:spacing w:before="100"/>
    </w:pPr>
    <w:rPr>
      <w:rFonts w:ascii="Times New Roman Bold" w:hAnsi="Times New Roman Bold"/>
      <w:snapToGrid/>
      <w:lang w:val="en-AU"/>
    </w:rPr>
  </w:style>
  <w:style w:type="paragraph" w:customStyle="1" w:styleId="intro">
    <w:name w:val="intro"/>
    <w:basedOn w:val="Normal"/>
    <w:pPr>
      <w:spacing w:before="100" w:after="100"/>
    </w:pPr>
    <w:rPr>
      <w:color w:val="auto"/>
      <w:sz w:val="24"/>
      <w:lang w:val="en-US" w:eastAsia="ja-JP"/>
    </w:rPr>
  </w:style>
  <w:style w:type="paragraph" w:customStyle="1" w:styleId="BodyTextLeft">
    <w:name w:val="Body Text Left"/>
    <w:basedOn w:val="Normal"/>
    <w:pPr>
      <w:widowControl w:val="0"/>
    </w:pPr>
    <w:rPr>
      <w:rFonts w:eastAsia="MS Mincho"/>
      <w:color w:val="auto"/>
      <w:kern w:val="2"/>
      <w:sz w:val="24"/>
      <w:lang w:eastAsia="ja-JP"/>
    </w:rPr>
  </w:style>
  <w:style w:type="paragraph" w:customStyle="1" w:styleId="bullet0">
    <w:name w:val="bullet"/>
    <w:basedOn w:val="Normal"/>
    <w:autoRedefine/>
    <w:pPr>
      <w:spacing w:after="0"/>
      <w:ind w:left="1080"/>
    </w:pPr>
    <w:rPr>
      <w:color w:val="auto"/>
      <w:sz w:val="24"/>
    </w:rPr>
  </w:style>
  <w:style w:type="paragraph" w:customStyle="1" w:styleId="ExecSumHeading">
    <w:name w:val="Exec Sum Heading"/>
    <w:basedOn w:val="Heading1"/>
    <w:pPr>
      <w:widowControl w:val="0"/>
      <w:tabs>
        <w:tab w:val="left" w:pos="851"/>
      </w:tabs>
      <w:spacing w:before="240"/>
    </w:pPr>
    <w:rPr>
      <w:rFonts w:ascii="Times New Roman Bold" w:eastAsia="MS Mincho" w:hAnsi="Times New Roman Bold"/>
      <w:color w:val="auto"/>
      <w:kern w:val="32"/>
      <w:sz w:val="30"/>
    </w:rPr>
  </w:style>
  <w:style w:type="character" w:customStyle="1" w:styleId="text">
    <w:name w:val="text"/>
    <w:basedOn w:val="DefaultParagraphFont"/>
  </w:style>
  <w:style w:type="paragraph" w:customStyle="1" w:styleId="StyleHeading1Para1Heading1Char1CharHeading1CharCharC">
    <w:name w:val="Style Heading 1Para (1)Heading 1 Char1 CharHeading 1 Char Char C..."/>
    <w:basedOn w:val="Heading1"/>
    <w:pPr>
      <w:tabs>
        <w:tab w:val="left" w:pos="851"/>
      </w:tabs>
      <w:spacing w:before="240" w:after="60"/>
    </w:pPr>
    <w:rPr>
      <w:rFonts w:ascii="Times New Roman Bold" w:hAnsi="Times New Roman Bold"/>
      <w:kern w:val="32"/>
      <w:sz w:val="30"/>
      <w:lang w:val="en-US"/>
    </w:rPr>
  </w:style>
  <w:style w:type="character" w:customStyle="1" w:styleId="StyleHeading1Para1Heading1Char1CharHeading1CharCharCChar">
    <w:name w:val="Style Heading 1Para (1)Heading 1 Char1 CharHeading 1 Char Char C... Char"/>
    <w:rPr>
      <w:rFonts w:cs="Arial"/>
      <w:b/>
      <w:bCs/>
      <w:noProof w:val="0"/>
      <w:color w:val="000000"/>
      <w:kern w:val="32"/>
      <w:sz w:val="28"/>
      <w:szCs w:val="32"/>
      <w:lang w:val="en-US" w:eastAsia="en-US" w:bidi="ar-SA"/>
    </w:rPr>
  </w:style>
  <w:style w:type="paragraph" w:customStyle="1" w:styleId="StyleBodyTextLeftAfter0pt">
    <w:name w:val="Style Body Text Left + After:  0 pt"/>
    <w:basedOn w:val="BodyTextLeft"/>
    <w:rPr>
      <w:lang w:eastAsia="zh-CN"/>
    </w:rPr>
  </w:style>
  <w:style w:type="paragraph" w:customStyle="1" w:styleId="StyleBodyTextIndent2Firstline0cm">
    <w:name w:val="Style Body Text Indent 2 + First line:  0 cm"/>
    <w:basedOn w:val="BodyTextIndent2"/>
    <w:pPr>
      <w:spacing w:after="240"/>
      <w:ind w:firstLine="0"/>
    </w:pPr>
  </w:style>
  <w:style w:type="paragraph" w:customStyle="1" w:styleId="StyleBodyTextIndent2Firstline0cm1">
    <w:name w:val="Style Body Text Indent 2 + First line:  0 cm1"/>
    <w:basedOn w:val="BodyTextIndent2"/>
    <w:pPr>
      <w:spacing w:after="240"/>
      <w:ind w:firstLine="0"/>
    </w:pPr>
  </w:style>
  <w:style w:type="paragraph" w:customStyle="1" w:styleId="NormalBold">
    <w:name w:val="Normal + Bold"/>
    <w:aliases w:val="Italic,Centered"/>
    <w:basedOn w:val="Execlevel3"/>
    <w:pPr>
      <w:spacing w:after="240"/>
      <w:jc w:val="center"/>
    </w:pPr>
  </w:style>
  <w:style w:type="paragraph" w:styleId="List5">
    <w:name w:val="List 5"/>
    <w:basedOn w:val="Normal"/>
    <w:semiHidden/>
    <w:pPr>
      <w:tabs>
        <w:tab w:val="left" w:pos="4680"/>
        <w:tab w:val="right" w:pos="9360"/>
      </w:tabs>
      <w:spacing w:before="220" w:after="0" w:line="220" w:lineRule="exact"/>
      <w:ind w:left="1800" w:hanging="360"/>
      <w:jc w:val="both"/>
    </w:pPr>
    <w:rPr>
      <w:rFonts w:ascii="Arial" w:hAnsi="Arial"/>
      <w:color w:val="auto"/>
      <w:lang w:val="en-US"/>
    </w:rPr>
  </w:style>
  <w:style w:type="paragraph" w:customStyle="1" w:styleId="enclosures">
    <w:name w:val="enclosures"/>
    <w:basedOn w:val="Normal"/>
    <w:next w:val="Normal"/>
    <w:rsid w:val="00255612"/>
    <w:pPr>
      <w:tabs>
        <w:tab w:val="left" w:pos="720"/>
        <w:tab w:val="right" w:pos="9360"/>
      </w:tabs>
      <w:spacing w:after="0"/>
    </w:pPr>
    <w:rPr>
      <w:rFonts w:ascii="Helvetica" w:hAnsi="Helvetica"/>
      <w:color w:val="auto"/>
      <w:lang w:val="en-US"/>
    </w:rPr>
  </w:style>
  <w:style w:type="character" w:customStyle="1" w:styleId="CommentTextChar1">
    <w:name w:val="Comment Text Char1"/>
    <w:rPr>
      <w:rFonts w:cs="Times New Roman"/>
      <w:noProof w:val="0"/>
      <w:sz w:val="24"/>
      <w:lang w:val="en-US" w:eastAsia="ja-JP"/>
    </w:rPr>
  </w:style>
  <w:style w:type="character" w:customStyle="1" w:styleId="CommentTextChar">
    <w:name w:val="Comment Text Char"/>
    <w:uiPriority w:val="99"/>
    <w:rPr>
      <w:rFonts w:ascii="Times New Roman" w:hAnsi="Times New Roman" w:cs="Times New Roman"/>
      <w:noProof w:val="0"/>
      <w:sz w:val="24"/>
      <w:lang w:val="x-none" w:eastAsia="ja-JP"/>
    </w:rPr>
  </w:style>
  <w:style w:type="character" w:customStyle="1" w:styleId="BalloonTextChar">
    <w:name w:val="Balloon Text Char"/>
    <w:uiPriority w:val="99"/>
    <w:rPr>
      <w:rFonts w:ascii="Tahoma" w:hAnsi="Tahoma" w:cs="MS Mincho"/>
      <w:sz w:val="16"/>
    </w:rPr>
  </w:style>
  <w:style w:type="character" w:customStyle="1" w:styleId="CommentSubjectChar">
    <w:name w:val="Comment Subject Char"/>
    <w:uiPriority w:val="99"/>
    <w:rPr>
      <w:rFonts w:eastAsia="Times New Roman" w:cs="Times New Roman"/>
      <w:b/>
      <w:bCs/>
      <w:noProof w:val="0"/>
      <w:sz w:val="24"/>
      <w:lang w:val="en-US" w:eastAsia="ja-JP"/>
    </w:rPr>
  </w:style>
  <w:style w:type="character" w:customStyle="1" w:styleId="Heading5Char">
    <w:name w:val="Heading 5 Char"/>
    <w:aliases w:val="Subpara 2 Char"/>
    <w:uiPriority w:val="9"/>
    <w:rPr>
      <w:rFonts w:ascii="Cambria" w:eastAsia="Times New Roman" w:hAnsi="Cambria" w:cs="Times New Roman"/>
      <w:color w:val="243F60"/>
    </w:rPr>
  </w:style>
  <w:style w:type="character" w:customStyle="1" w:styleId="Heading6Char">
    <w:name w:val="Heading 6 Char"/>
    <w:aliases w:val="Subpara 3 Char"/>
    <w:uiPriority w:val="9"/>
    <w:rPr>
      <w:rFonts w:ascii="Cambria" w:eastAsia="Times New Roman" w:hAnsi="Cambria" w:cs="Times New Roman"/>
      <w:i/>
      <w:iCs/>
      <w:color w:val="243F60"/>
    </w:rPr>
  </w:style>
  <w:style w:type="character" w:customStyle="1" w:styleId="Heading7Char">
    <w:name w:val="Heading 7 Char"/>
    <w:aliases w:val="Subpara 4 Char"/>
    <w:uiPriority w:val="9"/>
    <w:rPr>
      <w:rFonts w:ascii="Cambria" w:eastAsia="Times New Roman" w:hAnsi="Cambria" w:cs="Times New Roman"/>
      <w:i/>
      <w:iCs/>
      <w:color w:val="404040"/>
    </w:rPr>
  </w:style>
  <w:style w:type="character" w:customStyle="1" w:styleId="Heading8Char">
    <w:name w:val="Heading 8 Char"/>
    <w:aliases w:val="Subpara 5 Char"/>
    <w:uiPriority w:val="9"/>
    <w:rPr>
      <w:rFonts w:ascii="Cambria" w:eastAsia="Times New Roman" w:hAnsi="Cambria" w:cs="Times New Roman"/>
      <w:color w:val="404040"/>
      <w:sz w:val="20"/>
      <w:szCs w:val="20"/>
    </w:rPr>
  </w:style>
  <w:style w:type="character" w:customStyle="1" w:styleId="Heading9Char">
    <w:name w:val="Heading 9 Char"/>
    <w:aliases w:val="Subpara 6 Char"/>
    <w:uiPriority w:val="9"/>
    <w:rPr>
      <w:rFonts w:ascii="Cambria" w:eastAsia="Times New Roman" w:hAnsi="Cambria" w:cs="Times New Roman"/>
      <w:i/>
      <w:iCs/>
      <w:color w:val="404040"/>
      <w:sz w:val="20"/>
      <w:szCs w:val="20"/>
    </w:rPr>
  </w:style>
  <w:style w:type="paragraph" w:customStyle="1" w:styleId="Paraindent">
    <w:name w:val="Para indent"/>
    <w:basedOn w:val="Normal"/>
    <w:qFormat/>
    <w:pPr>
      <w:widowControl w:val="0"/>
      <w:spacing w:before="120" w:after="120"/>
      <w:ind w:left="709" w:right="720"/>
      <w:jc w:val="both"/>
    </w:pPr>
    <w:rPr>
      <w:i/>
      <w:sz w:val="20"/>
    </w:rPr>
  </w:style>
  <w:style w:type="paragraph" w:customStyle="1" w:styleId="BulletsinTable">
    <w:name w:val="Bullets in Table"/>
    <w:basedOn w:val="ListParagraph1"/>
    <w:qFormat/>
    <w:pPr>
      <w:numPr>
        <w:numId w:val="9"/>
      </w:numPr>
      <w:autoSpaceDE w:val="0"/>
      <w:autoSpaceDN w:val="0"/>
      <w:adjustRightInd w:val="0"/>
      <w:ind w:left="720" w:right="720"/>
      <w:jc w:val="left"/>
    </w:pPr>
    <w:rPr>
      <w:rFonts w:ascii="Times New Roman" w:eastAsia="Times New Roman" w:hAnsi="Times New Roman"/>
      <w:i/>
      <w:color w:val="000000"/>
      <w:sz w:val="20"/>
      <w:lang w:val="en"/>
    </w:rPr>
  </w:style>
  <w:style w:type="paragraph" w:customStyle="1" w:styleId="Annex">
    <w:name w:val="Annex"/>
    <w:basedOn w:val="Caption"/>
    <w:qFormat/>
    <w:pPr>
      <w:spacing w:before="100" w:after="100" w:line="240" w:lineRule="auto"/>
      <w:ind w:left="426" w:right="720"/>
    </w:pPr>
    <w:rPr>
      <w:b/>
      <w:caps/>
      <w:color w:val="auto"/>
      <w:sz w:val="20"/>
    </w:rPr>
  </w:style>
  <w:style w:type="paragraph" w:customStyle="1" w:styleId="Tableandfigureheadings">
    <w:name w:val="Table and figure headings"/>
    <w:basedOn w:val="TableofFigures"/>
    <w:qFormat/>
    <w:pPr>
      <w:keepNext/>
      <w:ind w:left="0" w:right="720" w:firstLine="0"/>
      <w:jc w:val="left"/>
    </w:pPr>
    <w:rPr>
      <w:rFonts w:eastAsia="Times New Roman"/>
      <w:i/>
      <w:caps w:val="0"/>
      <w:sz w:val="24"/>
    </w:rPr>
  </w:style>
  <w:style w:type="paragraph" w:customStyle="1" w:styleId="Bulletsnumbered">
    <w:name w:val="Bullets numbered"/>
    <w:basedOn w:val="Paraindent"/>
    <w:qFormat/>
    <w:pPr>
      <w:tabs>
        <w:tab w:val="num" w:pos="720"/>
      </w:tabs>
      <w:ind w:left="1560" w:hanging="720"/>
    </w:pPr>
  </w:style>
  <w:style w:type="paragraph" w:customStyle="1" w:styleId="Style">
    <w:name w:val="Style"/>
    <w:pPr>
      <w:widowControl w:val="0"/>
      <w:numPr>
        <w:numId w:val="29"/>
      </w:numPr>
      <w:tabs>
        <w:tab w:val="clear" w:pos="720"/>
      </w:tabs>
      <w:autoSpaceDE w:val="0"/>
      <w:autoSpaceDN w:val="0"/>
      <w:adjustRightInd w:val="0"/>
      <w:ind w:left="0" w:firstLine="0"/>
    </w:pPr>
    <w:rPr>
      <w:rFonts w:ascii="Arial" w:hAnsi="Arial"/>
      <w:sz w:val="24"/>
      <w:lang w:val="en-GB" w:eastAsia="ko-KR"/>
    </w:rPr>
  </w:style>
  <w:style w:type="paragraph" w:customStyle="1" w:styleId="Chapternumber">
    <w:name w:val="Chapter number"/>
    <w:basedOn w:val="Normal"/>
    <w:pPr>
      <w:widowControl w:val="0"/>
      <w:suppressAutoHyphens/>
      <w:autoSpaceDE w:val="0"/>
      <w:autoSpaceDN w:val="0"/>
      <w:adjustRightInd w:val="0"/>
      <w:spacing w:before="100" w:after="567" w:line="640" w:lineRule="atLeast"/>
      <w:ind w:right="720"/>
      <w:textAlignment w:val="center"/>
    </w:pPr>
    <w:rPr>
      <w:rFonts w:ascii="FrutigerLTStd-Light" w:hAnsi="FrutigerLTStd-Light"/>
      <w:i/>
      <w:sz w:val="60"/>
    </w:rPr>
  </w:style>
  <w:style w:type="paragraph" w:customStyle="1" w:styleId="Tabletext0">
    <w:name w:val="Table text"/>
    <w:basedOn w:val="Normal"/>
    <w:pPr>
      <w:widowControl w:val="0"/>
      <w:suppressAutoHyphens/>
      <w:autoSpaceDE w:val="0"/>
      <w:autoSpaceDN w:val="0"/>
      <w:adjustRightInd w:val="0"/>
      <w:spacing w:before="100" w:after="113" w:line="288" w:lineRule="auto"/>
      <w:ind w:right="720"/>
      <w:textAlignment w:val="center"/>
    </w:pPr>
    <w:rPr>
      <w:rFonts w:ascii="FrutigerLTStd-Light" w:hAnsi="FrutigerLTStd-Light"/>
      <w:i/>
      <w:sz w:val="24"/>
    </w:rPr>
  </w:style>
  <w:style w:type="paragraph" w:customStyle="1" w:styleId="Bodycopynoindent">
    <w:name w:val="Body copy (no indent)"/>
    <w:basedOn w:val="Normal"/>
    <w:pPr>
      <w:widowControl w:val="0"/>
      <w:suppressAutoHyphens/>
      <w:autoSpaceDE w:val="0"/>
      <w:autoSpaceDN w:val="0"/>
      <w:adjustRightInd w:val="0"/>
      <w:spacing w:before="100" w:after="280" w:line="320" w:lineRule="atLeast"/>
      <w:ind w:right="720"/>
      <w:textAlignment w:val="center"/>
    </w:pPr>
    <w:rPr>
      <w:rFonts w:ascii="FrutigerLTStd-Light" w:hAnsi="FrutigerLTStd-Light"/>
      <w:i/>
      <w:sz w:val="24"/>
    </w:rPr>
  </w:style>
  <w:style w:type="paragraph" w:customStyle="1" w:styleId="Bullettext">
    <w:name w:val="Bullet text"/>
    <w:basedOn w:val="Normal"/>
    <w:next w:val="Normal"/>
    <w:pPr>
      <w:widowControl w:val="0"/>
      <w:tabs>
        <w:tab w:val="num" w:pos="851"/>
      </w:tabs>
      <w:suppressAutoHyphens/>
      <w:autoSpaceDE w:val="0"/>
      <w:autoSpaceDN w:val="0"/>
      <w:adjustRightInd w:val="0"/>
      <w:spacing w:before="100" w:after="113" w:line="320" w:lineRule="atLeast"/>
      <w:ind w:left="851" w:right="720" w:hanging="284"/>
      <w:textAlignment w:val="center"/>
    </w:pPr>
    <w:rPr>
      <w:rFonts w:ascii="FrutigerLTStd-Light" w:hAnsi="FrutigerLTStd-Light"/>
      <w:i/>
      <w:sz w:val="24"/>
    </w:rPr>
  </w:style>
  <w:style w:type="paragraph" w:customStyle="1" w:styleId="Bullettextlastline">
    <w:name w:val="Bullet text last line"/>
    <w:basedOn w:val="Normal"/>
    <w:pPr>
      <w:widowControl w:val="0"/>
      <w:tabs>
        <w:tab w:val="num" w:pos="851"/>
      </w:tabs>
      <w:suppressAutoHyphens/>
      <w:autoSpaceDE w:val="0"/>
      <w:autoSpaceDN w:val="0"/>
      <w:adjustRightInd w:val="0"/>
      <w:spacing w:before="100" w:after="280" w:line="320" w:lineRule="atLeast"/>
      <w:ind w:left="851" w:right="720" w:hanging="284"/>
      <w:textAlignment w:val="center"/>
    </w:pPr>
    <w:rPr>
      <w:rFonts w:ascii="FrutigerLTStd-Light" w:hAnsi="FrutigerLTStd-Light"/>
      <w:i/>
      <w:sz w:val="24"/>
    </w:rPr>
  </w:style>
  <w:style w:type="paragraph" w:customStyle="1" w:styleId="Section2numbered">
    <w:name w:val="Section 2 numbered"/>
    <w:pPr>
      <w:tabs>
        <w:tab w:val="num" w:pos="1492"/>
      </w:tabs>
      <w:spacing w:after="227"/>
      <w:ind w:left="1492" w:hanging="360"/>
    </w:pPr>
    <w:rPr>
      <w:rFonts w:ascii="FrutigerLTStd-Light" w:hAnsi="FrutigerLTStd-Light"/>
      <w:color w:val="000000"/>
      <w:sz w:val="24"/>
      <w:lang w:val="en-GB" w:eastAsia="ko-KR"/>
    </w:rPr>
  </w:style>
  <w:style w:type="character" w:customStyle="1" w:styleId="Boldtext">
    <w:name w:val="Bold text"/>
    <w:rPr>
      <w:rFonts w:ascii="FrutigerLTStd-Bold" w:hAnsi="FrutigerLTStd-Bold" w:cs="Verdana"/>
      <w:b/>
      <w:bCs/>
    </w:rPr>
  </w:style>
  <w:style w:type="paragraph" w:customStyle="1" w:styleId="Section3numbered">
    <w:name w:val="Section 3 numbered"/>
    <w:pPr>
      <w:numPr>
        <w:numId w:val="30"/>
      </w:numPr>
      <w:tabs>
        <w:tab w:val="clear" w:pos="720"/>
        <w:tab w:val="num" w:pos="680"/>
      </w:tabs>
      <w:spacing w:after="227"/>
      <w:ind w:left="680" w:hanging="680"/>
    </w:pPr>
    <w:rPr>
      <w:rFonts w:ascii="FrutigerLTStd-Light" w:hAnsi="FrutigerLTStd-Light"/>
      <w:color w:val="000000"/>
      <w:sz w:val="24"/>
      <w:lang w:val="en-GB" w:eastAsia="ko-KR"/>
    </w:rPr>
  </w:style>
  <w:style w:type="paragraph" w:customStyle="1" w:styleId="Section6numbered">
    <w:name w:val="Section 6 numbered"/>
    <w:pPr>
      <w:tabs>
        <w:tab w:val="num" w:pos="0"/>
      </w:tabs>
      <w:spacing w:after="227"/>
      <w:ind w:left="578"/>
    </w:pPr>
    <w:rPr>
      <w:rFonts w:ascii="FrutigerLTStd-Light" w:hAnsi="FrutigerLTStd-Light"/>
      <w:color w:val="000000"/>
      <w:sz w:val="24"/>
      <w:lang w:val="en-GB" w:eastAsia="ko-KR"/>
    </w:rPr>
  </w:style>
  <w:style w:type="paragraph" w:customStyle="1" w:styleId="BasicParagraph">
    <w:name w:val="[Basic Paragraph]"/>
    <w:basedOn w:val="Normal"/>
    <w:pPr>
      <w:widowControl w:val="0"/>
      <w:numPr>
        <w:numId w:val="31"/>
      </w:numPr>
      <w:tabs>
        <w:tab w:val="clear" w:pos="720"/>
      </w:tabs>
      <w:autoSpaceDE w:val="0"/>
      <w:autoSpaceDN w:val="0"/>
      <w:adjustRightInd w:val="0"/>
      <w:spacing w:before="100" w:after="0" w:line="288" w:lineRule="auto"/>
      <w:ind w:left="0" w:right="720" w:firstLine="0"/>
      <w:textAlignment w:val="center"/>
    </w:pPr>
    <w:rPr>
      <w:rFonts w:ascii="Times-Roman" w:hAnsi="Times-Roman"/>
      <w:i/>
      <w:sz w:val="24"/>
      <w:lang w:val="en-US"/>
    </w:rPr>
  </w:style>
  <w:style w:type="character" w:customStyle="1" w:styleId="t1">
    <w:name w:val="t1"/>
    <w:basedOn w:val="DefaultParagraphFont"/>
  </w:style>
  <w:style w:type="paragraph" w:customStyle="1" w:styleId="Bulletstechnologytable">
    <w:name w:val="Bullets technology table"/>
    <w:basedOn w:val="BulletsinTable"/>
    <w:qFormat/>
    <w:pPr>
      <w:ind w:left="175" w:hanging="142"/>
    </w:pPr>
  </w:style>
  <w:style w:type="paragraph" w:customStyle="1" w:styleId="Recommendationsnumbered">
    <w:name w:val="Recommendations numbered"/>
    <w:basedOn w:val="Bulletsnumbered"/>
    <w:qFormat/>
    <w:pPr>
      <w:ind w:left="1134" w:hanging="425"/>
    </w:pPr>
  </w:style>
  <w:style w:type="paragraph" w:customStyle="1" w:styleId="wbtbullet1">
    <w:name w:val="wbtbullet1"/>
    <w:basedOn w:val="Normal"/>
    <w:pPr>
      <w:spacing w:before="100" w:after="0"/>
      <w:ind w:right="720"/>
      <w:jc w:val="both"/>
    </w:pPr>
    <w:rPr>
      <w:rFonts w:ascii="Verdana" w:hAnsi="Verdana"/>
      <w:i/>
      <w:color w:val="auto"/>
      <w:sz w:val="16"/>
    </w:rPr>
  </w:style>
  <w:style w:type="paragraph" w:customStyle="1" w:styleId="Box">
    <w:name w:val="Box"/>
    <w:basedOn w:val="BodyText"/>
    <w:qFormat/>
    <w:pPr>
      <w:numPr>
        <w:ilvl w:val="1"/>
        <w:numId w:val="7"/>
      </w:numPr>
      <w:pBdr>
        <w:top w:val="single" w:sz="4" w:space="1" w:color="auto"/>
        <w:left w:val="single" w:sz="4" w:space="4" w:color="auto"/>
        <w:bottom w:val="single" w:sz="4" w:space="1" w:color="auto"/>
        <w:right w:val="single" w:sz="4" w:space="4" w:color="auto"/>
      </w:pBdr>
      <w:spacing w:before="100" w:after="0" w:line="240" w:lineRule="auto"/>
      <w:ind w:right="720"/>
    </w:pPr>
    <w:rPr>
      <w:rFonts w:ascii="Calibri" w:hAnsi="Calibri"/>
      <w:i/>
      <w:color w:val="auto"/>
      <w:spacing w:val="-2"/>
      <w:sz w:val="18"/>
      <w:lang w:val="en-US"/>
    </w:rPr>
  </w:style>
  <w:style w:type="character" w:customStyle="1" w:styleId="content1">
    <w:name w:val="content1"/>
    <w:rPr>
      <w:rFonts w:ascii="Trebuchet MS" w:hAnsi="Trebuchet MS" w:hint="default"/>
      <w:color w:val="292929"/>
      <w:sz w:val="18"/>
      <w:szCs w:val="18"/>
    </w:rPr>
  </w:style>
  <w:style w:type="character" w:customStyle="1" w:styleId="smbody1">
    <w:name w:val="smbody1"/>
    <w:rPr>
      <w:rFonts w:ascii="Verdana" w:hAnsi="Verdana" w:hint="default"/>
      <w:color w:val="333333"/>
      <w:sz w:val="15"/>
      <w:szCs w:val="15"/>
    </w:rPr>
  </w:style>
  <w:style w:type="paragraph" w:customStyle="1" w:styleId="Text0">
    <w:name w:val="Text"/>
    <w:basedOn w:val="Normal"/>
    <w:pPr>
      <w:spacing w:before="100" w:after="0"/>
      <w:ind w:right="720"/>
      <w:jc w:val="both"/>
    </w:pPr>
    <w:rPr>
      <w:rFonts w:ascii="Arial" w:hAnsi="Arial"/>
      <w:i/>
      <w:color w:val="auto"/>
      <w:sz w:val="18"/>
      <w:lang w:val="en-US"/>
    </w:rPr>
  </w:style>
  <w:style w:type="paragraph" w:customStyle="1" w:styleId="SimonUberschrift">
    <w:name w:val="Simon Uberschrift"/>
    <w:basedOn w:val="Heading3"/>
    <w:next w:val="Heading1"/>
    <w:pPr>
      <w:keepLines w:val="0"/>
      <w:numPr>
        <w:ilvl w:val="2"/>
        <w:numId w:val="1"/>
      </w:numPr>
      <w:tabs>
        <w:tab w:val="num" w:pos="1800"/>
      </w:tabs>
      <w:spacing w:before="240" w:after="60"/>
      <w:ind w:left="1440" w:firstLine="0"/>
    </w:pPr>
    <w:rPr>
      <w:b/>
      <w:i w:val="0"/>
      <w:snapToGrid/>
    </w:rPr>
  </w:style>
  <w:style w:type="character" w:customStyle="1" w:styleId="TitleChar">
    <w:name w:val="Title Char"/>
    <w:uiPriority w:val="10"/>
    <w:rPr>
      <w:rFonts w:ascii="Arial" w:eastAsia="Times New Roman" w:hAnsi="Arial" w:cs="Arial"/>
      <w:b/>
      <w:bCs/>
      <w:kern w:val="28"/>
      <w:sz w:val="28"/>
      <w:szCs w:val="32"/>
      <w:lang w:eastAsia="en-US"/>
    </w:rPr>
  </w:style>
  <w:style w:type="paragraph" w:customStyle="1" w:styleId="xl22">
    <w:name w:val="xl22"/>
    <w:basedOn w:val="Normal"/>
    <w:pPr>
      <w:pBdr>
        <w:top w:val="single" w:sz="4" w:space="0" w:color="auto"/>
        <w:left w:val="single" w:sz="4" w:space="0" w:color="auto"/>
        <w:bottom w:val="single" w:sz="4" w:space="0" w:color="auto"/>
        <w:right w:val="single" w:sz="4" w:space="0" w:color="auto"/>
      </w:pBdr>
      <w:spacing w:before="100" w:after="100"/>
      <w:ind w:right="720"/>
      <w:jc w:val="both"/>
      <w:textAlignment w:val="top"/>
    </w:pPr>
    <w:rPr>
      <w:rFonts w:ascii="Arial" w:eastAsia="Arial Unicode MS" w:hAnsi="Arial"/>
      <w:i/>
      <w:color w:val="auto"/>
      <w:sz w:val="18"/>
      <w:lang w:val="en-US"/>
    </w:rPr>
  </w:style>
  <w:style w:type="paragraph" w:customStyle="1" w:styleId="xl23">
    <w:name w:val="xl23"/>
    <w:basedOn w:val="Normal"/>
    <w:pPr>
      <w:pBdr>
        <w:top w:val="single" w:sz="4" w:space="0" w:color="auto"/>
        <w:left w:val="single" w:sz="4" w:space="0" w:color="auto"/>
        <w:bottom w:val="single" w:sz="4" w:space="0" w:color="auto"/>
        <w:right w:val="single" w:sz="4" w:space="0" w:color="auto"/>
      </w:pBdr>
      <w:spacing w:before="100" w:after="100"/>
      <w:ind w:right="720"/>
      <w:jc w:val="both"/>
      <w:textAlignment w:val="top"/>
    </w:pPr>
    <w:rPr>
      <w:rFonts w:ascii="Arial" w:eastAsia="Arial Unicode MS" w:hAnsi="Arial"/>
      <w:i/>
      <w:color w:val="auto"/>
      <w:sz w:val="18"/>
      <w:lang w:val="en-US"/>
    </w:rPr>
  </w:style>
  <w:style w:type="character" w:customStyle="1" w:styleId="BodyText3Char">
    <w:name w:val="Body Text 3 Char"/>
    <w:rPr>
      <w:rFonts w:ascii="Arial" w:eastAsia="Times New Roman" w:hAnsi="Arial" w:cs="Times New Roman"/>
      <w:sz w:val="16"/>
      <w:szCs w:val="16"/>
      <w:lang w:eastAsia="en-US"/>
    </w:rPr>
  </w:style>
  <w:style w:type="paragraph" w:customStyle="1" w:styleId="TablesinAnnexlandscape">
    <w:name w:val="Tables in Annex landscape"/>
    <w:basedOn w:val="Table"/>
    <w:qFormat/>
    <w:pPr>
      <w:keepLines w:val="0"/>
      <w:spacing w:before="120" w:after="120"/>
      <w:ind w:left="709" w:right="720"/>
    </w:pPr>
    <w:rPr>
      <w:b/>
      <w:i/>
      <w:snapToGrid/>
    </w:rPr>
  </w:style>
  <w:style w:type="paragraph" w:customStyle="1" w:styleId="Tablefootnote">
    <w:name w:val="Table footnote"/>
    <w:basedOn w:val="Normal"/>
    <w:qFormat/>
    <w:pPr>
      <w:tabs>
        <w:tab w:val="left" w:pos="3000"/>
      </w:tabs>
      <w:spacing w:before="100" w:after="0"/>
      <w:ind w:left="709" w:right="720"/>
    </w:pPr>
    <w:rPr>
      <w:i/>
      <w:color w:val="auto"/>
      <w:sz w:val="18"/>
    </w:rPr>
  </w:style>
  <w:style w:type="paragraph" w:customStyle="1" w:styleId="TableinfrontwithmeandKJ">
    <w:name w:val="Table in front with me and KJ"/>
    <w:basedOn w:val="Normal"/>
    <w:qFormat/>
    <w:pPr>
      <w:spacing w:before="60" w:after="60"/>
      <w:ind w:right="720"/>
    </w:pPr>
    <w:rPr>
      <w:i/>
      <w:color w:val="auto"/>
      <w:sz w:val="18"/>
    </w:rPr>
  </w:style>
  <w:style w:type="paragraph" w:customStyle="1" w:styleId="ParaindentItalicsubheader">
    <w:name w:val="Para indent Italic subheader"/>
    <w:basedOn w:val="Paraindent"/>
    <w:qFormat/>
    <w:rPr>
      <w:i w:val="0"/>
    </w:rPr>
  </w:style>
  <w:style w:type="paragraph" w:customStyle="1" w:styleId="Paratextintable">
    <w:name w:val="Para text in table"/>
    <w:basedOn w:val="Normal"/>
    <w:qFormat/>
    <w:pPr>
      <w:spacing w:before="120" w:after="120"/>
      <w:ind w:right="720"/>
    </w:pPr>
    <w:rPr>
      <w:color w:val="auto"/>
      <w:sz w:val="18"/>
      <w:lang w:val="en-US"/>
    </w:rPr>
  </w:style>
  <w:style w:type="paragraph" w:customStyle="1" w:styleId="Bulletsnumberedintable">
    <w:name w:val="Bullets numbered in table"/>
    <w:basedOn w:val="ListParagraph1"/>
    <w:qFormat/>
    <w:pPr>
      <w:numPr>
        <w:numId w:val="10"/>
      </w:numPr>
      <w:spacing w:before="100" w:after="0"/>
      <w:ind w:right="720"/>
      <w:jc w:val="left"/>
    </w:pPr>
    <w:rPr>
      <w:rFonts w:ascii="Times New Roman" w:eastAsia="Times New Roman" w:hAnsi="Times New Roman"/>
      <w:i/>
      <w:sz w:val="18"/>
      <w:lang w:val="en-US"/>
    </w:rPr>
  </w:style>
  <w:style w:type="paragraph" w:customStyle="1" w:styleId="Paranumbered">
    <w:name w:val="Para numbered"/>
    <w:basedOn w:val="ListParagraph1"/>
    <w:qFormat/>
    <w:pPr>
      <w:numPr>
        <w:numId w:val="11"/>
      </w:numPr>
      <w:spacing w:before="120" w:after="120"/>
      <w:ind w:left="709" w:right="720" w:hanging="709"/>
      <w:jc w:val="left"/>
    </w:pPr>
    <w:rPr>
      <w:rFonts w:ascii="Times New Roman" w:eastAsia="Times New Roman" w:hAnsi="Times New Roman"/>
      <w:i/>
      <w:sz w:val="18"/>
      <w:lang w:val="en-US"/>
    </w:rPr>
  </w:style>
  <w:style w:type="paragraph" w:customStyle="1" w:styleId="Bulletsubindent">
    <w:name w:val="Bullet sub indent"/>
    <w:basedOn w:val="ListParagraph1"/>
    <w:qFormat/>
    <w:pPr>
      <w:numPr>
        <w:numId w:val="0"/>
      </w:numPr>
      <w:autoSpaceDE w:val="0"/>
      <w:autoSpaceDN w:val="0"/>
      <w:adjustRightInd w:val="0"/>
      <w:ind w:left="1985" w:right="720" w:hanging="360"/>
      <w:jc w:val="left"/>
    </w:pPr>
    <w:rPr>
      <w:rFonts w:ascii="Times New Roman" w:eastAsia="Times New Roman" w:hAnsi="Times New Roman"/>
      <w:i/>
      <w:color w:val="000000"/>
      <w:lang w:val="en"/>
    </w:rPr>
  </w:style>
  <w:style w:type="paragraph" w:customStyle="1" w:styleId="TableandFigureVol1">
    <w:name w:val="Table and Figure Vol 1"/>
    <w:basedOn w:val="Caption"/>
    <w:qFormat/>
    <w:pPr>
      <w:keepNext/>
      <w:spacing w:before="100" w:after="120" w:line="240" w:lineRule="auto"/>
      <w:ind w:left="709" w:right="720"/>
      <w:jc w:val="both"/>
    </w:pPr>
    <w:rPr>
      <w:rFonts w:ascii="Calibri" w:hAnsi="Calibri"/>
      <w:b/>
      <w:color w:val="auto"/>
      <w:sz w:val="20"/>
    </w:rPr>
  </w:style>
  <w:style w:type="paragraph" w:customStyle="1" w:styleId="GEFChar">
    <w:name w:val="GEF Char"/>
    <w:basedOn w:val="Normal"/>
    <w:pPr>
      <w:numPr>
        <w:numId w:val="33"/>
      </w:numPr>
      <w:spacing w:before="180" w:after="0" w:line="250" w:lineRule="exact"/>
      <w:ind w:left="0" w:right="720" w:firstLine="0"/>
      <w:jc w:val="both"/>
    </w:pPr>
    <w:rPr>
      <w:i/>
      <w:color w:val="auto"/>
      <w:sz w:val="20"/>
    </w:rPr>
  </w:style>
  <w:style w:type="character" w:customStyle="1" w:styleId="ft">
    <w:name w:val="ft"/>
  </w:style>
  <w:style w:type="character" w:customStyle="1" w:styleId="googqs-tidbit-0">
    <w:name w:val="goog_qs-tidbit-0"/>
    <w:basedOn w:val="DefaultParagraphFont"/>
  </w:style>
  <w:style w:type="character" w:customStyle="1" w:styleId="style81">
    <w:name w:val="style81"/>
    <w:rPr>
      <w:rFonts w:ascii="Verdana" w:hAnsi="Verdana" w:hint="default"/>
      <w:color w:val="008000"/>
      <w:sz w:val="27"/>
      <w:szCs w:val="27"/>
    </w:rPr>
  </w:style>
  <w:style w:type="character" w:customStyle="1" w:styleId="A6">
    <w:name w:val="A6"/>
    <w:rPr>
      <w:rFonts w:cs="Georgia"/>
      <w:color w:val="000000"/>
      <w:sz w:val="20"/>
      <w:szCs w:val="20"/>
    </w:rPr>
  </w:style>
  <w:style w:type="character" w:customStyle="1" w:styleId="googqs-tidbit1">
    <w:name w:val="goog_qs-tidbit1"/>
    <w:rPr>
      <w:vanish w:val="0"/>
      <w:webHidden w:val="0"/>
      <w:specVanish w:val="0"/>
    </w:rPr>
  </w:style>
  <w:style w:type="paragraph" w:customStyle="1" w:styleId="bodytext0">
    <w:name w:val="bodytext"/>
    <w:basedOn w:val="Normal"/>
    <w:pPr>
      <w:spacing w:before="100" w:after="100"/>
      <w:ind w:right="720"/>
    </w:pPr>
    <w:rPr>
      <w:i/>
      <w:color w:val="auto"/>
      <w:sz w:val="24"/>
    </w:rPr>
  </w:style>
  <w:style w:type="paragraph" w:customStyle="1" w:styleId="MeetingInfo">
    <w:name w:val="MeetingInfo"/>
    <w:basedOn w:val="Normal"/>
    <w:pPr>
      <w:pBdr>
        <w:top w:val="single" w:sz="12" w:space="6" w:color="auto"/>
        <w:left w:val="single" w:sz="12" w:space="6" w:color="auto"/>
        <w:bottom w:val="single" w:sz="12" w:space="6" w:color="auto"/>
        <w:right w:val="single" w:sz="12" w:space="6" w:color="auto"/>
      </w:pBdr>
      <w:spacing w:before="120" w:after="120"/>
      <w:ind w:right="720"/>
      <w:jc w:val="center"/>
    </w:pPr>
    <w:rPr>
      <w:b/>
      <w:i/>
      <w:noProof/>
      <w:color w:val="auto"/>
      <w:sz w:val="28"/>
    </w:rPr>
  </w:style>
  <w:style w:type="paragraph" w:customStyle="1" w:styleId="BlankLine">
    <w:name w:val="BlankLine"/>
    <w:basedOn w:val="Normal"/>
    <w:next w:val="Normal"/>
    <w:pPr>
      <w:numPr>
        <w:numId w:val="13"/>
      </w:numPr>
      <w:spacing w:before="100" w:after="0"/>
      <w:ind w:right="720"/>
    </w:pPr>
    <w:rPr>
      <w:i/>
      <w:noProof/>
      <w:color w:val="auto"/>
      <w:sz w:val="18"/>
    </w:rPr>
  </w:style>
  <w:style w:type="character" w:customStyle="1" w:styleId="Bold">
    <w:name w:val="Bold"/>
    <w:rPr>
      <w:b/>
    </w:rPr>
  </w:style>
  <w:style w:type="character" w:customStyle="1" w:styleId="BoldItalic">
    <w:name w:val="Bold Italic"/>
    <w:rPr>
      <w:b/>
      <w:i/>
    </w:rPr>
  </w:style>
  <w:style w:type="character" w:customStyle="1" w:styleId="BoldItalicUnderline">
    <w:name w:val="Bold Italic Underline"/>
    <w:rPr>
      <w:b/>
      <w:i/>
      <w:u w:val="single"/>
    </w:rPr>
  </w:style>
  <w:style w:type="character" w:customStyle="1" w:styleId="BoldUnderline">
    <w:name w:val="Bold Underline"/>
    <w:rPr>
      <w:b/>
      <w:u w:val="single"/>
    </w:rPr>
  </w:style>
  <w:style w:type="paragraph" w:customStyle="1" w:styleId="BoxText">
    <w:name w:val="Box Text"/>
    <w:basedOn w:val="BoxNewPara"/>
    <w:pPr>
      <w:tabs>
        <w:tab w:val="clear" w:pos="425"/>
        <w:tab w:val="left" w:pos="426"/>
      </w:tabs>
    </w:pPr>
  </w:style>
  <w:style w:type="paragraph" w:customStyle="1" w:styleId="BoxNewPara">
    <w:name w:val="Box NewPara"/>
    <w:basedOn w:val="Normal"/>
    <w:next w:val="Normal"/>
    <w:pPr>
      <w:pBdr>
        <w:left w:val="single" w:sz="6" w:space="1" w:color="auto"/>
        <w:right w:val="single" w:sz="6" w:space="1" w:color="auto"/>
      </w:pBdr>
      <w:shd w:val="pct10" w:color="auto" w:fill="auto"/>
      <w:tabs>
        <w:tab w:val="left" w:pos="425"/>
        <w:tab w:val="num" w:pos="720"/>
      </w:tabs>
      <w:spacing w:before="100" w:after="0"/>
      <w:ind w:left="720" w:right="720" w:hanging="360"/>
      <w:jc w:val="both"/>
    </w:pPr>
    <w:rPr>
      <w:i/>
      <w:noProof/>
      <w:color w:val="auto"/>
      <w:sz w:val="20"/>
    </w:rPr>
  </w:style>
  <w:style w:type="paragraph" w:customStyle="1" w:styleId="FigureCaption">
    <w:name w:val="Figure Caption"/>
    <w:basedOn w:val="Normal"/>
    <w:pPr>
      <w:spacing w:before="120" w:after="0"/>
      <w:ind w:right="720"/>
    </w:pPr>
    <w:rPr>
      <w:noProof/>
      <w:color w:val="auto"/>
      <w:sz w:val="18"/>
    </w:rPr>
  </w:style>
  <w:style w:type="paragraph" w:customStyle="1" w:styleId="BoxNote">
    <w:name w:val="Box Note"/>
    <w:basedOn w:val="Normal"/>
    <w:next w:val="Normal"/>
    <w:pPr>
      <w:pBdr>
        <w:left w:val="single" w:sz="6" w:space="1" w:color="auto"/>
        <w:right w:val="single" w:sz="6" w:space="1" w:color="auto"/>
      </w:pBdr>
      <w:shd w:val="pct10" w:color="auto" w:fill="auto"/>
      <w:suppressAutoHyphens/>
      <w:spacing w:before="100" w:after="0"/>
      <w:ind w:right="720"/>
      <w:jc w:val="both"/>
    </w:pPr>
    <w:rPr>
      <w:noProof/>
      <w:color w:val="auto"/>
      <w:sz w:val="20"/>
    </w:rPr>
  </w:style>
  <w:style w:type="paragraph" w:customStyle="1" w:styleId="NewPara">
    <w:name w:val="NewPara"/>
    <w:basedOn w:val="Normal"/>
    <w:next w:val="Normal"/>
    <w:pPr>
      <w:numPr>
        <w:numId w:val="35"/>
      </w:numPr>
      <w:tabs>
        <w:tab w:val="clear" w:pos="720"/>
        <w:tab w:val="left" w:pos="709"/>
      </w:tabs>
      <w:spacing w:before="160" w:after="20"/>
      <w:ind w:left="0" w:right="720" w:firstLine="0"/>
    </w:pPr>
    <w:rPr>
      <w:i/>
      <w:noProof/>
      <w:color w:val="auto"/>
      <w:sz w:val="18"/>
    </w:rPr>
  </w:style>
  <w:style w:type="paragraph" w:customStyle="1" w:styleId="BoxParaTitle">
    <w:name w:val="Box ParaTitle"/>
    <w:basedOn w:val="BoxNote"/>
    <w:rPr>
      <w:b/>
      <w:i/>
    </w:rPr>
  </w:style>
  <w:style w:type="paragraph" w:customStyle="1" w:styleId="BoxRandList1">
    <w:name w:val="Box RandList 1"/>
    <w:basedOn w:val="Normal"/>
    <w:pPr>
      <w:numPr>
        <w:numId w:val="15"/>
      </w:numPr>
      <w:pBdr>
        <w:left w:val="single" w:sz="6" w:space="10" w:color="auto"/>
        <w:right w:val="single" w:sz="6" w:space="10" w:color="auto"/>
      </w:pBdr>
      <w:shd w:val="pct10" w:color="auto" w:fill="auto"/>
      <w:tabs>
        <w:tab w:val="left" w:pos="437"/>
      </w:tabs>
      <w:spacing w:before="100" w:after="0" w:line="360" w:lineRule="auto"/>
      <w:ind w:left="437" w:right="181" w:hanging="256"/>
      <w:jc w:val="both"/>
    </w:pPr>
    <w:rPr>
      <w:i/>
      <w:noProof/>
      <w:color w:val="auto"/>
      <w:sz w:val="20"/>
    </w:rPr>
  </w:style>
  <w:style w:type="paragraph" w:customStyle="1" w:styleId="RandListLev1">
    <w:name w:val="Rand List Lev1"/>
    <w:basedOn w:val="Normal"/>
    <w:pPr>
      <w:numPr>
        <w:numId w:val="12"/>
      </w:numPr>
      <w:tabs>
        <w:tab w:val="left" w:pos="754"/>
      </w:tabs>
      <w:spacing w:before="100" w:after="0"/>
      <w:ind w:left="754" w:right="720" w:hanging="357"/>
    </w:pPr>
    <w:rPr>
      <w:i/>
      <w:noProof/>
      <w:color w:val="auto"/>
      <w:sz w:val="18"/>
    </w:rPr>
  </w:style>
  <w:style w:type="paragraph" w:customStyle="1" w:styleId="BoxRandList2">
    <w:name w:val="Box RandList 2"/>
    <w:basedOn w:val="BoxRandList1"/>
    <w:pPr>
      <w:pBdr>
        <w:left w:val="single" w:sz="6" w:space="20" w:color="auto"/>
        <w:right w:val="single" w:sz="6" w:space="20" w:color="auto"/>
      </w:pBdr>
      <w:tabs>
        <w:tab w:val="left" w:pos="635"/>
      </w:tabs>
      <w:ind w:left="635" w:right="380" w:hanging="255"/>
    </w:pPr>
  </w:style>
  <w:style w:type="paragraph" w:customStyle="1" w:styleId="BoxRandList3">
    <w:name w:val="Box RandList 3"/>
    <w:basedOn w:val="BoxRandList2"/>
    <w:pPr>
      <w:pBdr>
        <w:left w:val="single" w:sz="6" w:space="29" w:color="auto"/>
        <w:right w:val="single" w:sz="6" w:space="30" w:color="auto"/>
      </w:pBdr>
      <w:tabs>
        <w:tab w:val="left" w:pos="816"/>
      </w:tabs>
      <w:ind w:left="816" w:right="584"/>
    </w:pPr>
  </w:style>
  <w:style w:type="paragraph" w:customStyle="1" w:styleId="BoxSeqList1">
    <w:name w:val="Box SeqList 1"/>
    <w:basedOn w:val="Normal"/>
    <w:pPr>
      <w:numPr>
        <w:numId w:val="36"/>
      </w:numPr>
      <w:pBdr>
        <w:left w:val="single" w:sz="6" w:space="8" w:color="auto"/>
        <w:right w:val="single" w:sz="6" w:space="10" w:color="auto"/>
      </w:pBdr>
      <w:shd w:val="pct10" w:color="auto" w:fill="auto"/>
      <w:tabs>
        <w:tab w:val="num" w:pos="567"/>
      </w:tabs>
      <w:spacing w:before="100" w:after="0" w:line="360" w:lineRule="auto"/>
      <w:ind w:left="567" w:right="181" w:hanging="425"/>
      <w:jc w:val="both"/>
    </w:pPr>
    <w:rPr>
      <w:i/>
      <w:noProof/>
      <w:color w:val="auto"/>
      <w:sz w:val="20"/>
    </w:rPr>
  </w:style>
  <w:style w:type="paragraph" w:customStyle="1" w:styleId="BoxSeqList3">
    <w:name w:val="Box SeqList 3"/>
    <w:basedOn w:val="BoxSeqList2"/>
    <w:pPr>
      <w:numPr>
        <w:ilvl w:val="0"/>
        <w:numId w:val="34"/>
      </w:numPr>
      <w:pBdr>
        <w:left w:val="single" w:sz="6" w:space="30" w:color="auto"/>
        <w:right w:val="single" w:sz="6" w:space="30" w:color="auto"/>
      </w:pBdr>
      <w:tabs>
        <w:tab w:val="clear" w:pos="720"/>
        <w:tab w:val="num" w:pos="1009"/>
      </w:tabs>
      <w:ind w:left="1009" w:right="584" w:hanging="425"/>
    </w:pPr>
  </w:style>
  <w:style w:type="paragraph" w:customStyle="1" w:styleId="BoxSeqList2">
    <w:name w:val="Box SeqList 2"/>
    <w:basedOn w:val="BoxSeqList1"/>
    <w:pPr>
      <w:numPr>
        <w:ilvl w:val="2"/>
        <w:numId w:val="14"/>
      </w:numPr>
      <w:pBdr>
        <w:left w:val="single" w:sz="6" w:space="20" w:color="auto"/>
      </w:pBdr>
      <w:tabs>
        <w:tab w:val="clear" w:pos="2160"/>
      </w:tabs>
      <w:ind w:hanging="360"/>
    </w:pPr>
  </w:style>
  <w:style w:type="paragraph" w:customStyle="1" w:styleId="TableTitle">
    <w:name w:val="Table Title"/>
    <w:basedOn w:val="Normal"/>
    <w:pPr>
      <w:keepNext/>
      <w:spacing w:before="120" w:after="0"/>
      <w:ind w:right="720"/>
    </w:pPr>
    <w:rPr>
      <w:b/>
      <w:i/>
      <w:noProof/>
      <w:color w:val="auto"/>
      <w:sz w:val="18"/>
    </w:rPr>
  </w:style>
  <w:style w:type="paragraph" w:customStyle="1" w:styleId="TableEntry">
    <w:name w:val="TableEntry"/>
    <w:basedOn w:val="Normal"/>
    <w:pPr>
      <w:numPr>
        <w:ilvl w:val="1"/>
        <w:numId w:val="35"/>
      </w:numPr>
      <w:spacing w:before="80" w:after="0"/>
      <w:ind w:left="0" w:right="720" w:firstLine="0"/>
    </w:pPr>
    <w:rPr>
      <w:i/>
      <w:noProof/>
      <w:color w:val="auto"/>
      <w:sz w:val="18"/>
    </w:rPr>
  </w:style>
  <w:style w:type="paragraph" w:customStyle="1" w:styleId="BoxTitle">
    <w:name w:val="Box Title"/>
    <w:basedOn w:val="Normal"/>
    <w:next w:val="BoxText"/>
    <w:pPr>
      <w:numPr>
        <w:ilvl w:val="3"/>
        <w:numId w:val="35"/>
      </w:numPr>
      <w:pBdr>
        <w:top w:val="single" w:sz="6" w:space="7" w:color="auto"/>
        <w:left w:val="single" w:sz="6" w:space="7" w:color="auto"/>
        <w:right w:val="single" w:sz="6" w:space="7" w:color="auto"/>
      </w:pBdr>
      <w:shd w:val="pct10" w:color="auto" w:fill="auto"/>
      <w:spacing w:before="120" w:after="0" w:line="360" w:lineRule="auto"/>
      <w:ind w:left="119" w:right="119" w:firstLine="0"/>
      <w:jc w:val="center"/>
    </w:pPr>
    <w:rPr>
      <w:b/>
      <w:noProof/>
      <w:color w:val="auto"/>
      <w:sz w:val="20"/>
    </w:rPr>
  </w:style>
  <w:style w:type="character" w:customStyle="1" w:styleId="Chart">
    <w:name w:val="Chart"/>
    <w:basedOn w:val="DefaultParagraphFont"/>
  </w:style>
  <w:style w:type="paragraph" w:customStyle="1" w:styleId="RandListLev2">
    <w:name w:val="Rand List Lev2"/>
    <w:basedOn w:val="RandListLev1"/>
    <w:pPr>
      <w:tabs>
        <w:tab w:val="clear" w:pos="754"/>
        <w:tab w:val="left" w:pos="1134"/>
      </w:tabs>
      <w:ind w:left="1134"/>
    </w:pPr>
  </w:style>
  <w:style w:type="paragraph" w:customStyle="1" w:styleId="RandListLev3">
    <w:name w:val="Rand List Lev3"/>
    <w:basedOn w:val="RandListLev2"/>
    <w:pPr>
      <w:tabs>
        <w:tab w:val="clear" w:pos="1134"/>
        <w:tab w:val="left" w:pos="1559"/>
      </w:tabs>
      <w:ind w:left="1559"/>
    </w:pPr>
  </w:style>
  <w:style w:type="paragraph" w:customStyle="1" w:styleId="RandListLev4">
    <w:name w:val="Rand List Lev4"/>
    <w:basedOn w:val="RandListLev3"/>
    <w:pPr>
      <w:tabs>
        <w:tab w:val="clear" w:pos="1559"/>
        <w:tab w:val="left" w:pos="1984"/>
      </w:tabs>
      <w:ind w:left="1984"/>
    </w:pPr>
  </w:style>
  <w:style w:type="paragraph" w:customStyle="1" w:styleId="DefListHeader">
    <w:name w:val="Def List Header"/>
    <w:basedOn w:val="Normal"/>
    <w:next w:val="Normal"/>
    <w:pPr>
      <w:keepNext/>
      <w:tabs>
        <w:tab w:val="left" w:pos="2835"/>
      </w:tabs>
      <w:spacing w:before="120" w:after="0"/>
      <w:ind w:right="720"/>
    </w:pPr>
    <w:rPr>
      <w:b/>
      <w:i/>
      <w:caps/>
      <w:noProof/>
      <w:color w:val="auto"/>
      <w:sz w:val="28"/>
    </w:rPr>
  </w:style>
  <w:style w:type="paragraph" w:customStyle="1" w:styleId="DefinitionList">
    <w:name w:val="Definition List"/>
    <w:basedOn w:val="Normal"/>
    <w:next w:val="Normal"/>
    <w:pPr>
      <w:tabs>
        <w:tab w:val="left" w:pos="2835"/>
      </w:tabs>
      <w:spacing w:before="120" w:after="0"/>
      <w:ind w:left="2835" w:right="720" w:hanging="2835"/>
    </w:pPr>
    <w:rPr>
      <w:i/>
      <w:noProof/>
      <w:color w:val="auto"/>
      <w:sz w:val="18"/>
    </w:rPr>
  </w:style>
  <w:style w:type="paragraph" w:customStyle="1" w:styleId="DocTitle">
    <w:name w:val="DocTitle"/>
    <w:basedOn w:val="Normal"/>
    <w:next w:val="MeetingInfo"/>
    <w:pPr>
      <w:spacing w:before="120" w:after="480"/>
      <w:ind w:right="720"/>
      <w:jc w:val="center"/>
    </w:pPr>
    <w:rPr>
      <w:i/>
      <w:smallCaps/>
      <w:noProof/>
      <w:color w:val="808080"/>
      <w:sz w:val="56"/>
    </w:rPr>
  </w:style>
  <w:style w:type="paragraph" w:customStyle="1" w:styleId="EndBox">
    <w:name w:val="EndBox"/>
    <w:basedOn w:val="Normal"/>
    <w:next w:val="Normal"/>
    <w:pPr>
      <w:pBdr>
        <w:left w:val="single" w:sz="6" w:space="1" w:color="auto"/>
        <w:bottom w:val="single" w:sz="6" w:space="1" w:color="auto"/>
        <w:right w:val="single" w:sz="6" w:space="1" w:color="auto"/>
      </w:pBdr>
      <w:shd w:val="pct10" w:color="auto" w:fill="auto"/>
      <w:spacing w:before="100" w:after="0"/>
      <w:ind w:right="720"/>
    </w:pPr>
    <w:rPr>
      <w:i/>
      <w:noProof/>
      <w:color w:val="auto"/>
      <w:sz w:val="18"/>
    </w:rPr>
  </w:style>
  <w:style w:type="paragraph" w:customStyle="1" w:styleId="FigInfo-P">
    <w:name w:val="FigInfo-P"/>
    <w:basedOn w:val="Normal"/>
    <w:pPr>
      <w:spacing w:before="120" w:after="0"/>
      <w:ind w:right="720"/>
    </w:pPr>
    <w:rPr>
      <w:i/>
      <w:noProof/>
      <w:color w:val="auto"/>
      <w:sz w:val="18"/>
    </w:rPr>
  </w:style>
  <w:style w:type="paragraph" w:customStyle="1" w:styleId="FigureTitle">
    <w:name w:val="Figure Title"/>
    <w:basedOn w:val="Normal"/>
    <w:pPr>
      <w:keepNext/>
      <w:spacing w:before="120" w:after="0"/>
      <w:ind w:right="720"/>
    </w:pPr>
    <w:rPr>
      <w:b/>
      <w:noProof/>
      <w:color w:val="auto"/>
      <w:sz w:val="18"/>
    </w:rPr>
  </w:style>
  <w:style w:type="character" w:customStyle="1" w:styleId="Graph">
    <w:name w:val="Graph"/>
    <w:basedOn w:val="DefaultParagraphFont"/>
  </w:style>
  <w:style w:type="character" w:customStyle="1" w:styleId="Image">
    <w:name w:val="Image"/>
    <w:basedOn w:val="DefaultParagraphFont"/>
  </w:style>
  <w:style w:type="character" w:customStyle="1" w:styleId="ItalicUnderline">
    <w:name w:val="Italic Underline"/>
    <w:rPr>
      <w:i/>
      <w:u w:val="single"/>
    </w:rPr>
  </w:style>
  <w:style w:type="paragraph" w:customStyle="1" w:styleId="ListHeader">
    <w:name w:val="List Header"/>
    <w:basedOn w:val="Normal"/>
    <w:pPr>
      <w:keepNext/>
      <w:spacing w:before="120" w:after="0"/>
      <w:ind w:right="720"/>
    </w:pPr>
    <w:rPr>
      <w:i/>
      <w:noProof/>
      <w:color w:val="auto"/>
      <w:sz w:val="18"/>
    </w:rPr>
  </w:style>
  <w:style w:type="paragraph" w:customStyle="1" w:styleId="MeetInfo">
    <w:name w:val="MeetInfo"/>
    <w:basedOn w:val="Normal"/>
    <w:next w:val="Normal"/>
    <w:pPr>
      <w:tabs>
        <w:tab w:val="left" w:pos="426"/>
      </w:tabs>
      <w:spacing w:before="60" w:after="0"/>
      <w:ind w:right="720"/>
    </w:pPr>
    <w:rPr>
      <w:i/>
      <w:noProof/>
      <w:color w:val="auto"/>
      <w:sz w:val="18"/>
    </w:rPr>
  </w:style>
  <w:style w:type="paragraph" w:customStyle="1" w:styleId="SpacePara">
    <w:name w:val="SpacePara"/>
    <w:basedOn w:val="Normal"/>
    <w:next w:val="DocTitle"/>
    <w:pPr>
      <w:spacing w:before="100" w:after="0" w:line="480" w:lineRule="auto"/>
      <w:ind w:right="720"/>
    </w:pPr>
    <w:rPr>
      <w:i/>
      <w:noProof/>
      <w:color w:val="auto"/>
      <w:sz w:val="18"/>
    </w:rPr>
  </w:style>
  <w:style w:type="character" w:customStyle="1" w:styleId="NroPara">
    <w:name w:val="NroPara"/>
    <w:basedOn w:val="DefaultParagraphFont"/>
  </w:style>
  <w:style w:type="character" w:customStyle="1" w:styleId="NumBox">
    <w:name w:val="NumBox"/>
    <w:basedOn w:val="DefaultParagraphFont"/>
  </w:style>
  <w:style w:type="character" w:customStyle="1" w:styleId="NumFigure">
    <w:name w:val="NumFigure"/>
    <w:basedOn w:val="DefaultParagraphFont"/>
  </w:style>
  <w:style w:type="character" w:customStyle="1" w:styleId="NumTable">
    <w:name w:val="NumTable"/>
    <w:basedOn w:val="DefaultParagraphFont"/>
  </w:style>
  <w:style w:type="paragraph" w:customStyle="1" w:styleId="PgBrk">
    <w:name w:val="PgBrk"/>
    <w:basedOn w:val="Normal"/>
    <w:next w:val="Heading1"/>
    <w:pPr>
      <w:pageBreakBefore/>
      <w:spacing w:before="120" w:after="0" w:line="14" w:lineRule="exact"/>
      <w:ind w:right="720"/>
    </w:pPr>
    <w:rPr>
      <w:i/>
      <w:noProof/>
      <w:color w:val="auto"/>
      <w:sz w:val="18"/>
    </w:rPr>
  </w:style>
  <w:style w:type="paragraph" w:customStyle="1" w:styleId="StartBack">
    <w:name w:val="StartBack"/>
    <w:basedOn w:val="SpacePara"/>
    <w:next w:val="Normal"/>
  </w:style>
  <w:style w:type="paragraph" w:customStyle="1" w:styleId="StartBody">
    <w:name w:val="StartBody"/>
    <w:basedOn w:val="SpacePara"/>
    <w:next w:val="Normal"/>
  </w:style>
  <w:style w:type="paragraph" w:customStyle="1" w:styleId="TBL-COLMNhd">
    <w:name w:val="TBL-COLMNhd"/>
    <w:basedOn w:val="Normal"/>
    <w:pPr>
      <w:tabs>
        <w:tab w:val="left" w:pos="-720"/>
      </w:tabs>
      <w:suppressAutoHyphens/>
      <w:spacing w:before="60" w:after="20"/>
      <w:ind w:right="720"/>
      <w:jc w:val="center"/>
    </w:pPr>
    <w:rPr>
      <w:b/>
      <w:i/>
      <w:noProof/>
      <w:color w:val="auto"/>
      <w:sz w:val="18"/>
    </w:rPr>
  </w:style>
  <w:style w:type="character" w:customStyle="1" w:styleId="Term">
    <w:name w:val="Term"/>
    <w:rPr>
      <w:b/>
    </w:rPr>
  </w:style>
  <w:style w:type="character" w:customStyle="1" w:styleId="TermHeading">
    <w:name w:val="Term Heading"/>
    <w:rPr>
      <w:b/>
    </w:rPr>
  </w:style>
  <w:style w:type="paragraph" w:customStyle="1" w:styleId="TOCRef">
    <w:name w:val="TOCRef"/>
    <w:basedOn w:val="Normal"/>
    <w:next w:val="TOC1"/>
    <w:pPr>
      <w:spacing w:before="120" w:after="0" w:line="200" w:lineRule="exact"/>
      <w:ind w:right="720"/>
      <w:jc w:val="right"/>
    </w:pPr>
    <w:rPr>
      <w:i/>
      <w:noProof/>
      <w:color w:val="auto"/>
      <w:sz w:val="18"/>
    </w:rPr>
  </w:style>
  <w:style w:type="paragraph" w:customStyle="1" w:styleId="TOCTitle">
    <w:name w:val="TOCTitle"/>
    <w:basedOn w:val="Normal"/>
    <w:next w:val="TOCRef"/>
    <w:pPr>
      <w:pBdr>
        <w:top w:val="single" w:sz="6" w:space="5" w:color="auto"/>
        <w:bottom w:val="single" w:sz="6" w:space="5" w:color="auto"/>
      </w:pBdr>
      <w:spacing w:before="600" w:after="600" w:line="360" w:lineRule="auto"/>
      <w:ind w:left="-170" w:right="-170"/>
      <w:jc w:val="center"/>
    </w:pPr>
    <w:rPr>
      <w:b/>
      <w:i/>
      <w:noProof/>
      <w:color w:val="auto"/>
      <w:sz w:val="28"/>
    </w:rPr>
  </w:style>
  <w:style w:type="character" w:customStyle="1" w:styleId="Underline">
    <w:name w:val="Underline"/>
    <w:rPr>
      <w:u w:val="single"/>
    </w:rPr>
  </w:style>
  <w:style w:type="character" w:customStyle="1" w:styleId="XReference">
    <w:name w:val="XReference"/>
    <w:rPr>
      <w:color w:val="0000FF"/>
    </w:rPr>
  </w:style>
  <w:style w:type="paragraph" w:customStyle="1" w:styleId="Format1">
    <w:name w:val="Format1"/>
    <w:basedOn w:val="Normal"/>
    <w:pPr>
      <w:spacing w:before="60" w:after="0"/>
      <w:ind w:right="720"/>
    </w:pPr>
    <w:rPr>
      <w:rFonts w:ascii="Courier New" w:hAnsi="Courier New"/>
      <w:i/>
      <w:noProof/>
      <w:color w:val="auto"/>
      <w:sz w:val="18"/>
    </w:rPr>
  </w:style>
  <w:style w:type="paragraph" w:customStyle="1" w:styleId="Format2">
    <w:name w:val="Format2"/>
    <w:basedOn w:val="Normal"/>
    <w:pPr>
      <w:spacing w:before="60" w:after="0"/>
      <w:ind w:right="720"/>
    </w:pPr>
    <w:rPr>
      <w:rFonts w:ascii="Courier New" w:hAnsi="Courier New"/>
      <w:i/>
      <w:noProof/>
      <w:color w:val="auto"/>
      <w:sz w:val="16"/>
    </w:rPr>
  </w:style>
  <w:style w:type="paragraph" w:customStyle="1" w:styleId="RightJust">
    <w:name w:val="RightJust"/>
    <w:basedOn w:val="Normal"/>
    <w:pPr>
      <w:spacing w:before="120" w:after="0"/>
      <w:ind w:right="720"/>
      <w:jc w:val="right"/>
    </w:pPr>
    <w:rPr>
      <w:i/>
      <w:noProof/>
      <w:color w:val="auto"/>
      <w:sz w:val="18"/>
    </w:rPr>
  </w:style>
  <w:style w:type="paragraph" w:customStyle="1" w:styleId="BlockQuote">
    <w:name w:val="BlockQuote"/>
    <w:basedOn w:val="Normal"/>
    <w:pPr>
      <w:spacing w:before="60" w:after="0"/>
      <w:ind w:left="284" w:right="284"/>
    </w:pPr>
    <w:rPr>
      <w:noProof/>
      <w:color w:val="auto"/>
      <w:sz w:val="18"/>
    </w:rPr>
  </w:style>
  <w:style w:type="paragraph" w:customStyle="1" w:styleId="BoxBlankLine">
    <w:name w:val="Box BlankLine"/>
    <w:basedOn w:val="BlankLine"/>
    <w:next w:val="Normal"/>
    <w:pPr>
      <w:pBdr>
        <w:left w:val="single" w:sz="6" w:space="1" w:color="auto"/>
        <w:right w:val="single" w:sz="6" w:space="1" w:color="auto"/>
      </w:pBdr>
      <w:shd w:val="pct10" w:color="auto" w:fill="auto"/>
      <w:jc w:val="both"/>
    </w:pPr>
    <w:rPr>
      <w:sz w:val="20"/>
    </w:rPr>
  </w:style>
  <w:style w:type="paragraph" w:customStyle="1" w:styleId="BoxFigCaption">
    <w:name w:val="Box FigCaption"/>
    <w:basedOn w:val="Normal"/>
    <w:pPr>
      <w:shd w:val="pct10" w:color="auto" w:fill="auto"/>
      <w:spacing w:before="100" w:after="0"/>
      <w:ind w:right="720"/>
      <w:jc w:val="both"/>
    </w:pPr>
    <w:rPr>
      <w:noProof/>
      <w:color w:val="auto"/>
      <w:sz w:val="20"/>
    </w:rPr>
  </w:style>
  <w:style w:type="paragraph" w:customStyle="1" w:styleId="BoxTableTitle">
    <w:name w:val="Box Table Title"/>
    <w:basedOn w:val="Normal"/>
    <w:pPr>
      <w:keepNext/>
      <w:pBdr>
        <w:left w:val="single" w:sz="6" w:space="1" w:color="auto"/>
        <w:right w:val="single" w:sz="6" w:space="1" w:color="auto"/>
      </w:pBdr>
      <w:shd w:val="pct10" w:color="auto" w:fill="auto"/>
      <w:spacing w:before="120" w:after="0"/>
      <w:ind w:right="720"/>
      <w:jc w:val="both"/>
    </w:pPr>
    <w:rPr>
      <w:b/>
      <w:i/>
      <w:noProof/>
      <w:color w:val="auto"/>
      <w:sz w:val="20"/>
    </w:rPr>
  </w:style>
  <w:style w:type="paragraph" w:customStyle="1" w:styleId="BoxTblEntry">
    <w:name w:val="Box TblEntry"/>
    <w:basedOn w:val="Normal"/>
    <w:pPr>
      <w:shd w:val="pct10" w:color="auto" w:fill="auto"/>
      <w:spacing w:before="120" w:after="0"/>
      <w:ind w:right="720"/>
      <w:jc w:val="both"/>
    </w:pPr>
    <w:rPr>
      <w:i/>
      <w:noProof/>
      <w:color w:val="auto"/>
      <w:sz w:val="20"/>
    </w:rPr>
  </w:style>
  <w:style w:type="character" w:customStyle="1" w:styleId="BoxFigInfo-C">
    <w:name w:val="BoxFigInfo-C"/>
    <w:basedOn w:val="DefaultParagraphFont"/>
  </w:style>
  <w:style w:type="paragraph" w:customStyle="1" w:styleId="BoxFigInfo-P">
    <w:name w:val="BoxFigInfo-P"/>
    <w:basedOn w:val="BoxText"/>
  </w:style>
  <w:style w:type="paragraph" w:customStyle="1" w:styleId="BoxFigTitle">
    <w:name w:val="BoxFigTitle"/>
    <w:basedOn w:val="BoxFigCaption"/>
    <w:pPr>
      <w:keepNext/>
    </w:pPr>
    <w:rPr>
      <w:b/>
      <w:i/>
    </w:rPr>
  </w:style>
  <w:style w:type="paragraph" w:customStyle="1" w:styleId="BoxTblColHd">
    <w:name w:val="BoxTblColHd"/>
    <w:basedOn w:val="BoxTblEntry"/>
    <w:rPr>
      <w:b/>
    </w:rPr>
  </w:style>
  <w:style w:type="paragraph" w:customStyle="1" w:styleId="DashListLev1">
    <w:name w:val="Dash List Lev1"/>
    <w:basedOn w:val="Normal"/>
    <w:pPr>
      <w:tabs>
        <w:tab w:val="num" w:pos="720"/>
      </w:tabs>
      <w:spacing w:before="100" w:after="0"/>
      <w:ind w:left="720" w:right="720" w:hanging="360"/>
    </w:pPr>
    <w:rPr>
      <w:i/>
      <w:noProof/>
      <w:color w:val="auto"/>
      <w:sz w:val="18"/>
    </w:rPr>
  </w:style>
  <w:style w:type="paragraph" w:customStyle="1" w:styleId="DashListLev2">
    <w:name w:val="Dash List Lev2"/>
    <w:basedOn w:val="DashListLev1"/>
    <w:pPr>
      <w:numPr>
        <w:numId w:val="17"/>
      </w:numPr>
      <w:tabs>
        <w:tab w:val="num" w:pos="2892"/>
      </w:tabs>
      <w:ind w:left="981" w:hanging="357"/>
    </w:pPr>
  </w:style>
  <w:style w:type="paragraph" w:customStyle="1" w:styleId="DashListLev3">
    <w:name w:val="Dash List Lev3"/>
    <w:basedOn w:val="DashListLev2"/>
    <w:pPr>
      <w:numPr>
        <w:numId w:val="16"/>
      </w:numPr>
      <w:ind w:left="1208" w:hanging="357"/>
    </w:pPr>
  </w:style>
  <w:style w:type="paragraph" w:customStyle="1" w:styleId="DashListLev4">
    <w:name w:val="Dash List Lev4"/>
    <w:basedOn w:val="DashListLev3"/>
    <w:pPr>
      <w:numPr>
        <w:numId w:val="38"/>
      </w:numPr>
      <w:ind w:left="1434" w:hanging="357"/>
    </w:pPr>
  </w:style>
  <w:style w:type="paragraph" w:styleId="EndnoteText">
    <w:name w:val="endnote text"/>
    <w:basedOn w:val="Normal"/>
    <w:semiHidden/>
    <w:pPr>
      <w:numPr>
        <w:numId w:val="37"/>
      </w:numPr>
      <w:spacing w:before="120" w:after="0"/>
      <w:ind w:left="0" w:right="720" w:firstLine="0"/>
    </w:pPr>
    <w:rPr>
      <w:i/>
      <w:noProof/>
      <w:color w:val="auto"/>
      <w:sz w:val="18"/>
    </w:rPr>
  </w:style>
  <w:style w:type="character" w:customStyle="1" w:styleId="EndnoteTextChar">
    <w:name w:val="Endnote Text Char"/>
    <w:semiHidden/>
    <w:rPr>
      <w:rFonts w:ascii="Times New Roman" w:eastAsia="Times New Roman" w:hAnsi="Times New Roman" w:cs="Times New Roman"/>
      <w:noProof/>
      <w:szCs w:val="20"/>
    </w:rPr>
  </w:style>
  <w:style w:type="character" w:customStyle="1" w:styleId="FigInfo-C">
    <w:name w:val="FigInfo-C"/>
    <w:basedOn w:val="DefaultParagraphFont"/>
  </w:style>
  <w:style w:type="paragraph" w:customStyle="1" w:styleId="ParaNote">
    <w:name w:val="Para Note"/>
    <w:basedOn w:val="Note"/>
    <w:pPr>
      <w:keepLines w:val="0"/>
      <w:pBdr>
        <w:top w:val="single" w:sz="6" w:space="3" w:color="auto" w:shadow="1"/>
        <w:left w:val="single" w:sz="6" w:space="3" w:color="auto" w:shadow="1"/>
        <w:bottom w:val="single" w:sz="6" w:space="3" w:color="auto" w:shadow="1"/>
        <w:right w:val="single" w:sz="6" w:space="3" w:color="auto" w:shadow="1"/>
      </w:pBdr>
      <w:shd w:val="pct20" w:color="auto" w:fill="auto"/>
      <w:suppressAutoHyphens/>
      <w:spacing w:before="120"/>
      <w:ind w:right="720"/>
    </w:pPr>
    <w:rPr>
      <w:rFonts w:eastAsia="Times New Roman"/>
      <w:b/>
      <w:noProof/>
      <w:sz w:val="18"/>
    </w:rPr>
  </w:style>
  <w:style w:type="character" w:customStyle="1" w:styleId="Picture">
    <w:name w:val="Picture"/>
    <w:basedOn w:val="DefaultParagraphFont"/>
  </w:style>
  <w:style w:type="paragraph" w:customStyle="1" w:styleId="PlainList1">
    <w:name w:val="PlainList 1"/>
    <w:basedOn w:val="Normal"/>
    <w:pPr>
      <w:spacing w:before="100" w:after="0"/>
      <w:ind w:right="720"/>
    </w:pPr>
    <w:rPr>
      <w:i/>
      <w:noProof/>
      <w:color w:val="auto"/>
      <w:sz w:val="18"/>
    </w:rPr>
  </w:style>
  <w:style w:type="paragraph" w:customStyle="1" w:styleId="PlainList2">
    <w:name w:val="PlainList 2"/>
    <w:basedOn w:val="PlainList1"/>
    <w:pPr>
      <w:ind w:left="567"/>
    </w:pPr>
  </w:style>
  <w:style w:type="paragraph" w:customStyle="1" w:styleId="PlainList3">
    <w:name w:val="PlainList 3"/>
    <w:basedOn w:val="PlainList2"/>
    <w:pPr>
      <w:ind w:left="1134"/>
    </w:pPr>
  </w:style>
  <w:style w:type="paragraph" w:customStyle="1" w:styleId="PlainList4">
    <w:name w:val="PlainList 4"/>
    <w:basedOn w:val="PlainList3"/>
    <w:pPr>
      <w:ind w:left="1701"/>
    </w:pPr>
  </w:style>
  <w:style w:type="character" w:customStyle="1" w:styleId="Quote1">
    <w:name w:val="Quote1"/>
    <w:rPr>
      <w:rFonts w:ascii="Times New Roman" w:hAnsi="Times New Roman"/>
      <w:i/>
      <w:sz w:val="20"/>
    </w:rPr>
  </w:style>
  <w:style w:type="character" w:customStyle="1" w:styleId="NroSeq">
    <w:name w:val="NroSeq"/>
    <w:rPr>
      <w:color w:val="0000FF"/>
    </w:rPr>
  </w:style>
  <w:style w:type="character" w:customStyle="1" w:styleId="NroTOC">
    <w:name w:val="NroTOC"/>
    <w:rPr>
      <w:color w:val="auto"/>
      <w:sz w:val="22"/>
      <w:u w:val="none"/>
      <w:vertAlign w:val="baseline"/>
    </w:rPr>
  </w:style>
  <w:style w:type="paragraph" w:customStyle="1" w:styleId="PrelimNote">
    <w:name w:val="PrelimNote"/>
    <w:basedOn w:val="Normal"/>
    <w:next w:val="Normal"/>
    <w:pPr>
      <w:spacing w:before="120" w:after="0"/>
      <w:ind w:left="709" w:right="709"/>
    </w:pPr>
    <w:rPr>
      <w:i/>
      <w:noProof/>
      <w:color w:val="auto"/>
      <w:sz w:val="18"/>
    </w:rPr>
  </w:style>
  <w:style w:type="paragraph" w:customStyle="1" w:styleId="CentredJust">
    <w:name w:val="CentredJust"/>
    <w:basedOn w:val="Normal"/>
    <w:pPr>
      <w:spacing w:before="120" w:after="0"/>
      <w:ind w:right="720"/>
      <w:jc w:val="center"/>
    </w:pPr>
    <w:rPr>
      <w:i/>
      <w:noProof/>
      <w:color w:val="auto"/>
      <w:sz w:val="18"/>
    </w:rPr>
  </w:style>
  <w:style w:type="character" w:customStyle="1" w:styleId="Subscript">
    <w:name w:val="Subscript"/>
    <w:rPr>
      <w:noProof w:val="0"/>
      <w:vertAlign w:val="subscript"/>
      <w:lang w:val="en-GB"/>
    </w:rPr>
  </w:style>
  <w:style w:type="character" w:customStyle="1" w:styleId="Superscript">
    <w:name w:val="Superscript"/>
    <w:rPr>
      <w:noProof w:val="0"/>
      <w:vertAlign w:val="superscript"/>
      <w:lang w:val="en-GB"/>
    </w:rPr>
  </w:style>
  <w:style w:type="paragraph" w:customStyle="1" w:styleId="ListDel">
    <w:name w:val="ListDel"/>
    <w:basedOn w:val="Normal"/>
    <w:next w:val="Country"/>
    <w:pPr>
      <w:spacing w:before="120" w:after="0"/>
      <w:ind w:right="720"/>
      <w:jc w:val="center"/>
    </w:pPr>
    <w:rPr>
      <w:b/>
      <w:i/>
      <w:noProof/>
      <w:color w:val="auto"/>
      <w:sz w:val="18"/>
    </w:rPr>
  </w:style>
  <w:style w:type="paragraph" w:customStyle="1" w:styleId="Country">
    <w:name w:val="Country"/>
    <w:basedOn w:val="Normal"/>
    <w:next w:val="Role"/>
    <w:pPr>
      <w:keepNext/>
      <w:spacing w:before="120" w:after="0"/>
      <w:ind w:right="720"/>
    </w:pPr>
    <w:rPr>
      <w:b/>
      <w:i/>
      <w:caps/>
      <w:noProof/>
      <w:color w:val="auto"/>
      <w:sz w:val="18"/>
    </w:rPr>
  </w:style>
  <w:style w:type="paragraph" w:customStyle="1" w:styleId="Role">
    <w:name w:val="Role"/>
    <w:basedOn w:val="Normal"/>
    <w:next w:val="Name"/>
    <w:pPr>
      <w:keepNext/>
      <w:spacing w:before="120" w:after="0"/>
      <w:ind w:right="720"/>
    </w:pPr>
    <w:rPr>
      <w:i/>
      <w:noProof/>
      <w:color w:val="auto"/>
      <w:sz w:val="18"/>
    </w:rPr>
  </w:style>
  <w:style w:type="paragraph" w:customStyle="1" w:styleId="Name">
    <w:name w:val="Name"/>
    <w:basedOn w:val="Normal"/>
    <w:pPr>
      <w:keepLines/>
      <w:spacing w:before="120" w:after="0"/>
      <w:ind w:left="284" w:right="720"/>
    </w:pPr>
    <w:rPr>
      <w:i/>
      <w:noProof/>
      <w:color w:val="auto"/>
      <w:sz w:val="18"/>
    </w:rPr>
  </w:style>
  <w:style w:type="paragraph" w:customStyle="1" w:styleId="ColumnBreak">
    <w:name w:val="ColumnBreak"/>
    <w:basedOn w:val="Normal"/>
    <w:next w:val="Normal"/>
    <w:pPr>
      <w:spacing w:before="100" w:after="0" w:line="10" w:lineRule="exact"/>
      <w:ind w:right="720"/>
    </w:pPr>
    <w:rPr>
      <w:rFonts w:ascii="Courier New" w:hAnsi="Courier New"/>
      <w:i/>
      <w:noProof/>
      <w:color w:val="auto"/>
      <w:sz w:val="18"/>
    </w:rPr>
  </w:style>
  <w:style w:type="paragraph" w:customStyle="1" w:styleId="ContBrk">
    <w:name w:val="ContBrk"/>
    <w:basedOn w:val="Normal"/>
    <w:next w:val="Normal"/>
    <w:pPr>
      <w:spacing w:before="120" w:after="0" w:line="360" w:lineRule="auto"/>
      <w:ind w:right="720"/>
    </w:pPr>
    <w:rPr>
      <w:rFonts w:ascii="Courier New" w:hAnsi="Courier New"/>
      <w:i/>
      <w:noProof/>
      <w:color w:val="auto"/>
      <w:sz w:val="18"/>
    </w:rPr>
  </w:style>
  <w:style w:type="paragraph" w:customStyle="1" w:styleId="SectionBreak">
    <w:name w:val="SectionBreak"/>
    <w:basedOn w:val="Normal"/>
    <w:next w:val="Heading1"/>
    <w:pPr>
      <w:spacing w:before="100" w:after="0" w:line="10" w:lineRule="exact"/>
      <w:ind w:right="720"/>
    </w:pPr>
    <w:rPr>
      <w:rFonts w:ascii="Courier New" w:hAnsi="Courier New"/>
      <w:i/>
      <w:noProof/>
      <w:color w:val="auto"/>
      <w:sz w:val="18"/>
    </w:rPr>
  </w:style>
  <w:style w:type="paragraph" w:customStyle="1" w:styleId="HeadingAnnex">
    <w:name w:val="Heading Annex"/>
    <w:basedOn w:val="Normal"/>
    <w:next w:val="Normal"/>
    <w:pPr>
      <w:keepNext/>
      <w:pBdr>
        <w:top w:val="single" w:sz="6" w:space="1" w:color="auto"/>
        <w:bottom w:val="single" w:sz="6" w:space="1" w:color="auto"/>
      </w:pBdr>
      <w:spacing w:before="240" w:after="0"/>
      <w:ind w:left="709" w:right="720" w:hanging="709"/>
      <w:jc w:val="center"/>
    </w:pPr>
    <w:rPr>
      <w:rFonts w:ascii="Times New Roman Bold" w:hAnsi="Times New Roman Bold"/>
      <w:b/>
      <w:i/>
      <w:caps/>
      <w:noProof/>
      <w:color w:val="auto"/>
      <w:sz w:val="24"/>
    </w:rPr>
  </w:style>
  <w:style w:type="paragraph" w:customStyle="1" w:styleId="SeqListLev1">
    <w:name w:val="Seq List Lev1"/>
    <w:basedOn w:val="Normal"/>
    <w:pPr>
      <w:numPr>
        <w:ilvl w:val="1"/>
        <w:numId w:val="13"/>
      </w:numPr>
      <w:spacing w:before="100" w:after="0"/>
      <w:ind w:right="720"/>
    </w:pPr>
    <w:rPr>
      <w:i/>
      <w:noProof/>
      <w:color w:val="auto"/>
      <w:sz w:val="18"/>
    </w:rPr>
  </w:style>
  <w:style w:type="paragraph" w:customStyle="1" w:styleId="SeqListLev2">
    <w:name w:val="Seq List Lev2"/>
    <w:basedOn w:val="SeqListLev1"/>
    <w:pPr>
      <w:numPr>
        <w:ilvl w:val="2"/>
      </w:numPr>
    </w:pPr>
  </w:style>
  <w:style w:type="paragraph" w:customStyle="1" w:styleId="SeqListLev3">
    <w:name w:val="Seq List Lev3"/>
    <w:basedOn w:val="SeqListLev2"/>
    <w:pPr>
      <w:numPr>
        <w:ilvl w:val="3"/>
      </w:numPr>
    </w:pPr>
  </w:style>
  <w:style w:type="paragraph" w:customStyle="1" w:styleId="SeqListLev4">
    <w:name w:val="Seq List Lev4"/>
    <w:basedOn w:val="SeqListLev3"/>
    <w:pPr>
      <w:numPr>
        <w:ilvl w:val="0"/>
        <w:numId w:val="0"/>
      </w:numPr>
      <w:tabs>
        <w:tab w:val="num" w:pos="567"/>
        <w:tab w:val="num" w:pos="1440"/>
        <w:tab w:val="num" w:pos="2126"/>
      </w:tabs>
      <w:ind w:left="2126" w:hanging="425"/>
    </w:pPr>
  </w:style>
  <w:style w:type="paragraph" w:customStyle="1" w:styleId="CarCar">
    <w:name w:val="Car Car"/>
    <w:basedOn w:val="Normal"/>
    <w:pPr>
      <w:numPr>
        <w:ilvl w:val="2"/>
        <w:numId w:val="35"/>
      </w:numPr>
      <w:tabs>
        <w:tab w:val="num" w:pos="805"/>
      </w:tabs>
      <w:spacing w:before="100" w:after="160" w:line="240" w:lineRule="exact"/>
      <w:ind w:left="0" w:right="720" w:firstLine="0"/>
    </w:pPr>
    <w:rPr>
      <w:rFonts w:ascii="Tahoma" w:eastAsia="MS Mincho" w:hAnsi="Tahoma"/>
      <w:i/>
      <w:color w:val="auto"/>
      <w:sz w:val="20"/>
      <w:lang w:val="en-US"/>
    </w:rPr>
  </w:style>
  <w:style w:type="paragraph" w:customStyle="1" w:styleId="ListParagraph10">
    <w:name w:val="List Paragraph1"/>
    <w:basedOn w:val="Normal"/>
    <w:qFormat/>
    <w:pPr>
      <w:spacing w:before="100" w:after="100"/>
      <w:ind w:left="720" w:right="720"/>
    </w:pPr>
    <w:rPr>
      <w:rFonts w:eastAsia="Calibri"/>
      <w:i/>
      <w:color w:val="auto"/>
      <w:sz w:val="24"/>
    </w:rPr>
  </w:style>
  <w:style w:type="paragraph" w:customStyle="1" w:styleId="CharChar">
    <w:name w:val="(文字) (文字) Char (文字) (文字) Char"/>
    <w:basedOn w:val="Normal"/>
    <w:pPr>
      <w:tabs>
        <w:tab w:val="num" w:pos="2160"/>
      </w:tabs>
      <w:spacing w:before="100" w:after="160" w:line="240" w:lineRule="exact"/>
      <w:ind w:right="720"/>
    </w:pPr>
    <w:rPr>
      <w:rFonts w:ascii="Tahoma" w:eastAsia="MS Mincho" w:hAnsi="Tahoma"/>
      <w:i/>
      <w:color w:val="auto"/>
      <w:sz w:val="20"/>
      <w:lang w:val="en-US"/>
    </w:rPr>
  </w:style>
  <w:style w:type="paragraph" w:customStyle="1" w:styleId="IPPBullet2">
    <w:name w:val="IPP Bullet2"/>
    <w:basedOn w:val="IPPNormal"/>
    <w:next w:val="IPPBullet1"/>
    <w:qFormat/>
    <w:pPr>
      <w:numPr>
        <w:numId w:val="0"/>
      </w:numPr>
      <w:tabs>
        <w:tab w:val="left" w:pos="567"/>
      </w:tabs>
      <w:spacing w:after="60"/>
      <w:ind w:left="720" w:hanging="360"/>
    </w:pPr>
  </w:style>
  <w:style w:type="paragraph" w:customStyle="1" w:styleId="IPPNormal">
    <w:name w:val="IPP Normal"/>
    <w:basedOn w:val="Normal"/>
    <w:qFormat/>
    <w:pPr>
      <w:numPr>
        <w:numId w:val="39"/>
      </w:numPr>
      <w:spacing w:before="100" w:after="180"/>
      <w:ind w:left="0" w:right="720" w:firstLine="0"/>
      <w:jc w:val="both"/>
    </w:pPr>
    <w:rPr>
      <w:rFonts w:eastAsia="Times"/>
      <w:i/>
      <w:color w:val="auto"/>
      <w:sz w:val="18"/>
    </w:rPr>
  </w:style>
  <w:style w:type="paragraph" w:customStyle="1" w:styleId="IPPBullet1">
    <w:name w:val="IPP Bullet1"/>
    <w:basedOn w:val="Normal"/>
    <w:qFormat/>
    <w:pPr>
      <w:numPr>
        <w:numId w:val="22"/>
      </w:numPr>
      <w:spacing w:before="100" w:after="60"/>
      <w:ind w:right="720"/>
      <w:jc w:val="both"/>
    </w:pPr>
    <w:rPr>
      <w:rFonts w:eastAsia="Times"/>
      <w:i/>
      <w:color w:val="auto"/>
      <w:sz w:val="18"/>
    </w:rPr>
  </w:style>
  <w:style w:type="paragraph" w:customStyle="1" w:styleId="IPPTitle16ptIndent">
    <w:name w:val="IPP Title16pt Indent"/>
    <w:basedOn w:val="Normal"/>
    <w:qFormat/>
    <w:pPr>
      <w:spacing w:before="100" w:after="720"/>
      <w:ind w:left="1701" w:right="1701"/>
      <w:jc w:val="center"/>
    </w:pPr>
    <w:rPr>
      <w:rFonts w:ascii="Arial" w:hAnsi="Arial"/>
      <w:b/>
      <w:i/>
      <w:color w:val="auto"/>
      <w:sz w:val="32"/>
    </w:rPr>
  </w:style>
  <w:style w:type="paragraph" w:customStyle="1" w:styleId="IPPHeadSection">
    <w:name w:val="IPP HeadSection"/>
    <w:basedOn w:val="Normal"/>
    <w:next w:val="Normal"/>
    <w:qFormat/>
    <w:pPr>
      <w:keepNext/>
      <w:numPr>
        <w:numId w:val="41"/>
      </w:numPr>
      <w:tabs>
        <w:tab w:val="left" w:pos="851"/>
      </w:tabs>
      <w:spacing w:before="360" w:after="120"/>
      <w:ind w:left="851" w:right="720" w:hanging="851"/>
      <w:jc w:val="both"/>
      <w:outlineLvl w:val="0"/>
    </w:pPr>
    <w:rPr>
      <w:rFonts w:eastAsia="Times"/>
      <w:b/>
      <w:i/>
      <w:caps/>
      <w:color w:val="auto"/>
      <w:sz w:val="24"/>
    </w:rPr>
  </w:style>
  <w:style w:type="paragraph" w:customStyle="1" w:styleId="IPPHeading1">
    <w:name w:val="IPP Heading1"/>
    <w:basedOn w:val="IPPNormal"/>
    <w:next w:val="IPPNormal"/>
    <w:qFormat/>
    <w:pPr>
      <w:keepNext/>
      <w:tabs>
        <w:tab w:val="left" w:pos="567"/>
      </w:tabs>
      <w:spacing w:before="240" w:after="120"/>
      <w:ind w:left="567" w:hanging="567"/>
      <w:jc w:val="left"/>
      <w:outlineLvl w:val="1"/>
    </w:pPr>
    <w:rPr>
      <w:b/>
      <w:sz w:val="24"/>
    </w:rPr>
  </w:style>
  <w:style w:type="paragraph" w:customStyle="1" w:styleId="IPPSubhead">
    <w:name w:val="IPP Subhead"/>
    <w:basedOn w:val="Normal"/>
    <w:qFormat/>
    <w:pPr>
      <w:keepNext/>
      <w:spacing w:before="100" w:after="0"/>
      <w:ind w:left="567" w:right="720" w:hanging="567"/>
    </w:pPr>
    <w:rPr>
      <w:b/>
      <w:i/>
      <w:color w:val="auto"/>
      <w:sz w:val="18"/>
    </w:rPr>
  </w:style>
  <w:style w:type="paragraph" w:customStyle="1" w:styleId="IPPBullet1Last">
    <w:name w:val="IPP Bullet1Last"/>
    <w:basedOn w:val="IPPNormal"/>
    <w:next w:val="IPPBullet1"/>
    <w:qFormat/>
    <w:pPr>
      <w:numPr>
        <w:numId w:val="20"/>
      </w:numPr>
      <w:tabs>
        <w:tab w:val="num" w:pos="360"/>
      </w:tabs>
      <w:ind w:left="360"/>
    </w:pPr>
    <w:rPr>
      <w:lang w:val="en-US"/>
    </w:rPr>
  </w:style>
  <w:style w:type="paragraph" w:customStyle="1" w:styleId="IPPTitle16pt">
    <w:name w:val="IPP Title16pt"/>
    <w:basedOn w:val="Normal"/>
    <w:qFormat/>
    <w:pPr>
      <w:spacing w:before="100" w:after="720"/>
      <w:ind w:left="1701" w:right="1701"/>
      <w:jc w:val="center"/>
    </w:pPr>
    <w:rPr>
      <w:rFonts w:ascii="Arial" w:hAnsi="Arial"/>
      <w:b/>
      <w:i/>
      <w:color w:val="auto"/>
      <w:sz w:val="32"/>
    </w:rPr>
  </w:style>
  <w:style w:type="paragraph" w:customStyle="1" w:styleId="IPPTitle18pt">
    <w:name w:val="IPP Title18pt"/>
    <w:basedOn w:val="Normal"/>
    <w:qFormat/>
    <w:pPr>
      <w:spacing w:before="100" w:after="360"/>
      <w:ind w:right="720"/>
      <w:jc w:val="center"/>
    </w:pPr>
    <w:rPr>
      <w:rFonts w:ascii="Arial" w:hAnsi="Arial"/>
      <w:b/>
      <w:i/>
      <w:color w:val="auto"/>
      <w:sz w:val="36"/>
    </w:rPr>
  </w:style>
  <w:style w:type="paragraph" w:customStyle="1" w:styleId="IPPAnnexHead">
    <w:name w:val="IPP AnnexHead"/>
    <w:basedOn w:val="IPPNormal"/>
    <w:next w:val="IPPNormal"/>
    <w:qFormat/>
    <w:pPr>
      <w:keepNext/>
      <w:numPr>
        <w:numId w:val="42"/>
      </w:numPr>
      <w:tabs>
        <w:tab w:val="left" w:pos="567"/>
      </w:tabs>
      <w:spacing w:before="120"/>
      <w:ind w:left="0" w:firstLine="0"/>
      <w:jc w:val="left"/>
      <w:outlineLvl w:val="1"/>
    </w:pPr>
    <w:rPr>
      <w:b/>
      <w:sz w:val="24"/>
    </w:rPr>
  </w:style>
  <w:style w:type="paragraph" w:customStyle="1" w:styleId="IPPNormalCloseSpace">
    <w:name w:val="IPP NormalCloseSpace"/>
    <w:basedOn w:val="Normal"/>
    <w:qFormat/>
    <w:pPr>
      <w:keepNext/>
      <w:numPr>
        <w:numId w:val="40"/>
      </w:numPr>
      <w:spacing w:before="100" w:after="60"/>
      <w:ind w:left="0" w:right="720" w:firstLine="0"/>
      <w:jc w:val="both"/>
    </w:pPr>
    <w:rPr>
      <w:i/>
      <w:color w:val="auto"/>
      <w:sz w:val="18"/>
    </w:rPr>
  </w:style>
  <w:style w:type="paragraph" w:customStyle="1" w:styleId="IPPHeading2">
    <w:name w:val="IPP Heading2"/>
    <w:basedOn w:val="IPPNormal"/>
    <w:next w:val="IPPNormal"/>
    <w:qFormat/>
    <w:pPr>
      <w:keepNext/>
      <w:tabs>
        <w:tab w:val="left" w:pos="567"/>
      </w:tabs>
      <w:spacing w:before="120" w:after="120"/>
      <w:ind w:left="567" w:hanging="567"/>
      <w:jc w:val="left"/>
      <w:outlineLvl w:val="2"/>
    </w:pPr>
    <w:rPr>
      <w:b/>
      <w:sz w:val="24"/>
    </w:rPr>
  </w:style>
  <w:style w:type="paragraph" w:customStyle="1" w:styleId="IPPReferences">
    <w:name w:val="IPP References"/>
    <w:basedOn w:val="IPPNormal"/>
    <w:qFormat/>
    <w:pPr>
      <w:spacing w:after="60"/>
      <w:ind w:left="567" w:hanging="567"/>
    </w:pPr>
  </w:style>
  <w:style w:type="paragraph" w:customStyle="1" w:styleId="IPPArial">
    <w:name w:val="IPP Arial"/>
    <w:basedOn w:val="IPPNormal"/>
    <w:qFormat/>
    <w:pPr>
      <w:spacing w:after="0"/>
    </w:pPr>
    <w:rPr>
      <w:rFonts w:ascii="Arial" w:hAnsi="Arial"/>
    </w:rPr>
  </w:style>
  <w:style w:type="paragraph" w:customStyle="1" w:styleId="IPPArialTable">
    <w:name w:val="IPP Arial Table"/>
    <w:basedOn w:val="IPPArial"/>
    <w:qFormat/>
    <w:pPr>
      <w:spacing w:before="60" w:after="60"/>
      <w:jc w:val="left"/>
    </w:pPr>
  </w:style>
  <w:style w:type="paragraph" w:customStyle="1" w:styleId="IPPSubheadSpace">
    <w:name w:val="IPP Subhead Space"/>
    <w:basedOn w:val="IPPSubhead"/>
    <w:qFormat/>
    <w:pPr>
      <w:tabs>
        <w:tab w:val="left" w:pos="567"/>
      </w:tabs>
      <w:spacing w:before="60" w:after="60"/>
    </w:pPr>
  </w:style>
  <w:style w:type="paragraph" w:customStyle="1" w:styleId="IPPNumberedList">
    <w:name w:val="IPP NumberedList"/>
    <w:basedOn w:val="IPPBullet1"/>
    <w:qFormat/>
    <w:pPr>
      <w:numPr>
        <w:numId w:val="0"/>
      </w:numPr>
      <w:ind w:left="720" w:hanging="360"/>
    </w:pPr>
  </w:style>
  <w:style w:type="paragraph" w:customStyle="1" w:styleId="IPPNumberedListLast0">
    <w:name w:val="IPP NumberedListLast"/>
    <w:basedOn w:val="IPPNumberedList"/>
    <w:qFormat/>
    <w:pPr>
      <w:spacing w:after="180"/>
    </w:pPr>
  </w:style>
  <w:style w:type="paragraph" w:customStyle="1" w:styleId="IPPHdg1Num">
    <w:name w:val="IPP Hdg1Num"/>
    <w:basedOn w:val="IPPNormal"/>
    <w:next w:val="IPPNormal"/>
    <w:qFormat/>
    <w:pPr>
      <w:keepNext/>
      <w:tabs>
        <w:tab w:val="num" w:pos="0"/>
        <w:tab w:val="left" w:pos="567"/>
      </w:tabs>
      <w:spacing w:before="240" w:after="120"/>
      <w:ind w:hanging="482"/>
      <w:outlineLvl w:val="1"/>
    </w:pPr>
    <w:rPr>
      <w:b/>
      <w:sz w:val="24"/>
    </w:rPr>
  </w:style>
  <w:style w:type="paragraph" w:customStyle="1" w:styleId="IPPNumberedList0">
    <w:name w:val="IPPNumberedList"/>
    <w:basedOn w:val="IPPBullet1"/>
    <w:qFormat/>
    <w:pPr>
      <w:numPr>
        <w:numId w:val="0"/>
      </w:numPr>
      <w:tabs>
        <w:tab w:val="num" w:pos="720"/>
      </w:tabs>
      <w:ind w:left="720" w:hanging="360"/>
    </w:pPr>
  </w:style>
  <w:style w:type="paragraph" w:customStyle="1" w:styleId="IPPLetterList">
    <w:name w:val="IPP LetterList"/>
    <w:basedOn w:val="IPPBullet2"/>
    <w:qFormat/>
    <w:pPr>
      <w:numPr>
        <w:numId w:val="24"/>
      </w:numPr>
      <w:jc w:val="left"/>
    </w:pPr>
  </w:style>
  <w:style w:type="paragraph" w:customStyle="1" w:styleId="IPPSubheadSpace3">
    <w:name w:val="IPP Subhead Space3"/>
    <w:basedOn w:val="IPPSubhead"/>
    <w:qFormat/>
    <w:pPr>
      <w:spacing w:before="60" w:after="60"/>
    </w:pPr>
  </w:style>
  <w:style w:type="paragraph" w:customStyle="1" w:styleId="font1">
    <w:name w:val="font1"/>
    <w:basedOn w:val="Normal"/>
    <w:pPr>
      <w:spacing w:before="100" w:after="100"/>
      <w:ind w:right="720"/>
    </w:pPr>
    <w:rPr>
      <w:rFonts w:ascii="Arial" w:hAnsi="Arial"/>
      <w:i/>
      <w:color w:val="auto"/>
      <w:sz w:val="20"/>
      <w:lang w:val="en-US"/>
    </w:rPr>
  </w:style>
  <w:style w:type="paragraph" w:customStyle="1" w:styleId="Contents">
    <w:name w:val="Contents"/>
    <w:pPr>
      <w:tabs>
        <w:tab w:val="left" w:pos="-1440"/>
        <w:tab w:val="left" w:pos="-720"/>
        <w:tab w:val="left" w:pos="0"/>
        <w:tab w:val="left" w:pos="835"/>
        <w:tab w:val="left" w:pos="1392"/>
      </w:tabs>
      <w:suppressAutoHyphens/>
      <w:jc w:val="both"/>
    </w:pPr>
    <w:rPr>
      <w:rFonts w:ascii="Courier" w:hAnsi="Courier"/>
      <w:spacing w:val="-3"/>
      <w:sz w:val="24"/>
      <w:lang w:val="en-GB" w:eastAsia="ko-KR"/>
    </w:rPr>
  </w:style>
  <w:style w:type="paragraph" w:customStyle="1" w:styleId="IPPQuote">
    <w:name w:val="IPP Quote"/>
    <w:basedOn w:val="IPPNormal"/>
    <w:qFormat/>
    <w:pPr>
      <w:ind w:left="851" w:right="851"/>
    </w:pPr>
    <w:rPr>
      <w:sz w:val="19"/>
    </w:rPr>
  </w:style>
  <w:style w:type="character" w:customStyle="1" w:styleId="NewParaChar">
    <w:name w:val="NewPara Char"/>
    <w:rPr>
      <w:rFonts w:ascii="Times New Roman" w:eastAsia="Times New Roman" w:hAnsi="Times New Roman" w:cs="Times New Roman"/>
      <w:noProof/>
      <w:szCs w:val="20"/>
    </w:rPr>
  </w:style>
  <w:style w:type="paragraph" w:customStyle="1" w:styleId="IPPHeading1Appendix">
    <w:name w:val="IPP Heading1 Appendix"/>
    <w:basedOn w:val="IPPHeading1"/>
    <w:qFormat/>
    <w:pPr>
      <w:ind w:left="720" w:hanging="360"/>
      <w:outlineLvl w:val="9"/>
    </w:pPr>
  </w:style>
  <w:style w:type="paragraph" w:customStyle="1" w:styleId="IPPHeadSectionAppendix">
    <w:name w:val="IPP HeadSection Appendix"/>
    <w:basedOn w:val="IPPHeadSection"/>
    <w:qFormat/>
    <w:pPr>
      <w:ind w:left="720" w:hanging="360"/>
      <w:outlineLvl w:val="9"/>
    </w:pPr>
  </w:style>
  <w:style w:type="paragraph" w:customStyle="1" w:styleId="IPPHeading2Appendix">
    <w:name w:val="IPP Heading2 Appendix"/>
    <w:basedOn w:val="IPPHeading2"/>
    <w:qFormat/>
    <w:pPr>
      <w:tabs>
        <w:tab w:val="left" w:pos="851"/>
        <w:tab w:val="left" w:pos="1134"/>
      </w:tabs>
      <w:ind w:left="720" w:hanging="360"/>
      <w:outlineLvl w:val="9"/>
    </w:pPr>
  </w:style>
  <w:style w:type="paragraph" w:customStyle="1" w:styleId="IPPAnnexHeadAppendix">
    <w:name w:val="IPP AnnexHead Appendix"/>
    <w:basedOn w:val="IPPAnnexHead"/>
    <w:qFormat/>
    <w:pPr>
      <w:numPr>
        <w:numId w:val="25"/>
      </w:numPr>
      <w:tabs>
        <w:tab w:val="clear" w:pos="567"/>
        <w:tab w:val="num" w:pos="1440"/>
      </w:tabs>
      <w:ind w:left="1440"/>
      <w:outlineLvl w:val="9"/>
    </w:pPr>
  </w:style>
  <w:style w:type="paragraph" w:customStyle="1" w:styleId="IPPIndent">
    <w:name w:val="IPP Indent"/>
    <w:basedOn w:val="Normal"/>
    <w:qFormat/>
    <w:pPr>
      <w:tabs>
        <w:tab w:val="left" w:pos="2835"/>
      </w:tabs>
      <w:spacing w:before="100" w:after="180"/>
      <w:ind w:left="567" w:right="720"/>
      <w:jc w:val="both"/>
    </w:pPr>
    <w:rPr>
      <w:rFonts w:eastAsia="Times"/>
      <w:i/>
      <w:color w:val="auto"/>
      <w:sz w:val="18"/>
    </w:rPr>
  </w:style>
  <w:style w:type="paragraph" w:customStyle="1" w:styleId="FooterLandscape">
    <w:name w:val="FooterLandscape"/>
    <w:basedOn w:val="Footer"/>
    <w:qFormat/>
    <w:pPr>
      <w:tabs>
        <w:tab w:val="clear" w:pos="4320"/>
        <w:tab w:val="clear" w:pos="8640"/>
        <w:tab w:val="right" w:pos="13892"/>
      </w:tabs>
      <w:spacing w:before="100" w:after="0"/>
      <w:ind w:right="720"/>
    </w:pPr>
    <w:rPr>
      <w:rFonts w:ascii="Arial" w:eastAsia="Times" w:hAnsi="Arial"/>
      <w:i/>
      <w:color w:val="auto"/>
      <w:sz w:val="18"/>
    </w:rPr>
  </w:style>
  <w:style w:type="paragraph" w:customStyle="1" w:styleId="IPPNumberClose">
    <w:name w:val="IPP NumberClose"/>
    <w:basedOn w:val="IPPNumber"/>
    <w:qFormat/>
    <w:pPr>
      <w:keepNext/>
      <w:spacing w:after="60"/>
    </w:pPr>
  </w:style>
  <w:style w:type="paragraph" w:customStyle="1" w:styleId="IPPNumber">
    <w:name w:val="IPP Number"/>
    <w:basedOn w:val="IPPNormal"/>
    <w:qFormat/>
    <w:pPr>
      <w:numPr>
        <w:numId w:val="0"/>
      </w:numPr>
      <w:tabs>
        <w:tab w:val="num" w:pos="720"/>
        <w:tab w:val="num" w:pos="2892"/>
      </w:tabs>
      <w:ind w:left="2892" w:hanging="579"/>
    </w:pPr>
  </w:style>
  <w:style w:type="paragraph" w:customStyle="1" w:styleId="IPPNumberedListLast">
    <w:name w:val="IPPNumberedListLast"/>
    <w:basedOn w:val="IPPNumberedList0"/>
    <w:qFormat/>
    <w:pPr>
      <w:numPr>
        <w:numId w:val="43"/>
      </w:numPr>
      <w:tabs>
        <w:tab w:val="num" w:pos="680"/>
      </w:tabs>
      <w:spacing w:after="180"/>
      <w:ind w:left="680" w:hanging="680"/>
    </w:pPr>
  </w:style>
  <w:style w:type="paragraph" w:customStyle="1" w:styleId="Comments">
    <w:name w:val="Comments"/>
    <w:basedOn w:val="Normal"/>
    <w:pPr>
      <w:spacing w:before="100" w:after="0"/>
      <w:ind w:left="284" w:right="720" w:hanging="284"/>
      <w:jc w:val="both"/>
    </w:pPr>
    <w:rPr>
      <w:i/>
      <w:color w:val="auto"/>
      <w:sz w:val="18"/>
    </w:rPr>
  </w:style>
  <w:style w:type="paragraph" w:customStyle="1" w:styleId="Indent1">
    <w:name w:val="Indent 1"/>
    <w:basedOn w:val="Normal"/>
    <w:qFormat/>
    <w:pPr>
      <w:spacing w:before="100" w:after="60"/>
      <w:ind w:left="567" w:right="720"/>
    </w:pPr>
    <w:rPr>
      <w:rFonts w:ascii="Georgia" w:eastAsia="Times" w:hAnsi="Georgia"/>
      <w:i/>
      <w:color w:val="auto"/>
      <w:sz w:val="18"/>
      <w:lang w:val="en-AU"/>
    </w:rPr>
  </w:style>
  <w:style w:type="paragraph" w:customStyle="1" w:styleId="Subhead">
    <w:name w:val="Subhead"/>
    <w:basedOn w:val="Normal"/>
    <w:qFormat/>
    <w:pPr>
      <w:keepNext/>
      <w:spacing w:before="120" w:after="60"/>
      <w:ind w:right="720"/>
    </w:pPr>
    <w:rPr>
      <w:rFonts w:ascii="Georgia" w:eastAsia="Times" w:hAnsi="Georgia"/>
      <w:b/>
      <w:i/>
      <w:color w:val="auto"/>
      <w:sz w:val="19"/>
      <w:lang w:val="en-AU"/>
    </w:rPr>
  </w:style>
  <w:style w:type="paragraph" w:customStyle="1" w:styleId="IPPNumberSubhead">
    <w:name w:val="IPP NumberSubhead"/>
    <w:basedOn w:val="IPPNumber"/>
    <w:qFormat/>
    <w:pPr>
      <w:keepNext/>
      <w:numPr>
        <w:numId w:val="44"/>
      </w:numPr>
      <w:tabs>
        <w:tab w:val="num" w:pos="567"/>
      </w:tabs>
      <w:spacing w:after="60"/>
      <w:ind w:firstLine="0"/>
    </w:pPr>
    <w:rPr>
      <w:b/>
    </w:rPr>
  </w:style>
  <w:style w:type="paragraph" w:customStyle="1" w:styleId="IPPSubheadNumber">
    <w:name w:val="IPP SubheadNumber"/>
    <w:basedOn w:val="IPPSubhead"/>
    <w:qFormat/>
    <w:pPr>
      <w:numPr>
        <w:numId w:val="27"/>
      </w:numPr>
      <w:tabs>
        <w:tab w:val="num" w:pos="720"/>
      </w:tabs>
      <w:ind w:left="720"/>
    </w:pPr>
  </w:style>
  <w:style w:type="paragraph" w:customStyle="1" w:styleId="IPPLetterListIndent">
    <w:name w:val="IPP LetterList Indent"/>
    <w:basedOn w:val="IPPLetterList"/>
    <w:qFormat/>
    <w:pPr>
      <w:numPr>
        <w:numId w:val="28"/>
      </w:numPr>
      <w:tabs>
        <w:tab w:val="clear" w:pos="567"/>
        <w:tab w:val="num" w:pos="720"/>
      </w:tabs>
      <w:ind w:left="720"/>
    </w:pPr>
  </w:style>
  <w:style w:type="paragraph" w:customStyle="1" w:styleId="IPPSubheadSpaceAfter">
    <w:name w:val="IPP Subhead SpaceAfter"/>
    <w:basedOn w:val="IPPSubhead"/>
    <w:qFormat/>
    <w:pPr>
      <w:spacing w:after="60"/>
    </w:pPr>
  </w:style>
  <w:style w:type="paragraph" w:customStyle="1" w:styleId="IPPArialFootnote">
    <w:name w:val="IPP Arial Footnote"/>
    <w:basedOn w:val="IPPArialTable"/>
    <w:qFormat/>
    <w:pPr>
      <w:tabs>
        <w:tab w:val="left" w:pos="567"/>
      </w:tabs>
      <w:ind w:left="567" w:hanging="567"/>
    </w:pPr>
    <w:rPr>
      <w:sz w:val="16"/>
    </w:rPr>
  </w:style>
  <w:style w:type="paragraph" w:customStyle="1" w:styleId="IPPContentsHead">
    <w:name w:val="IPP ContentsHead"/>
    <w:basedOn w:val="IPPSubhead"/>
    <w:next w:val="IPPNormal"/>
    <w:qFormat/>
    <w:pPr>
      <w:spacing w:after="240"/>
    </w:pPr>
    <w:rPr>
      <w:sz w:val="24"/>
    </w:rPr>
  </w:style>
  <w:style w:type="paragraph" w:customStyle="1" w:styleId="IPPNumberedListArial">
    <w:name w:val="IPP NumberedListArial"/>
    <w:basedOn w:val="IPPNumberedList"/>
    <w:qFormat/>
    <w:pPr>
      <w:numPr>
        <w:numId w:val="45"/>
      </w:numPr>
      <w:tabs>
        <w:tab w:val="num" w:pos="567"/>
      </w:tabs>
      <w:ind w:left="567" w:hanging="567"/>
    </w:pPr>
    <w:rPr>
      <w:rFonts w:ascii="Arial" w:hAnsi="Arial"/>
    </w:rPr>
  </w:style>
  <w:style w:type="paragraph" w:customStyle="1" w:styleId="IPPIndentClose">
    <w:name w:val="IPP Indent Close"/>
    <w:basedOn w:val="IPPNormal"/>
    <w:qFormat/>
    <w:pPr>
      <w:numPr>
        <w:numId w:val="46"/>
      </w:numPr>
      <w:tabs>
        <w:tab w:val="left" w:pos="2835"/>
      </w:tabs>
      <w:spacing w:after="60"/>
      <w:ind w:left="567" w:firstLine="0"/>
    </w:pPr>
  </w:style>
  <w:style w:type="paragraph" w:customStyle="1" w:styleId="IPPHdg2Num">
    <w:name w:val="IPP Hdg2Num"/>
    <w:basedOn w:val="IPPNormal"/>
    <w:next w:val="IPPNormal"/>
    <w:qFormat/>
    <w:pPr>
      <w:keepNext/>
      <w:tabs>
        <w:tab w:val="left" w:pos="567"/>
        <w:tab w:val="num" w:pos="680"/>
      </w:tabs>
      <w:spacing w:before="120" w:after="120"/>
      <w:ind w:left="680" w:hanging="680"/>
      <w:outlineLvl w:val="2"/>
    </w:pPr>
    <w:rPr>
      <w:b/>
      <w:sz w:val="24"/>
    </w:rPr>
  </w:style>
  <w:style w:type="character" w:customStyle="1" w:styleId="FollowedHyperlink1">
    <w:name w:val="FollowedHyperlink1"/>
    <w:rPr>
      <w:color w:val="800080"/>
      <w:u w:val="single"/>
    </w:rPr>
  </w:style>
  <w:style w:type="character" w:customStyle="1" w:styleId="txt">
    <w:name w:val="txt"/>
    <w:basedOn w:val="DefaultParagraphFont"/>
  </w:style>
  <w:style w:type="character" w:customStyle="1" w:styleId="highlight">
    <w:name w:val="highlight"/>
    <w:rPr>
      <w:rFonts w:cs="Times New Roman"/>
    </w:rPr>
  </w:style>
  <w:style w:type="paragraph" w:styleId="HTMLPreformatted">
    <w:name w:val="HTML Preformatted"/>
    <w:basedOn w:val="Normal"/>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i/>
      <w:color w:val="auto"/>
      <w:sz w:val="20"/>
    </w:rPr>
  </w:style>
  <w:style w:type="character" w:customStyle="1" w:styleId="txtboldonly">
    <w:name w:val="txtboldonly"/>
    <w:basedOn w:val="DefaultParagraphFont"/>
  </w:style>
  <w:style w:type="paragraph" w:styleId="BodyTextFirstIndent2">
    <w:name w:val="Body Text First Indent 2"/>
    <w:basedOn w:val="BodyTextIndent"/>
    <w:semiHidden/>
    <w:pPr>
      <w:spacing w:after="120" w:line="240" w:lineRule="auto"/>
      <w:ind w:left="283" w:firstLine="210"/>
    </w:pPr>
    <w:rPr>
      <w:i/>
      <w:color w:val="auto"/>
      <w:sz w:val="24"/>
      <w:lang w:val="en-US"/>
    </w:rPr>
  </w:style>
  <w:style w:type="character" w:customStyle="1" w:styleId="pagination">
    <w:name w:val="pagination"/>
    <w:basedOn w:val="DefaultParagraphFont"/>
  </w:style>
  <w:style w:type="character" w:customStyle="1" w:styleId="CarCar5">
    <w:name w:val="Car Car5"/>
    <w:rPr>
      <w:rFonts w:cs="Consolas"/>
      <w:noProof w:val="0"/>
      <w:szCs w:val="24"/>
      <w:u w:val="single"/>
      <w:lang w:val="en-US" w:eastAsia="ja-JP" w:bidi="he-IL"/>
    </w:rPr>
  </w:style>
  <w:style w:type="character" w:customStyle="1" w:styleId="CarCar4">
    <w:name w:val="Car Car4"/>
    <w:rPr>
      <w:rFonts w:eastAsia="MS Mincho" w:cs="Arial"/>
      <w:b/>
      <w:bCs/>
      <w:iCs/>
      <w:noProof w:val="0"/>
      <w:kern w:val="32"/>
      <w:sz w:val="24"/>
      <w:szCs w:val="24"/>
      <w:lang w:val="en-US" w:eastAsia="ja-JP" w:bidi="ar-SA"/>
    </w:rPr>
  </w:style>
  <w:style w:type="character" w:customStyle="1" w:styleId="CarCar3">
    <w:name w:val="Car Car3"/>
    <w:locked/>
    <w:rPr>
      <w:rFonts w:eastAsia="MS Mincho" w:cs="Arial"/>
      <w:b/>
      <w:bCs/>
      <w:i/>
      <w:iCs/>
      <w:noProof w:val="0"/>
      <w:kern w:val="32"/>
      <w:sz w:val="24"/>
      <w:szCs w:val="26"/>
      <w:lang w:val="it-IT" w:eastAsia="ja-JP" w:bidi="ar-SA"/>
    </w:rPr>
  </w:style>
  <w:style w:type="paragraph" w:customStyle="1" w:styleId="CM7">
    <w:name w:val="CM7"/>
    <w:basedOn w:val="Normal"/>
    <w:next w:val="Normal"/>
    <w:pPr>
      <w:autoSpaceDE w:val="0"/>
      <w:autoSpaceDN w:val="0"/>
      <w:adjustRightInd w:val="0"/>
      <w:spacing w:after="0" w:line="198" w:lineRule="atLeast"/>
    </w:pPr>
    <w:rPr>
      <w:rFonts w:ascii="OJFKL G+ Melior" w:eastAsia="Calibri" w:hAnsi="OJFKL G+ Melior"/>
      <w:i/>
      <w:color w:val="auto"/>
      <w:sz w:val="18"/>
      <w:lang w:val="fr-FR"/>
    </w:rPr>
  </w:style>
  <w:style w:type="paragraph" w:customStyle="1" w:styleId="mainheader">
    <w:name w:val="mainheader"/>
    <w:basedOn w:val="Normal"/>
    <w:pPr>
      <w:spacing w:before="100" w:after="100"/>
    </w:pPr>
    <w:rPr>
      <w:rFonts w:eastAsia="MS Mincho"/>
      <w:i/>
      <w:color w:val="auto"/>
      <w:sz w:val="18"/>
      <w:lang w:val="fr-FR" w:eastAsia="ja-JP"/>
    </w:rPr>
  </w:style>
  <w:style w:type="character" w:customStyle="1" w:styleId="surname">
    <w:name w:val="surname"/>
    <w:basedOn w:val="DefaultParagraphFont"/>
  </w:style>
  <w:style w:type="character" w:customStyle="1" w:styleId="CarCar0">
    <w:name w:val="Car Car"/>
    <w:locked/>
    <w:rPr>
      <w:rFonts w:eastAsia="MS Mincho"/>
      <w:noProof w:val="0"/>
      <w:sz w:val="24"/>
      <w:szCs w:val="24"/>
      <w:lang w:val="fr-FR" w:eastAsia="ja-JP" w:bidi="ar-SA"/>
    </w:rPr>
  </w:style>
  <w:style w:type="character" w:customStyle="1" w:styleId="name0">
    <w:name w:val="name"/>
    <w:basedOn w:val="DefaultParagraphFont"/>
  </w:style>
  <w:style w:type="character" w:customStyle="1" w:styleId="forenames">
    <w:name w:val="forenames"/>
    <w:basedOn w:val="DefaultParagraphFont"/>
  </w:style>
  <w:style w:type="character" w:customStyle="1" w:styleId="txtsmall">
    <w:name w:val="txtsmall"/>
    <w:basedOn w:val="DefaultParagraphFont"/>
  </w:style>
  <w:style w:type="character" w:customStyle="1" w:styleId="mw-formatted-date">
    <w:name w:val="mw-formatted-date"/>
    <w:basedOn w:val="DefaultParagraphFont"/>
  </w:style>
  <w:style w:type="paragraph" w:customStyle="1" w:styleId="MediumGrid1-Accent22">
    <w:name w:val="Medium Grid 1 - Accent 22"/>
    <w:basedOn w:val="Normal"/>
    <w:qFormat/>
    <w:pPr>
      <w:spacing w:after="200" w:line="276" w:lineRule="auto"/>
      <w:ind w:left="720"/>
    </w:pPr>
    <w:rPr>
      <w:rFonts w:ascii="Calibri" w:eastAsia="Calibri" w:hAnsi="Calibri"/>
      <w:i/>
      <w:color w:val="auto"/>
    </w:rPr>
  </w:style>
  <w:style w:type="character" w:customStyle="1" w:styleId="CharChar3">
    <w:name w:val="Char Char3"/>
    <w:rPr>
      <w:sz w:val="22"/>
      <w:szCs w:val="22"/>
    </w:rPr>
  </w:style>
  <w:style w:type="character" w:customStyle="1" w:styleId="fm-citation-ids-label1">
    <w:name w:val="fm-citation-ids-label1"/>
    <w:rPr>
      <w:color w:val="333333"/>
    </w:rPr>
  </w:style>
  <w:style w:type="character" w:customStyle="1" w:styleId="citation-abbreviation2">
    <w:name w:val="citation-abbreviation2"/>
    <w:basedOn w:val="DefaultParagraphFont"/>
  </w:style>
  <w:style w:type="character" w:customStyle="1" w:styleId="citation-publication-date">
    <w:name w:val="citation-publication-date"/>
    <w:basedOn w:val="DefaultParagraphFont"/>
  </w:style>
  <w:style w:type="character" w:customStyle="1" w:styleId="citation-volume">
    <w:name w:val="citation-volume"/>
    <w:basedOn w:val="DefaultParagraphFont"/>
  </w:style>
  <w:style w:type="character" w:customStyle="1" w:styleId="citation-issue">
    <w:name w:val="citation-issue"/>
    <w:basedOn w:val="DefaultParagraphFont"/>
  </w:style>
  <w:style w:type="character" w:customStyle="1" w:styleId="citation-flpages">
    <w:name w:val="citation-flpages"/>
    <w:basedOn w:val="DefaultParagraphFont"/>
  </w:style>
  <w:style w:type="paragraph" w:customStyle="1" w:styleId="citation">
    <w:name w:val="citation"/>
    <w:basedOn w:val="Normal"/>
    <w:pPr>
      <w:spacing w:before="100" w:after="100"/>
    </w:pPr>
    <w:rPr>
      <w:i/>
      <w:color w:val="auto"/>
      <w:sz w:val="18"/>
    </w:rPr>
  </w:style>
  <w:style w:type="paragraph" w:customStyle="1" w:styleId="authlist">
    <w:name w:val="auth_list"/>
    <w:basedOn w:val="Normal"/>
    <w:pPr>
      <w:spacing w:before="100" w:after="100"/>
    </w:pPr>
    <w:rPr>
      <w:i/>
      <w:color w:val="auto"/>
      <w:sz w:val="18"/>
    </w:rPr>
  </w:style>
  <w:style w:type="paragraph" w:customStyle="1" w:styleId="MDthesisHeading2">
    <w:name w:val="MD thesis Heading 2"/>
    <w:basedOn w:val="Heading2"/>
    <w:next w:val="Normal"/>
    <w:autoRedefine/>
    <w:pPr>
      <w:tabs>
        <w:tab w:val="clear" w:pos="720"/>
        <w:tab w:val="left" w:pos="709"/>
      </w:tabs>
      <w:spacing w:before="120" w:after="60" w:line="360" w:lineRule="auto"/>
      <w:ind w:left="709" w:firstLine="720"/>
    </w:pPr>
    <w:rPr>
      <w:b w:val="0"/>
      <w:i/>
      <w:snapToGrid/>
    </w:rPr>
  </w:style>
  <w:style w:type="paragraph" w:customStyle="1" w:styleId="title1">
    <w:name w:val="title1"/>
    <w:basedOn w:val="Normal"/>
    <w:pPr>
      <w:spacing w:after="0"/>
    </w:pPr>
    <w:rPr>
      <w:i/>
      <w:color w:val="auto"/>
      <w:sz w:val="29"/>
    </w:rPr>
  </w:style>
  <w:style w:type="paragraph" w:customStyle="1" w:styleId="rprtbody1">
    <w:name w:val="rprtbody1"/>
    <w:basedOn w:val="Normal"/>
    <w:pPr>
      <w:spacing w:before="34" w:after="34"/>
    </w:pPr>
    <w:rPr>
      <w:i/>
      <w:color w:val="auto"/>
      <w:sz w:val="28"/>
    </w:rPr>
  </w:style>
  <w:style w:type="paragraph" w:customStyle="1" w:styleId="aux1">
    <w:name w:val="aux1"/>
    <w:basedOn w:val="Normal"/>
    <w:pPr>
      <w:spacing w:after="0" w:line="320" w:lineRule="atLeast"/>
    </w:pPr>
    <w:rPr>
      <w:i/>
      <w:color w:val="auto"/>
      <w:sz w:val="18"/>
    </w:rPr>
  </w:style>
  <w:style w:type="character" w:customStyle="1" w:styleId="src1">
    <w:name w:val="src1"/>
    <w:rPr>
      <w:vanish w:val="0"/>
      <w:webHidden w:val="0"/>
      <w:specVanish w:val="0"/>
    </w:rPr>
  </w:style>
  <w:style w:type="character" w:customStyle="1" w:styleId="jrnl">
    <w:name w:val="jrnl"/>
    <w:basedOn w:val="DefaultParagraphFont"/>
  </w:style>
  <w:style w:type="character" w:customStyle="1" w:styleId="prevauthlinks1">
    <w:name w:val="prevauthlinks1"/>
    <w:rPr>
      <w:color w:val="C0C0C0"/>
      <w:u w:val="single"/>
    </w:rPr>
  </w:style>
  <w:style w:type="character" w:customStyle="1" w:styleId="nbapihighlight">
    <w:name w:val="nbapihighlight"/>
    <w:basedOn w:val="DefaultParagraphFont"/>
  </w:style>
  <w:style w:type="character" w:customStyle="1" w:styleId="bf">
    <w:name w:val="bf"/>
    <w:basedOn w:val="DefaultParagraphFont"/>
  </w:style>
  <w:style w:type="character" w:customStyle="1" w:styleId="it">
    <w:name w:val="it"/>
    <w:basedOn w:val="DefaultParagraphFont"/>
  </w:style>
  <w:style w:type="paragraph" w:customStyle="1" w:styleId="ptdocpara">
    <w:name w:val="ptdocpara"/>
    <w:basedOn w:val="Normal"/>
    <w:pPr>
      <w:spacing w:before="100" w:after="100"/>
    </w:pPr>
    <w:rPr>
      <w:i/>
      <w:color w:val="auto"/>
      <w:sz w:val="18"/>
    </w:rPr>
  </w:style>
  <w:style w:type="character" w:customStyle="1" w:styleId="ptdocpublication">
    <w:name w:val="ptdocpublication"/>
    <w:basedOn w:val="DefaultParagraphFont"/>
  </w:style>
  <w:style w:type="character" w:customStyle="1" w:styleId="ptdocissuevolume">
    <w:name w:val="ptdocissuevolume"/>
    <w:basedOn w:val="DefaultParagraphFont"/>
  </w:style>
  <w:style w:type="character" w:customStyle="1" w:styleId="ptdocissuedate">
    <w:name w:val="ptdocissuedate"/>
    <w:basedOn w:val="DefaultParagraphFont"/>
  </w:style>
  <w:style w:type="character" w:customStyle="1" w:styleId="ptdocissuepage">
    <w:name w:val="ptdocissuepage"/>
    <w:basedOn w:val="DefaultParagraphFont"/>
  </w:style>
  <w:style w:type="paragraph" w:customStyle="1" w:styleId="Referencetext121">
    <w:name w:val="סגנון Reference text + ‏12 נק מודגש1"/>
    <w:basedOn w:val="Normal"/>
    <w:autoRedefine/>
    <w:pPr>
      <w:spacing w:after="0" w:line="480" w:lineRule="auto"/>
      <w:jc w:val="both"/>
    </w:pPr>
    <w:rPr>
      <w:i/>
      <w:color w:val="auto"/>
      <w:sz w:val="18"/>
    </w:rPr>
  </w:style>
  <w:style w:type="paragraph" w:customStyle="1" w:styleId="10">
    <w:name w:val="סגנון כותרת 1 +"/>
    <w:basedOn w:val="Heading1"/>
    <w:pPr>
      <w:spacing w:before="240" w:after="60"/>
    </w:pPr>
    <w:rPr>
      <w:rFonts w:ascii="Arial" w:hAnsi="Arial"/>
      <w:i/>
      <w:color w:val="auto"/>
      <w:kern w:val="32"/>
      <w:sz w:val="32"/>
    </w:rPr>
  </w:style>
  <w:style w:type="paragraph" w:customStyle="1" w:styleId="14">
    <w:name w:val="אותיות גדולות 14"/>
    <w:basedOn w:val="10"/>
    <w:rPr>
      <w:b/>
    </w:rPr>
  </w:style>
  <w:style w:type="paragraph" w:customStyle="1" w:styleId="a3">
    <w:name w:val="טקסט מרכזי"/>
    <w:basedOn w:val="Normal"/>
    <w:pPr>
      <w:spacing w:after="0" w:line="480" w:lineRule="auto"/>
      <w:jc w:val="both"/>
    </w:pPr>
    <w:rPr>
      <w:rFonts w:ascii="Arial" w:hAnsi="Arial"/>
      <w:i/>
      <w:color w:val="auto"/>
      <w:sz w:val="18"/>
    </w:rPr>
  </w:style>
  <w:style w:type="character" w:customStyle="1" w:styleId="search1">
    <w:name w:val="search1"/>
    <w:rPr>
      <w:color w:val="228622"/>
    </w:rPr>
  </w:style>
  <w:style w:type="character" w:customStyle="1" w:styleId="style221">
    <w:name w:val="style221"/>
    <w:rPr>
      <w:color w:val="006633"/>
    </w:rPr>
  </w:style>
  <w:style w:type="character" w:customStyle="1" w:styleId="medium-normal1">
    <w:name w:val="medium-normal1"/>
    <w:rPr>
      <w:rFonts w:ascii="Arial" w:hAnsi="Arial" w:cs="Arial" w:hint="default"/>
      <w:b w:val="0"/>
      <w:bCs w:val="0"/>
      <w:i w:val="0"/>
      <w:iCs w:val="0"/>
      <w:sz w:val="20"/>
      <w:szCs w:val="20"/>
    </w:rPr>
  </w:style>
  <w:style w:type="character" w:styleId="HTMLVariable">
    <w:name w:val="HTML Variable"/>
    <w:rPr>
      <w:rFonts w:ascii="Verdana" w:hAnsi="Verdana" w:hint="default"/>
      <w:i w:val="0"/>
      <w:iCs w:val="0"/>
      <w:color w:val="000000"/>
      <w:sz w:val="20"/>
      <w:szCs w:val="20"/>
    </w:rPr>
  </w:style>
  <w:style w:type="paragraph" w:customStyle="1" w:styleId="last">
    <w:name w:val="last"/>
    <w:basedOn w:val="Normal"/>
    <w:pPr>
      <w:spacing w:before="100" w:after="100"/>
    </w:pPr>
    <w:rPr>
      <w:rFonts w:eastAsia="Calibri"/>
      <w:i/>
      <w:color w:val="auto"/>
      <w:sz w:val="18"/>
    </w:rPr>
  </w:style>
  <w:style w:type="paragraph" w:customStyle="1" w:styleId="firstlast">
    <w:name w:val="first last"/>
    <w:basedOn w:val="Normal"/>
    <w:pPr>
      <w:spacing w:before="100" w:after="100"/>
    </w:pPr>
    <w:rPr>
      <w:rFonts w:eastAsia="Calibri"/>
      <w:i/>
      <w:color w:val="auto"/>
      <w:sz w:val="18"/>
    </w:rPr>
  </w:style>
  <w:style w:type="character" w:customStyle="1" w:styleId="databold1">
    <w:name w:val="data_bold1"/>
    <w:rPr>
      <w:b/>
      <w:bCs/>
    </w:rPr>
  </w:style>
  <w:style w:type="paragraph" w:customStyle="1" w:styleId="normaltext">
    <w:name w:val="normaltext"/>
    <w:basedOn w:val="Normal"/>
    <w:pPr>
      <w:spacing w:before="120" w:after="60"/>
    </w:pPr>
    <w:rPr>
      <w:rFonts w:ascii="Arial" w:hAnsi="Arial"/>
      <w:i/>
      <w:sz w:val="20"/>
    </w:rPr>
  </w:style>
  <w:style w:type="paragraph" w:customStyle="1" w:styleId="heading10">
    <w:name w:val="heading1"/>
    <w:basedOn w:val="Normal"/>
    <w:next w:val="Normal"/>
    <w:pPr>
      <w:keepNext/>
      <w:keepLines/>
      <w:tabs>
        <w:tab w:val="left" w:pos="454"/>
      </w:tabs>
      <w:suppressAutoHyphens/>
      <w:overflowPunct w:val="0"/>
      <w:autoSpaceDE w:val="0"/>
      <w:autoSpaceDN w:val="0"/>
      <w:adjustRightInd w:val="0"/>
      <w:spacing w:before="600" w:after="320" w:line="240" w:lineRule="atLeast"/>
      <w:textAlignment w:val="baseline"/>
    </w:pPr>
    <w:rPr>
      <w:rFonts w:ascii="Times" w:hAnsi="Times"/>
      <w:b/>
      <w:i/>
      <w:color w:val="auto"/>
      <w:sz w:val="18"/>
    </w:rPr>
  </w:style>
  <w:style w:type="character" w:customStyle="1" w:styleId="heading1Carattere">
    <w:name w:val="heading1 Carattere"/>
    <w:rPr>
      <w:rFonts w:ascii="Times" w:hAnsi="Times"/>
      <w:b/>
      <w:noProof w:val="0"/>
      <w:sz w:val="24"/>
      <w:lang w:val="en-US" w:eastAsia="de-DE" w:bidi="ar-SA"/>
    </w:rPr>
  </w:style>
  <w:style w:type="paragraph" w:customStyle="1" w:styleId="literaturelist">
    <w:name w:val="literature list"/>
    <w:basedOn w:val="Normal"/>
    <w:pPr>
      <w:tabs>
        <w:tab w:val="num" w:pos="720"/>
        <w:tab w:val="left" w:pos="5760"/>
      </w:tabs>
      <w:spacing w:after="0" w:line="480" w:lineRule="auto"/>
      <w:ind w:left="720" w:right="170" w:hanging="360"/>
      <w:jc w:val="both"/>
      <w:outlineLvl w:val="0"/>
    </w:pPr>
    <w:rPr>
      <w:i/>
      <w:noProof/>
      <w:color w:val="auto"/>
      <w:sz w:val="18"/>
    </w:rPr>
  </w:style>
  <w:style w:type="character" w:customStyle="1" w:styleId="body1">
    <w:name w:val="body1"/>
    <w:rPr>
      <w:rFonts w:ascii="Verdana" w:hAnsi="Verdana" w:hint="default"/>
      <w:sz w:val="20"/>
      <w:szCs w:val="20"/>
    </w:rPr>
  </w:style>
  <w:style w:type="character" w:customStyle="1" w:styleId="bodybold1">
    <w:name w:val="bodybold1"/>
    <w:rPr>
      <w:rFonts w:ascii="Verdana" w:hAnsi="Verdana" w:hint="default"/>
      <w:b/>
      <w:bCs/>
      <w:sz w:val="20"/>
      <w:szCs w:val="20"/>
    </w:rPr>
  </w:style>
  <w:style w:type="paragraph" w:customStyle="1" w:styleId="CM1">
    <w:name w:val="CM1"/>
    <w:basedOn w:val="Default"/>
    <w:next w:val="Default"/>
    <w:pPr>
      <w:widowControl w:val="0"/>
    </w:pPr>
    <w:rPr>
      <w:color w:val="auto"/>
    </w:rPr>
  </w:style>
  <w:style w:type="paragraph" w:customStyle="1" w:styleId="CM2">
    <w:name w:val="CM2"/>
    <w:basedOn w:val="Default"/>
    <w:next w:val="Default"/>
    <w:pPr>
      <w:widowControl w:val="0"/>
      <w:spacing w:line="553" w:lineRule="atLeast"/>
    </w:pPr>
    <w:rPr>
      <w:color w:val="auto"/>
    </w:rPr>
  </w:style>
  <w:style w:type="paragraph" w:customStyle="1" w:styleId="CM27">
    <w:name w:val="CM27"/>
    <w:basedOn w:val="Default"/>
    <w:next w:val="Default"/>
    <w:pPr>
      <w:widowControl w:val="0"/>
      <w:spacing w:after="78"/>
    </w:pPr>
    <w:rPr>
      <w:color w:val="auto"/>
    </w:rPr>
  </w:style>
  <w:style w:type="paragraph" w:customStyle="1" w:styleId="CM3">
    <w:name w:val="CM3"/>
    <w:basedOn w:val="Default"/>
    <w:next w:val="Default"/>
    <w:pPr>
      <w:widowControl w:val="0"/>
      <w:numPr>
        <w:numId w:val="32"/>
      </w:numPr>
      <w:tabs>
        <w:tab w:val="clear" w:pos="720"/>
        <w:tab w:val="num" w:pos="680"/>
      </w:tabs>
      <w:spacing w:line="551" w:lineRule="atLeast"/>
      <w:ind w:left="0" w:firstLine="0"/>
    </w:pPr>
    <w:rPr>
      <w:color w:val="auto"/>
    </w:rPr>
  </w:style>
  <w:style w:type="paragraph" w:customStyle="1" w:styleId="CM28">
    <w:name w:val="CM28"/>
    <w:basedOn w:val="Default"/>
    <w:next w:val="Default"/>
    <w:pPr>
      <w:widowControl w:val="0"/>
      <w:spacing w:after="412"/>
    </w:pPr>
    <w:rPr>
      <w:color w:val="auto"/>
    </w:rPr>
  </w:style>
  <w:style w:type="paragraph" w:customStyle="1" w:styleId="CM30">
    <w:name w:val="CM30"/>
    <w:basedOn w:val="Default"/>
    <w:next w:val="Default"/>
    <w:pPr>
      <w:widowControl w:val="0"/>
      <w:spacing w:after="75"/>
    </w:pPr>
    <w:rPr>
      <w:color w:val="auto"/>
    </w:rPr>
  </w:style>
  <w:style w:type="paragraph" w:customStyle="1" w:styleId="CM10">
    <w:name w:val="CM10"/>
    <w:basedOn w:val="Default"/>
    <w:next w:val="Default"/>
    <w:pPr>
      <w:widowControl w:val="0"/>
      <w:spacing w:line="556" w:lineRule="atLeast"/>
    </w:pPr>
    <w:rPr>
      <w:color w:val="auto"/>
    </w:rPr>
  </w:style>
  <w:style w:type="paragraph" w:customStyle="1" w:styleId="CM32">
    <w:name w:val="CM32"/>
    <w:basedOn w:val="Default"/>
    <w:next w:val="Default"/>
    <w:pPr>
      <w:widowControl w:val="0"/>
      <w:spacing w:after="725"/>
    </w:pPr>
    <w:rPr>
      <w:color w:val="auto"/>
    </w:rPr>
  </w:style>
  <w:style w:type="paragraph" w:customStyle="1" w:styleId="CM33">
    <w:name w:val="CM33"/>
    <w:basedOn w:val="Default"/>
    <w:next w:val="Default"/>
    <w:pPr>
      <w:widowControl w:val="0"/>
      <w:numPr>
        <w:numId w:val="47"/>
      </w:numPr>
      <w:spacing w:after="538"/>
      <w:ind w:left="0" w:firstLine="0"/>
    </w:pPr>
    <w:rPr>
      <w:color w:val="auto"/>
    </w:rPr>
  </w:style>
  <w:style w:type="paragraph" w:customStyle="1" w:styleId="CM16">
    <w:name w:val="CM16"/>
    <w:basedOn w:val="Default"/>
    <w:next w:val="Default"/>
    <w:pPr>
      <w:widowControl w:val="0"/>
      <w:spacing w:line="553" w:lineRule="atLeast"/>
    </w:pPr>
    <w:rPr>
      <w:color w:val="auto"/>
    </w:rPr>
  </w:style>
  <w:style w:type="paragraph" w:customStyle="1" w:styleId="CM19">
    <w:name w:val="CM19"/>
    <w:basedOn w:val="Default"/>
    <w:next w:val="Default"/>
    <w:pPr>
      <w:widowControl w:val="0"/>
      <w:spacing w:line="268" w:lineRule="atLeast"/>
    </w:pPr>
    <w:rPr>
      <w:color w:val="auto"/>
    </w:rPr>
  </w:style>
  <w:style w:type="character" w:customStyle="1" w:styleId="ZchnZchn16">
    <w:name w:val="Zchn Zchn16"/>
    <w:rPr>
      <w:rFonts w:ascii="Arial" w:hAnsi="Arial" w:cs="Arial"/>
      <w:b/>
      <w:bCs/>
      <w:noProof w:val="0"/>
      <w:kern w:val="32"/>
      <w:sz w:val="32"/>
      <w:szCs w:val="32"/>
      <w:lang w:val="en-US" w:eastAsia="en-US" w:bidi="ar-SA"/>
    </w:rPr>
  </w:style>
  <w:style w:type="character" w:customStyle="1" w:styleId="ZchnZchn1">
    <w:name w:val="Zchn Zchn1"/>
    <w:rPr>
      <w:rFonts w:ascii="Cambria" w:hAnsi="Cambria"/>
      <w:b/>
      <w:bCs/>
      <w:noProof w:val="0"/>
      <w:kern w:val="28"/>
      <w:sz w:val="32"/>
      <w:szCs w:val="32"/>
      <w:lang w:val="ca-ES" w:eastAsia="en-US" w:bidi="ar-SA"/>
    </w:rPr>
  </w:style>
  <w:style w:type="paragraph" w:styleId="NoSpacing">
    <w:name w:val="No Spacing"/>
    <w:uiPriority w:val="1"/>
    <w:qFormat/>
    <w:rPr>
      <w:rFonts w:ascii="Times New Roman" w:hAnsi="Times New Roman"/>
      <w:sz w:val="24"/>
      <w:lang w:val="en-US" w:eastAsia="ko-KR"/>
    </w:rPr>
  </w:style>
  <w:style w:type="character" w:customStyle="1" w:styleId="ZchnZchn">
    <w:name w:val="Zchn Zchn"/>
    <w:rPr>
      <w:rFonts w:ascii="Calibri" w:hAnsi="Calibri"/>
      <w:noProof w:val="0"/>
      <w:lang w:val="ca-ES" w:eastAsia="en-US" w:bidi="ar-SA"/>
    </w:rPr>
  </w:style>
  <w:style w:type="paragraph" w:customStyle="1" w:styleId="references0">
    <w:name w:val="references"/>
    <w:basedOn w:val="Normal"/>
    <w:pPr>
      <w:spacing w:before="60" w:after="60"/>
      <w:ind w:left="1134" w:hanging="1134"/>
      <w:jc w:val="both"/>
    </w:pPr>
    <w:rPr>
      <w:rFonts w:ascii="Garamond" w:hAnsi="Garamond"/>
      <w:i/>
      <w:color w:val="auto"/>
      <w:sz w:val="20"/>
    </w:rPr>
  </w:style>
  <w:style w:type="paragraph" w:customStyle="1" w:styleId="refs">
    <w:name w:val="refs"/>
    <w:basedOn w:val="Normal"/>
    <w:pPr>
      <w:spacing w:before="100" w:after="100"/>
    </w:pPr>
    <w:rPr>
      <w:i/>
      <w:color w:val="auto"/>
      <w:sz w:val="18"/>
    </w:rPr>
  </w:style>
  <w:style w:type="character" w:customStyle="1" w:styleId="ital">
    <w:name w:val="ital"/>
    <w:basedOn w:val="DefaultParagraphFont"/>
  </w:style>
  <w:style w:type="paragraph" w:customStyle="1" w:styleId="Literaturverzeichnis">
    <w:name w:val="Literaturverzeichnis"/>
    <w:basedOn w:val="Normal"/>
    <w:next w:val="Normal"/>
    <w:unhideWhenUsed/>
    <w:pPr>
      <w:spacing w:after="200" w:line="276" w:lineRule="auto"/>
    </w:pPr>
    <w:rPr>
      <w:rFonts w:ascii="Calibri" w:hAnsi="Calibri"/>
      <w:i/>
      <w:color w:val="auto"/>
      <w:lang w:val="de-DE"/>
    </w:rPr>
  </w:style>
  <w:style w:type="character" w:customStyle="1" w:styleId="databold">
    <w:name w:val="data_bold"/>
    <w:basedOn w:val="DefaultParagraphFont"/>
  </w:style>
  <w:style w:type="character" w:customStyle="1" w:styleId="cmpparsedlocationcmpparsedstyle">
    <w:name w:val="cmp_parsed_location cmp_parsed_style"/>
    <w:basedOn w:val="DefaultParagraphFont"/>
  </w:style>
  <w:style w:type="paragraph" w:customStyle="1" w:styleId="MediumGrid1-Accent21">
    <w:name w:val="Medium Grid 1 - Accent 21"/>
    <w:basedOn w:val="Normal"/>
    <w:qFormat/>
    <w:pPr>
      <w:spacing w:after="200" w:line="276" w:lineRule="auto"/>
      <w:ind w:left="720"/>
    </w:pPr>
    <w:rPr>
      <w:rFonts w:ascii="Calibri" w:eastAsia="Calibri" w:hAnsi="Calibri"/>
      <w:b/>
      <w:i/>
      <w:color w:val="auto"/>
    </w:rPr>
  </w:style>
  <w:style w:type="paragraph" w:customStyle="1" w:styleId="ReferencesNIPIndia">
    <w:name w:val="References NIP India"/>
    <w:basedOn w:val="Normal"/>
    <w:qFormat/>
    <w:pPr>
      <w:spacing w:before="20" w:after="20"/>
      <w:ind w:left="709" w:right="720" w:hanging="709"/>
    </w:pPr>
    <w:rPr>
      <w:b/>
      <w:i/>
      <w:color w:val="auto"/>
      <w:sz w:val="18"/>
      <w:lang w:val="en-CA"/>
    </w:rPr>
  </w:style>
  <w:style w:type="character" w:customStyle="1" w:styleId="FootnoteTextChar">
    <w:name w:val="Footnote Text Char"/>
    <w:aliases w:val="Geneva 9 Char,Font: Geneva 9 Char,Boston 10 Char,f Char"/>
    <w:uiPriority w:val="99"/>
    <w:rPr>
      <w:sz w:val="20"/>
      <w:szCs w:val="20"/>
    </w:rPr>
  </w:style>
  <w:style w:type="character" w:customStyle="1" w:styleId="BodyTextIndent2Char">
    <w:name w:val="Body Text Indent 2 Char"/>
    <w:basedOn w:val="DefaultParagraphFont"/>
    <w:semiHidden/>
  </w:style>
  <w:style w:type="paragraph" w:customStyle="1" w:styleId="Textedebulles">
    <w:name w:val="Texte de bulles"/>
    <w:basedOn w:val="Normal"/>
    <w:semiHidden/>
    <w:pPr>
      <w:spacing w:before="100" w:after="0"/>
      <w:ind w:right="720"/>
      <w:jc w:val="both"/>
    </w:pPr>
    <w:rPr>
      <w:rFonts w:ascii="Tahoma" w:hAnsi="Tahoma"/>
      <w:color w:val="auto"/>
      <w:sz w:val="16"/>
    </w:rPr>
  </w:style>
  <w:style w:type="character" w:customStyle="1" w:styleId="CarCar2">
    <w:name w:val="Car Car2"/>
    <w:semiHidden/>
    <w:locked/>
    <w:rPr>
      <w:rFonts w:cs="MS Gothic"/>
      <w:noProof w:val="0"/>
      <w:lang w:val="en-US" w:eastAsia="ja-JP" w:bidi="he-IL"/>
    </w:rPr>
  </w:style>
  <w:style w:type="character" w:customStyle="1" w:styleId="CarCar1">
    <w:name w:val="Car Car1"/>
    <w:semiHidden/>
    <w:locked/>
    <w:rPr>
      <w:rFonts w:cs="MS Gothic"/>
      <w:noProof w:val="0"/>
      <w:lang w:val="en-US" w:eastAsia="ja-JP" w:bidi="he-IL"/>
    </w:rPr>
  </w:style>
  <w:style w:type="character" w:customStyle="1" w:styleId="CharChar4">
    <w:name w:val="Char Char4"/>
    <w:semiHidden/>
    <w:rPr>
      <w:sz w:val="22"/>
      <w:szCs w:val="22"/>
    </w:rPr>
  </w:style>
  <w:style w:type="character" w:customStyle="1" w:styleId="ZchnZchn15">
    <w:name w:val="Zchn Zchn15"/>
    <w:semiHidden/>
    <w:rPr>
      <w:rFonts w:ascii="Arial" w:hAnsi="Arial" w:cs="Arial"/>
      <w:b/>
      <w:bCs/>
      <w:i/>
      <w:iCs/>
      <w:noProof w:val="0"/>
      <w:sz w:val="28"/>
      <w:szCs w:val="28"/>
      <w:lang w:val="en-US" w:eastAsia="en-US" w:bidi="ar-SA"/>
    </w:rPr>
  </w:style>
  <w:style w:type="character" w:customStyle="1" w:styleId="ZchnZchn14">
    <w:name w:val="Zchn Zchn14"/>
    <w:semiHidden/>
    <w:rPr>
      <w:rFonts w:ascii="Arial" w:hAnsi="Arial" w:cs="Arial"/>
      <w:b/>
      <w:bCs/>
      <w:noProof w:val="0"/>
      <w:sz w:val="26"/>
      <w:szCs w:val="26"/>
      <w:lang w:val="en-US" w:eastAsia="en-US" w:bidi="ar-SA"/>
    </w:rPr>
  </w:style>
  <w:style w:type="character" w:customStyle="1" w:styleId="ZchnZchn13">
    <w:name w:val="Zchn Zchn13"/>
    <w:semiHidden/>
    <w:rPr>
      <w:rFonts w:ascii="Arial" w:hAnsi="Arial" w:cs="Arial"/>
      <w:b/>
      <w:bCs/>
      <w:noProof w:val="0"/>
      <w:sz w:val="24"/>
      <w:szCs w:val="24"/>
      <w:lang w:val="de-DE" w:eastAsia="de-DE" w:bidi="ar-SA"/>
    </w:rPr>
  </w:style>
  <w:style w:type="character" w:customStyle="1" w:styleId="ZchnZchn12">
    <w:name w:val="Zchn Zchn12"/>
    <w:semiHidden/>
    <w:rPr>
      <w:rFonts w:ascii="Arial" w:hAnsi="Arial" w:cs="Arial"/>
      <w:b/>
      <w:bCs/>
      <w:noProof w:val="0"/>
      <w:sz w:val="24"/>
      <w:szCs w:val="24"/>
      <w:lang w:val="de-DE" w:eastAsia="de-DE" w:bidi="ar-SA"/>
    </w:rPr>
  </w:style>
  <w:style w:type="character" w:customStyle="1" w:styleId="ZchnZchn11">
    <w:name w:val="Zchn Zchn11"/>
    <w:semiHidden/>
    <w:rPr>
      <w:rFonts w:ascii="Arial" w:hAnsi="Arial" w:cs="Arial"/>
      <w:b/>
      <w:bCs/>
      <w:noProof w:val="0"/>
      <w:lang w:val="de-DE" w:eastAsia="de-DE" w:bidi="ar-SA"/>
    </w:rPr>
  </w:style>
  <w:style w:type="character" w:customStyle="1" w:styleId="ZchnZchn10">
    <w:name w:val="Zchn Zchn10"/>
    <w:semiHidden/>
    <w:rPr>
      <w:rFonts w:ascii="Arial" w:hAnsi="Arial" w:cs="Arial"/>
      <w:b/>
      <w:bCs/>
      <w:noProof w:val="0"/>
      <w:sz w:val="28"/>
      <w:szCs w:val="28"/>
      <w:lang w:val="de-DE" w:eastAsia="de-DE" w:bidi="ar-SA"/>
    </w:rPr>
  </w:style>
  <w:style w:type="character" w:customStyle="1" w:styleId="ZchnZchn9">
    <w:name w:val="Zchn Zchn9"/>
    <w:semiHidden/>
    <w:rPr>
      <w:rFonts w:ascii="Arial" w:hAnsi="Arial" w:cs="Arial"/>
      <w:b/>
      <w:bCs/>
      <w:noProof w:val="0"/>
      <w:lang w:val="de-DE" w:eastAsia="de-DE" w:bidi="ar-SA"/>
    </w:rPr>
  </w:style>
  <w:style w:type="character" w:customStyle="1" w:styleId="ZchnZchn8">
    <w:name w:val="Zchn Zchn8"/>
    <w:semiHidden/>
    <w:rPr>
      <w:rFonts w:ascii="Arial" w:hAnsi="Arial" w:cs="Arial"/>
      <w:noProof w:val="0"/>
      <w:sz w:val="24"/>
      <w:szCs w:val="24"/>
      <w:lang w:val="de-DE" w:eastAsia="de-DE" w:bidi="ar-SA"/>
    </w:rPr>
  </w:style>
  <w:style w:type="character" w:customStyle="1" w:styleId="CharCharZchn">
    <w:name w:val="Char Char Zchn"/>
    <w:aliases w:val="Body Text Char Char Char Char Char Zchn,Body Text Char Char Char Char Zchn Zchn"/>
    <w:semiHidden/>
    <w:locked/>
    <w:rPr>
      <w:rFonts w:eastAsia="MS Mincho"/>
      <w:noProof w:val="0"/>
      <w:color w:val="000000"/>
      <w:sz w:val="24"/>
      <w:lang w:val="en-GB" w:eastAsia="zh-CN" w:bidi="ar-SA"/>
    </w:rPr>
  </w:style>
  <w:style w:type="character" w:customStyle="1" w:styleId="ZchnZchn4">
    <w:name w:val="Zchn Zchn4"/>
    <w:semiHidden/>
    <w:rPr>
      <w:noProof w:val="0"/>
      <w:sz w:val="24"/>
      <w:szCs w:val="24"/>
      <w:lang w:val="en-US" w:eastAsia="en-US" w:bidi="ar-SA"/>
    </w:rPr>
  </w:style>
  <w:style w:type="character" w:customStyle="1" w:styleId="ZchnZchn7">
    <w:name w:val="Zchn Zchn7"/>
    <w:semiHidden/>
    <w:rPr>
      <w:noProof w:val="0"/>
      <w:sz w:val="24"/>
      <w:szCs w:val="24"/>
      <w:lang w:val="en-US" w:eastAsia="en-US" w:bidi="ar-SA"/>
    </w:rPr>
  </w:style>
  <w:style w:type="character" w:customStyle="1" w:styleId="ZchnZchn6">
    <w:name w:val="Zchn Zchn6"/>
    <w:semiHidden/>
    <w:rPr>
      <w:rFonts w:ascii="Courier New" w:hAnsi="Courier New" w:cs="MS Gothic"/>
      <w:noProof w:val="0"/>
      <w:lang w:val="de-DE" w:eastAsia="de-DE" w:bidi="ar-SA"/>
    </w:rPr>
  </w:style>
  <w:style w:type="character" w:customStyle="1" w:styleId="ZchnZchn5">
    <w:name w:val="Zchn Zchn5"/>
    <w:semiHidden/>
    <w:rPr>
      <w:rFonts w:ascii="Arial" w:hAnsi="Arial" w:cs="Arial"/>
      <w:noProof w:val="0"/>
      <w:sz w:val="24"/>
      <w:szCs w:val="24"/>
      <w:lang w:val="de-DE" w:eastAsia="de-DE" w:bidi="ar-SA"/>
    </w:rPr>
  </w:style>
  <w:style w:type="character" w:customStyle="1" w:styleId="ZchnZchn3">
    <w:name w:val="Zchn Zchn3"/>
    <w:semiHidden/>
    <w:rPr>
      <w:rFonts w:ascii="Arial" w:hAnsi="Arial" w:cs="Arial"/>
      <w:noProof w:val="0"/>
      <w:sz w:val="24"/>
      <w:szCs w:val="24"/>
      <w:lang w:val="de-DE" w:eastAsia="de-DE" w:bidi="ar-SA"/>
    </w:rPr>
  </w:style>
  <w:style w:type="paragraph" w:customStyle="1" w:styleId="11">
    <w:name w:val="コメント内容1"/>
    <w:basedOn w:val="CommentText"/>
    <w:next w:val="CommentText"/>
    <w:semiHidden/>
    <w:pPr>
      <w:spacing w:after="0"/>
    </w:pPr>
    <w:rPr>
      <w:rFonts w:ascii="Century" w:eastAsia="MS Mincho" w:hAnsi="Century"/>
      <w:b/>
      <w:bCs/>
      <w:kern w:val="2"/>
      <w:sz w:val="24"/>
      <w:szCs w:val="24"/>
      <w:lang w:val="en-US" w:eastAsia="ja-JP"/>
    </w:rPr>
  </w:style>
  <w:style w:type="paragraph" w:customStyle="1" w:styleId="12">
    <w:name w:val="吹き出し1"/>
    <w:basedOn w:val="Normal"/>
    <w:semiHidden/>
    <w:pPr>
      <w:widowControl w:val="0"/>
      <w:spacing w:after="0"/>
      <w:jc w:val="both"/>
    </w:pPr>
    <w:rPr>
      <w:rFonts w:ascii="Arial" w:eastAsia="MS Gothic" w:hAnsi="Arial"/>
      <w:color w:val="auto"/>
      <w:kern w:val="2"/>
      <w:sz w:val="18"/>
      <w:szCs w:val="18"/>
      <w:lang w:val="en-US" w:eastAsia="ja-JP"/>
    </w:rPr>
  </w:style>
  <w:style w:type="paragraph" w:customStyle="1" w:styleId="a4">
    <w:name w:val="批注框文本"/>
    <w:basedOn w:val="Normal"/>
    <w:semiHidden/>
    <w:pPr>
      <w:widowControl w:val="0"/>
      <w:spacing w:after="0"/>
      <w:jc w:val="both"/>
    </w:pPr>
    <w:rPr>
      <w:rFonts w:eastAsia="MS Mincho"/>
      <w:color w:val="auto"/>
      <w:kern w:val="2"/>
      <w:sz w:val="18"/>
      <w:szCs w:val="18"/>
      <w:lang w:val="en-US" w:eastAsia="ja-JP"/>
    </w:rPr>
  </w:style>
  <w:style w:type="paragraph" w:customStyle="1" w:styleId="a5">
    <w:name w:val="批注主题"/>
    <w:basedOn w:val="CommentText"/>
    <w:next w:val="CommentText"/>
    <w:semiHidden/>
    <w:pPr>
      <w:spacing w:after="0"/>
    </w:pPr>
    <w:rPr>
      <w:rFonts w:ascii="Century" w:eastAsia="MS Mincho" w:hAnsi="Century"/>
      <w:b/>
      <w:bCs/>
      <w:kern w:val="2"/>
      <w:sz w:val="24"/>
      <w:szCs w:val="24"/>
      <w:lang w:val="en-US" w:eastAsia="ja-JP"/>
    </w:rPr>
  </w:style>
  <w:style w:type="paragraph" w:customStyle="1" w:styleId="Textodeglobo1">
    <w:name w:val="Texto de globo1"/>
    <w:basedOn w:val="Normal"/>
    <w:semiHidden/>
    <w:pPr>
      <w:widowControl w:val="0"/>
      <w:spacing w:after="0"/>
      <w:jc w:val="both"/>
    </w:pPr>
    <w:rPr>
      <w:rFonts w:ascii="Tahoma" w:eastAsia="MS Mincho" w:hAnsi="Tahoma" w:cs="Times New Roman Bold"/>
      <w:color w:val="auto"/>
      <w:kern w:val="2"/>
      <w:sz w:val="16"/>
      <w:szCs w:val="16"/>
      <w:lang w:val="en-US" w:eastAsia="ja-JP"/>
    </w:rPr>
  </w:style>
  <w:style w:type="paragraph" w:customStyle="1" w:styleId="a7">
    <w:name w:val="スタイル"/>
    <w:pPr>
      <w:widowControl w:val="0"/>
      <w:autoSpaceDE w:val="0"/>
      <w:autoSpaceDN w:val="0"/>
      <w:adjustRightInd w:val="0"/>
    </w:pPr>
    <w:rPr>
      <w:rFonts w:ascii="Times New Roman" w:eastAsia="MS Mincho" w:hAnsi="Times New Roman"/>
      <w:sz w:val="24"/>
      <w:szCs w:val="24"/>
      <w:lang w:val="en-US" w:eastAsia="ja-JP"/>
    </w:rPr>
  </w:style>
  <w:style w:type="paragraph" w:customStyle="1" w:styleId="BodyText10">
    <w:name w:val="Body Text1"/>
    <w:basedOn w:val="Normal"/>
    <w:rPr>
      <w:szCs w:val="24"/>
    </w:rPr>
  </w:style>
  <w:style w:type="paragraph" w:customStyle="1" w:styleId="Tableandfigureheaders">
    <w:name w:val="Table and figure headers"/>
    <w:basedOn w:val="Caption"/>
    <w:autoRedefine/>
    <w:rsid w:val="00DA0F78"/>
    <w:pPr>
      <w:keepNext/>
      <w:spacing w:after="200" w:line="240" w:lineRule="auto"/>
      <w:ind w:left="1417" w:hanging="992"/>
      <w:jc w:val="both"/>
    </w:pPr>
    <w:rPr>
      <w:b/>
      <w:bCs/>
      <w:color w:val="auto"/>
      <w:sz w:val="24"/>
      <w:szCs w:val="24"/>
      <w:lang w:eastAsia="en-US"/>
    </w:rPr>
  </w:style>
  <w:style w:type="paragraph" w:customStyle="1" w:styleId="Tableandfigfooter">
    <w:name w:val="Table and fig footer"/>
    <w:basedOn w:val="Paraindent"/>
    <w:pPr>
      <w:spacing w:before="0" w:after="0"/>
      <w:ind w:left="425" w:right="0"/>
    </w:pPr>
    <w:rPr>
      <w:rFonts w:ascii="Calibri" w:hAnsi="Calibri"/>
      <w:i w:val="0"/>
      <w:noProof/>
      <w:color w:val="auto"/>
      <w:sz w:val="18"/>
      <w:szCs w:val="22"/>
      <w:lang w:eastAsia="en-GB"/>
    </w:rPr>
  </w:style>
  <w:style w:type="character" w:customStyle="1" w:styleId="CharChar20">
    <w:name w:val="Char Char2"/>
    <w:locked/>
    <w:rPr>
      <w:b/>
      <w:bCs w:val="0"/>
      <w:noProof w:val="0"/>
      <w:color w:val="000000"/>
      <w:sz w:val="28"/>
      <w:lang w:val="en-GB" w:eastAsia="zh-CN" w:bidi="ar-SA"/>
    </w:rPr>
  </w:style>
  <w:style w:type="character" w:customStyle="1" w:styleId="CharChar10">
    <w:name w:val="Char Char1"/>
    <w:rPr>
      <w:rFonts w:ascii="Arial" w:hAnsi="Arial" w:cs="Arial" w:hint="default"/>
      <w:noProof w:val="0"/>
      <w:lang w:val="en-GB" w:eastAsia="zh-CN" w:bidi="ar-SA"/>
    </w:rPr>
  </w:style>
  <w:style w:type="character" w:customStyle="1" w:styleId="13">
    <w:name w:val="(文字) (文字)1"/>
    <w:rPr>
      <w:rFonts w:ascii="SimSun" w:eastAsia="SimSun" w:hint="eastAsia"/>
      <w:noProof w:val="0"/>
      <w:sz w:val="24"/>
      <w:szCs w:val="24"/>
      <w:lang w:val="en-US" w:eastAsia="zh-CN" w:bidi="ar-SA"/>
    </w:rPr>
  </w:style>
  <w:style w:type="character" w:customStyle="1" w:styleId="a8">
    <w:name w:val="(文字) (文字)"/>
    <w:rPr>
      <w:rFonts w:ascii="SimSun" w:eastAsia="SimSun" w:hint="eastAsia"/>
      <w:b/>
      <w:bCs/>
      <w:noProof w:val="0"/>
      <w:sz w:val="24"/>
      <w:szCs w:val="24"/>
      <w:lang w:val="en-US" w:eastAsia="en-US" w:bidi="ar-SA"/>
    </w:rPr>
  </w:style>
  <w:style w:type="character" w:customStyle="1" w:styleId="CarCar190">
    <w:name w:val="Car Car19"/>
    <w:locked/>
    <w:rPr>
      <w:rFonts w:ascii="MS Mincho" w:eastAsia="MS Mincho" w:hint="eastAsia"/>
      <w:noProof w:val="0"/>
      <w:color w:val="000000"/>
      <w:sz w:val="24"/>
      <w:szCs w:val="24"/>
      <w:lang w:val="en-GB" w:eastAsia="zh-CN" w:bidi="ar-SA"/>
    </w:rPr>
  </w:style>
  <w:style w:type="character" w:customStyle="1" w:styleId="Heading1Char3">
    <w:name w:val="Heading 1 Char3"/>
    <w:aliases w:val="Para (1) Char2,Heading 1 Char1 Char Char2,Heading 1 Char Char Char Char1,Para (1) Char Char Char Char1,Para (1) Char1 Char Char1,Heading 1 Char1 Char2,Heading 1 Char Char Char2,Para (1) Char Char Char2,Para (1) Char1 Char2"/>
    <w:rsid w:val="00F95F7D"/>
    <w:rPr>
      <w:sz w:val="28"/>
      <w:lang w:eastAsia="en-US"/>
    </w:rPr>
  </w:style>
  <w:style w:type="character" w:customStyle="1" w:styleId="Heading3Char1">
    <w:name w:val="Heading 3 Char1"/>
    <w:aliases w:val="Heading 3 Char1 Char Char,Heading 3 Char Char Char Char,Char Char Char Char Char,Char Char1 Char Char,Heading 3 Char1 Char Char1,Heading 3 Char Char Char Char1,Char Char Char Char Char1,Char Char1 Char Char1,Heading 3 Char1 Char Char11"/>
    <w:rPr>
      <w:b/>
      <w:bCs w:val="0"/>
      <w:i/>
      <w:iCs w:val="0"/>
      <w:noProof w:val="0"/>
      <w:color w:val="000000"/>
      <w:sz w:val="24"/>
      <w:lang w:val="en-GB" w:eastAsia="en-US"/>
    </w:rPr>
  </w:style>
  <w:style w:type="character" w:customStyle="1" w:styleId="Heading4Char1">
    <w:name w:val="Heading 4 Char1"/>
    <w:rPr>
      <w:b/>
      <w:bCs w:val="0"/>
      <w:i/>
      <w:iCs w:val="0"/>
      <w:noProof w:val="0"/>
      <w:snapToGrid w:val="0"/>
      <w:color w:val="000000"/>
      <w:sz w:val="24"/>
      <w:lang w:val="en-GB" w:eastAsia="zh-CN"/>
    </w:rPr>
  </w:style>
  <w:style w:type="character" w:customStyle="1" w:styleId="Heading311ptBoldChar">
    <w:name w:val="Heading 3 + 11 pt Bold Char"/>
    <w:rPr>
      <w:b/>
      <w:sz w:val="24"/>
    </w:rPr>
  </w:style>
  <w:style w:type="character" w:customStyle="1" w:styleId="A20">
    <w:name w:val="A2"/>
    <w:uiPriority w:val="99"/>
    <w:rPr>
      <w:b/>
      <w:bCs w:val="0"/>
      <w:color w:val="000000"/>
      <w:sz w:val="12"/>
    </w:rPr>
  </w:style>
  <w:style w:type="character" w:customStyle="1" w:styleId="StyleHeading4Left0Firstline0Char">
    <w:name w:val="Style Heading 4 + Left:  0&quot; First line:  0&quot; Char"/>
    <w:rPr>
      <w:b/>
      <w:bCs w:val="0"/>
      <w:i/>
      <w:iCs w:val="0"/>
      <w:noProof w:val="0"/>
      <w:snapToGrid w:val="0"/>
      <w:color w:val="000000"/>
      <w:sz w:val="24"/>
      <w:lang w:val="en-GB" w:eastAsia="zh-CN"/>
    </w:rPr>
  </w:style>
  <w:style w:type="character" w:customStyle="1" w:styleId="ECMStableheaderChar">
    <w:name w:val="ECMS table header Char"/>
    <w:rPr>
      <w:b/>
      <w:bCs w:val="0"/>
      <w:noProof w:val="0"/>
      <w:sz w:val="24"/>
      <w:lang w:val="en-GB" w:eastAsia="en-GB"/>
    </w:rPr>
  </w:style>
  <w:style w:type="character" w:customStyle="1" w:styleId="maintext1">
    <w:name w:val="maintext1"/>
    <w:rPr>
      <w:rFonts w:ascii="Verdana" w:hAnsi="Verdana" w:hint="default"/>
      <w:sz w:val="20"/>
    </w:rPr>
  </w:style>
  <w:style w:type="character" w:customStyle="1" w:styleId="CharChar40">
    <w:name w:val="Char Char4"/>
    <w:locked/>
    <w:rPr>
      <w:noProof w:val="0"/>
      <w:sz w:val="24"/>
      <w:lang w:val="en-US" w:eastAsia="en-AU"/>
    </w:rPr>
  </w:style>
  <w:style w:type="character" w:customStyle="1" w:styleId="apple-style-span">
    <w:name w:val="apple-style-span"/>
    <w:rPr>
      <w:rFonts w:ascii="Times New Roman" w:hAnsi="Times New Roman" w:cs="Times New Roman" w:hint="default"/>
    </w:rPr>
  </w:style>
  <w:style w:type="character" w:customStyle="1" w:styleId="CharChar5">
    <w:name w:val="Char Char5"/>
    <w:locked/>
    <w:rPr>
      <w:rFonts w:ascii="Tahoma" w:hAnsi="Tahoma" w:cs="Times New Roman Bold" w:hint="default"/>
      <w:noProof w:val="0"/>
      <w:sz w:val="16"/>
      <w:lang w:val="en-US" w:eastAsia="en-US"/>
    </w:rPr>
  </w:style>
  <w:style w:type="character" w:customStyle="1" w:styleId="apple-converted-space">
    <w:name w:val="apple-converted-space"/>
    <w:rPr>
      <w:rFonts w:ascii="Times New Roman" w:hAnsi="Times New Roman" w:cs="Times New Roman" w:hint="default"/>
    </w:rPr>
  </w:style>
  <w:style w:type="character" w:customStyle="1" w:styleId="CharChar30">
    <w:name w:val="Char Char3"/>
    <w:locked/>
    <w:rPr>
      <w:noProof w:val="0"/>
      <w:color w:val="000000"/>
      <w:sz w:val="24"/>
      <w:lang w:val="en-GB" w:eastAsia="en-US"/>
    </w:rPr>
  </w:style>
  <w:style w:type="paragraph" w:customStyle="1" w:styleId="listparagraphcxspmiddle">
    <w:name w:val="listparagraphcxspmiddle"/>
    <w:basedOn w:val="Normal"/>
    <w:pPr>
      <w:spacing w:before="100" w:after="100"/>
    </w:pPr>
    <w:rPr>
      <w:color w:val="auto"/>
      <w:lang w:val="en-US"/>
    </w:rPr>
  </w:style>
  <w:style w:type="paragraph" w:customStyle="1" w:styleId="StyleBodyText1After6pt">
    <w:name w:val="Style Body Text1 + After:  6 pt"/>
    <w:basedOn w:val="BodyText10"/>
    <w:rPr>
      <w:szCs w:val="20"/>
    </w:rPr>
  </w:style>
  <w:style w:type="character" w:customStyle="1" w:styleId="DocumentMapChar">
    <w:name w:val="Document Map Char"/>
    <w:uiPriority w:val="99"/>
    <w:semiHidden/>
    <w:rPr>
      <w:rFonts w:ascii="Times New Roman" w:hAnsi="Times New Roman" w:cs="Times New Roman"/>
      <w:color w:val="000000"/>
      <w:sz w:val="0"/>
      <w:szCs w:val="0"/>
    </w:rPr>
  </w:style>
  <w:style w:type="character" w:customStyle="1" w:styleId="SubtitleChar">
    <w:name w:val="Subtitle Char"/>
    <w:uiPriority w:val="11"/>
    <w:rPr>
      <w:rFonts w:ascii="Cambria" w:eastAsia="Times New Roman" w:hAnsi="Cambria" w:cs="Times New Roman"/>
      <w:color w:val="000000"/>
      <w:sz w:val="24"/>
      <w:szCs w:val="24"/>
    </w:rPr>
  </w:style>
  <w:style w:type="character" w:customStyle="1" w:styleId="QuoteChar">
    <w:name w:val="Quote Char"/>
    <w:rPr>
      <w:rFonts w:ascii="Times New Roman" w:hAnsi="Times New Roman"/>
      <w:i/>
      <w:iCs/>
      <w:color w:val="000000"/>
      <w:sz w:val="24"/>
      <w:szCs w:val="24"/>
    </w:rPr>
  </w:style>
  <w:style w:type="character" w:customStyle="1" w:styleId="IntenseQuoteChar">
    <w:name w:val="Intense Quote Char"/>
    <w:rPr>
      <w:rFonts w:ascii="Times New Roman" w:hAnsi="Times New Roman"/>
      <w:b/>
      <w:bCs/>
      <w:i/>
      <w:iCs/>
      <w:color w:val="4F81BD"/>
      <w:sz w:val="24"/>
      <w:szCs w:val="24"/>
    </w:rPr>
  </w:style>
  <w:style w:type="character" w:customStyle="1" w:styleId="A00">
    <w:name w:val="A0"/>
    <w:rPr>
      <w:rFonts w:cs="Arial Unicode MS"/>
      <w:color w:val="000000"/>
      <w:sz w:val="22"/>
      <w:szCs w:val="22"/>
    </w:rPr>
  </w:style>
  <w:style w:type="character" w:customStyle="1" w:styleId="HTMLPreformattedChar">
    <w:name w:val="HTML Preformatted Char"/>
    <w:rPr>
      <w:rFonts w:ascii="Courier New" w:eastAsia="Times New Roman" w:hAnsi="Courier New" w:cs="Times"/>
    </w:rPr>
  </w:style>
  <w:style w:type="character" w:customStyle="1" w:styleId="srch-url21">
    <w:name w:val="srch-url21"/>
    <w:rPr>
      <w:color w:val="5E4606"/>
      <w:u w:val="single"/>
    </w:rPr>
  </w:style>
  <w:style w:type="character" w:customStyle="1" w:styleId="Titre2Car">
    <w:name w:val="Titre 2 Car"/>
    <w:aliases w:val="SubPara (a) Car,Heading 2 Char1 Char Car,SubPara (a) Char1 Char Car,Heading 2 Char3 Char Char Car,Heading 2 Char Char2 Char Char Car,Heading 2 Char1 Char Char1 Char Char Car,SubPara (a) Char Char Char1 Char Char Car,Heading 2 C.. Car"/>
    <w:locked/>
    <w:rPr>
      <w:rFonts w:ascii="Cambria" w:hAnsi="Cambria" w:cs="Times New Roman"/>
      <w:b/>
      <w:bCs/>
      <w:i/>
      <w:iCs/>
      <w:noProof w:val="0"/>
      <w:sz w:val="28"/>
      <w:szCs w:val="28"/>
      <w:lang w:val="en-AU" w:eastAsia="en-AU"/>
    </w:rPr>
  </w:style>
  <w:style w:type="character" w:customStyle="1" w:styleId="Titre3Car">
    <w:name w:val="Titre 3 Car"/>
    <w:aliases w:val="Heading 3 Char1 Char Car,Heading 3 Char Char Char Car,Char Char Char Char Car,Char Char1 Char Car,Sec Car"/>
    <w:locked/>
    <w:rPr>
      <w:rFonts w:cs="Times New Roman"/>
      <w:b/>
      <w:i/>
      <w:iCs/>
      <w:noProof w:val="0"/>
      <w:color w:val="000000"/>
      <w:sz w:val="24"/>
      <w:szCs w:val="24"/>
      <w:lang w:val="en-GB" w:eastAsia="en-US"/>
    </w:rPr>
  </w:style>
  <w:style w:type="character" w:customStyle="1" w:styleId="Titre4Car">
    <w:name w:val="Titre 4 Car"/>
    <w:aliases w:val="MainPara Car"/>
    <w:locked/>
    <w:rPr>
      <w:rFonts w:cs="Times New Roman"/>
      <w:bCs/>
      <w:i/>
      <w:noProof w:val="0"/>
      <w:sz w:val="28"/>
      <w:szCs w:val="28"/>
      <w:lang w:val="en-AU" w:eastAsia="en-AU"/>
    </w:rPr>
  </w:style>
  <w:style w:type="character" w:customStyle="1" w:styleId="Titre5Car">
    <w:name w:val="Titre 5 Car"/>
    <w:aliases w:val="Subpara 2 Car"/>
    <w:semiHidden/>
    <w:locked/>
    <w:rPr>
      <w:rFonts w:ascii="Calibri" w:hAnsi="Calibri" w:cs="Arial"/>
      <w:b/>
      <w:bCs/>
      <w:i/>
      <w:iCs/>
      <w:noProof w:val="0"/>
      <w:sz w:val="26"/>
      <w:szCs w:val="26"/>
      <w:lang w:val="en-AU" w:eastAsia="en-AU"/>
    </w:rPr>
  </w:style>
  <w:style w:type="character" w:customStyle="1" w:styleId="Titre6Car">
    <w:name w:val="Titre 6 Car"/>
    <w:semiHidden/>
    <w:locked/>
    <w:rPr>
      <w:rFonts w:ascii="Calibri" w:hAnsi="Calibri" w:cs="Arial"/>
      <w:b/>
      <w:bCs/>
      <w:noProof w:val="0"/>
      <w:lang w:val="en-AU" w:eastAsia="en-AU"/>
    </w:rPr>
  </w:style>
  <w:style w:type="character" w:customStyle="1" w:styleId="Titre7Car">
    <w:name w:val="Titre 7 Car"/>
    <w:aliases w:val="Subpara 4 Car"/>
    <w:semiHidden/>
    <w:locked/>
    <w:rPr>
      <w:rFonts w:ascii="Calibri" w:hAnsi="Calibri" w:cs="Arial"/>
      <w:noProof w:val="0"/>
      <w:sz w:val="24"/>
      <w:szCs w:val="24"/>
      <w:lang w:val="en-AU" w:eastAsia="en-AU"/>
    </w:rPr>
  </w:style>
  <w:style w:type="character" w:customStyle="1" w:styleId="Titre8Car">
    <w:name w:val="Titre 8 Car"/>
    <w:aliases w:val="Subpara 5 Car"/>
    <w:semiHidden/>
    <w:locked/>
    <w:rPr>
      <w:rFonts w:ascii="Calibri" w:hAnsi="Calibri" w:cs="Arial"/>
      <w:i/>
      <w:iCs/>
      <w:noProof w:val="0"/>
      <w:sz w:val="24"/>
      <w:szCs w:val="24"/>
      <w:lang w:val="en-AU" w:eastAsia="en-AU"/>
    </w:rPr>
  </w:style>
  <w:style w:type="character" w:customStyle="1" w:styleId="Titre9Car">
    <w:name w:val="Titre 9 Car"/>
    <w:aliases w:val="Subpara 6 Car"/>
    <w:semiHidden/>
    <w:locked/>
    <w:rPr>
      <w:rFonts w:ascii="Cambria" w:hAnsi="Cambria" w:cs="Times New Roman"/>
      <w:noProof w:val="0"/>
      <w:lang w:val="en-AU" w:eastAsia="en-AU"/>
    </w:rPr>
  </w:style>
  <w:style w:type="character" w:customStyle="1" w:styleId="TextedebullesCar">
    <w:name w:val="Texte de bulles Car"/>
    <w:semiHidden/>
    <w:locked/>
    <w:rPr>
      <w:rFonts w:cs="Times New Roman"/>
      <w:noProof w:val="0"/>
      <w:sz w:val="2"/>
      <w:lang w:val="en-AU" w:eastAsia="en-AU"/>
    </w:rPr>
  </w:style>
  <w:style w:type="character" w:customStyle="1" w:styleId="CorpsdetexteCar">
    <w:name w:val="Corps de texte Car"/>
    <w:aliases w:val="Char Char Car,Body Text Char Char Char Char Char Car,Body Text Char Char Char Char Car"/>
    <w:locked/>
    <w:rPr>
      <w:rFonts w:cs="Times New Roman"/>
      <w:noProof w:val="0"/>
      <w:sz w:val="24"/>
      <w:szCs w:val="24"/>
      <w:lang w:val="en-AU" w:eastAsia="en-AU"/>
    </w:rPr>
  </w:style>
  <w:style w:type="paragraph" w:customStyle="1" w:styleId="PrformatHTML">
    <w:name w:val="Préformaté HTML"/>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MS Mincho" w:hAnsi="Courier New"/>
      <w:color w:val="auto"/>
      <w:sz w:val="20"/>
      <w:lang w:val="en-US"/>
    </w:rPr>
  </w:style>
  <w:style w:type="character" w:customStyle="1" w:styleId="PrformatHTMLCar">
    <w:name w:val="Préformaté HTML Car"/>
    <w:semiHidden/>
    <w:locked/>
    <w:rPr>
      <w:rFonts w:ascii="Courier New" w:hAnsi="Courier New" w:cs="Chicago"/>
      <w:noProof w:val="0"/>
      <w:sz w:val="20"/>
      <w:szCs w:val="20"/>
      <w:lang w:val="en-AU" w:eastAsia="en-AU"/>
    </w:rPr>
  </w:style>
  <w:style w:type="character" w:customStyle="1" w:styleId="RetraitcorpsdetexteCar">
    <w:name w:val="Retrait corps de texte Car"/>
    <w:semiHidden/>
    <w:locked/>
    <w:rPr>
      <w:rFonts w:cs="Times New Roman"/>
      <w:noProof w:val="0"/>
      <w:sz w:val="24"/>
      <w:szCs w:val="24"/>
      <w:lang w:val="en-AU" w:eastAsia="en-AU"/>
    </w:rPr>
  </w:style>
  <w:style w:type="character" w:customStyle="1" w:styleId="Retraitcorpset1religCar">
    <w:name w:val="Retrait corps et 1re lig. Car"/>
    <w:basedOn w:val="RetraitcorpsdetexteCar"/>
    <w:semiHidden/>
    <w:locked/>
    <w:rPr>
      <w:rFonts w:cs="Times New Roman"/>
      <w:noProof w:val="0"/>
      <w:sz w:val="24"/>
      <w:szCs w:val="24"/>
      <w:lang w:val="en-AU" w:eastAsia="en-AU"/>
    </w:rPr>
  </w:style>
  <w:style w:type="character" w:customStyle="1" w:styleId="CommentaireCar">
    <w:name w:val="Commentaire Car"/>
    <w:locked/>
    <w:rPr>
      <w:rFonts w:eastAsia="Times New Roman"/>
      <w:noProof w:val="0"/>
      <w:lang w:val="en-AU" w:eastAsia="en-AU"/>
    </w:rPr>
  </w:style>
  <w:style w:type="paragraph" w:customStyle="1" w:styleId="Objetducommentaire">
    <w:name w:val="Objet du commentaire"/>
    <w:basedOn w:val="CommentText"/>
    <w:next w:val="CommentText"/>
    <w:semiHidden/>
    <w:pPr>
      <w:widowControl/>
      <w:spacing w:after="0"/>
    </w:pPr>
    <w:rPr>
      <w:rFonts w:ascii="Times New Roman" w:hAnsi="Times New Roman"/>
      <w:b/>
      <w:lang w:val="en-AU"/>
    </w:rPr>
  </w:style>
  <w:style w:type="character" w:customStyle="1" w:styleId="ObjetducommentaireCar">
    <w:name w:val="Objet du commentaire Car"/>
    <w:locked/>
    <w:rPr>
      <w:rFonts w:eastAsia="Times New Roman" w:cs="Times New Roman"/>
      <w:b/>
      <w:noProof w:val="0"/>
      <w:lang w:val="en-AU" w:eastAsia="en-AU"/>
    </w:rPr>
  </w:style>
  <w:style w:type="paragraph" w:customStyle="1" w:styleId="En-ttedetabledesmatires">
    <w:name w:val="En-tête de table des matières"/>
    <w:basedOn w:val="Heading1"/>
    <w:next w:val="Normal"/>
    <w:qFormat/>
    <w:pPr>
      <w:keepLines/>
      <w:spacing w:before="480" w:after="0" w:line="276" w:lineRule="auto"/>
      <w:ind w:left="0" w:firstLine="0"/>
      <w:outlineLvl w:val="9"/>
    </w:pPr>
    <w:rPr>
      <w:rFonts w:ascii="Cambria" w:eastAsia="MS Mincho" w:hAnsi="Cambria"/>
      <w:color w:val="808080"/>
      <w:lang w:val="fr-FR"/>
    </w:rPr>
  </w:style>
  <w:style w:type="paragraph" w:customStyle="1" w:styleId="Paragraphedeliste">
    <w:name w:val="Paragraphe de liste"/>
    <w:basedOn w:val="Normal"/>
    <w:qFormat/>
    <w:pPr>
      <w:spacing w:after="0"/>
    </w:pPr>
    <w:rPr>
      <w:rFonts w:eastAsia="MS Mincho"/>
      <w:color w:val="auto"/>
      <w:sz w:val="24"/>
      <w:lang w:val="en-AU"/>
    </w:rPr>
  </w:style>
  <w:style w:type="character" w:customStyle="1" w:styleId="bold0">
    <w:name w:val="bold"/>
    <w:rPr>
      <w:rFonts w:cs="Times New Roman"/>
    </w:rPr>
  </w:style>
  <w:style w:type="paragraph" w:customStyle="1" w:styleId="first">
    <w:name w:val="first"/>
    <w:basedOn w:val="Normal"/>
    <w:pPr>
      <w:spacing w:before="100" w:after="100"/>
    </w:pPr>
    <w:rPr>
      <w:rFonts w:eastAsia="MS Mincho"/>
      <w:color w:val="auto"/>
      <w:sz w:val="24"/>
      <w:lang w:val="fr-FR"/>
    </w:rPr>
  </w:style>
  <w:style w:type="character" w:customStyle="1" w:styleId="En-tteCar">
    <w:name w:val="En-tête Car"/>
    <w:locked/>
    <w:rPr>
      <w:rFonts w:cs="Times New Roman"/>
      <w:noProof w:val="0"/>
      <w:sz w:val="24"/>
      <w:szCs w:val="24"/>
      <w:lang w:val="en-AU" w:eastAsia="en-AU"/>
    </w:rPr>
  </w:style>
  <w:style w:type="character" w:customStyle="1" w:styleId="PieddepageCar">
    <w:name w:val="Pied de page Car"/>
    <w:locked/>
    <w:rPr>
      <w:rFonts w:cs="Times New Roman"/>
      <w:noProof w:val="0"/>
      <w:sz w:val="24"/>
      <w:szCs w:val="24"/>
      <w:lang w:val="en-AU" w:eastAsia="en-AU"/>
    </w:rPr>
  </w:style>
  <w:style w:type="character" w:customStyle="1" w:styleId="TitreCar">
    <w:name w:val="Titre Car"/>
    <w:locked/>
    <w:rPr>
      <w:rFonts w:ascii="Cambria" w:hAnsi="Cambria" w:cs="Times New Roman"/>
      <w:b/>
      <w:bCs/>
      <w:noProof w:val="0"/>
      <w:kern w:val="28"/>
      <w:sz w:val="32"/>
      <w:szCs w:val="32"/>
      <w:lang w:val="en-AU" w:eastAsia="en-AU"/>
    </w:rPr>
  </w:style>
  <w:style w:type="paragraph" w:customStyle="1" w:styleId="Sansinterligne">
    <w:name w:val="Sans interligne"/>
    <w:qFormat/>
    <w:rPr>
      <w:rFonts w:ascii="Times New Roman" w:eastAsia="MS Mincho" w:hAnsi="Times New Roman"/>
      <w:noProof/>
      <w:sz w:val="24"/>
      <w:lang w:val="nl-NL" w:eastAsia="nl-NL"/>
    </w:rPr>
  </w:style>
  <w:style w:type="character" w:customStyle="1" w:styleId="ExplorateurdedocumentsCar">
    <w:name w:val="Explorateur de documents Car"/>
    <w:semiHidden/>
    <w:locked/>
    <w:rPr>
      <w:rFonts w:ascii="Tahoma" w:hAnsi="Tahoma" w:cs="Times New Roman Bold"/>
      <w:noProof w:val="0"/>
      <w:sz w:val="16"/>
      <w:szCs w:val="16"/>
      <w:lang w:val="en-AU" w:eastAsia="en-AU"/>
    </w:rPr>
  </w:style>
  <w:style w:type="character" w:customStyle="1" w:styleId="hit">
    <w:name w:val="hit"/>
    <w:rPr>
      <w:rFonts w:cs="Times New Roman"/>
    </w:rPr>
  </w:style>
  <w:style w:type="character" w:customStyle="1" w:styleId="NotedebasdepageCar">
    <w:name w:val="Note de bas de page Car"/>
    <w:locked/>
    <w:rPr>
      <w:rFonts w:cs="Times New Roman"/>
      <w:noProof w:val="0"/>
      <w:sz w:val="24"/>
      <w:szCs w:val="24"/>
      <w:lang w:val="en-AU" w:eastAsia="en-AU"/>
    </w:rPr>
  </w:style>
  <w:style w:type="paragraph" w:customStyle="1" w:styleId="Rvision">
    <w:name w:val="Révision"/>
    <w:hidden/>
    <w:semiHidden/>
    <w:rPr>
      <w:rFonts w:ascii="Times New Roman" w:eastAsia="MS Mincho" w:hAnsi="Times New Roman"/>
      <w:sz w:val="24"/>
      <w:lang w:eastAsia="nl-NL"/>
    </w:rPr>
  </w:style>
  <w:style w:type="paragraph" w:customStyle="1" w:styleId="Ref">
    <w:name w:val="Ref"/>
    <w:basedOn w:val="Footnote"/>
    <w:pPr>
      <w:autoSpaceDE w:val="0"/>
      <w:autoSpaceDN w:val="0"/>
      <w:adjustRightInd w:val="0"/>
    </w:pPr>
    <w:rPr>
      <w:rFonts w:ascii="Calibri" w:eastAsia="MS Mincho" w:hAnsi="Calibri"/>
    </w:rPr>
  </w:style>
  <w:style w:type="character" w:customStyle="1" w:styleId="SansinterligneCar">
    <w:name w:val="Sans interligne Car"/>
    <w:rPr>
      <w:sz w:val="24"/>
      <w:szCs w:val="24"/>
      <w:lang w:bidi="ar-SA"/>
    </w:rPr>
  </w:style>
  <w:style w:type="paragraph" w:customStyle="1" w:styleId="Hea">
    <w:name w:val="Hea"/>
    <w:pPr>
      <w:autoSpaceDE w:val="0"/>
      <w:autoSpaceDN w:val="0"/>
    </w:pPr>
    <w:rPr>
      <w:rFonts w:ascii="Times New Roman" w:hAnsi="Times New Roman"/>
      <w:sz w:val="24"/>
      <w:lang w:val="en-US" w:eastAsia="nl-NL"/>
    </w:rPr>
  </w:style>
  <w:style w:type="paragraph" w:customStyle="1" w:styleId="PageImage">
    <w:name w:val="PageImage"/>
    <w:pPr>
      <w:autoSpaceDE w:val="0"/>
      <w:autoSpaceDN w:val="0"/>
      <w:spacing w:before="240"/>
      <w:jc w:val="center"/>
    </w:pPr>
    <w:rPr>
      <w:rFonts w:ascii="Times New Roman" w:hAnsi="Times New Roman"/>
      <w:lang w:eastAsia="nl-NL"/>
    </w:rPr>
  </w:style>
  <w:style w:type="paragraph" w:customStyle="1" w:styleId="Italicindent">
    <w:name w:val="Italic indent"/>
    <w:pPr>
      <w:autoSpaceDE w:val="0"/>
      <w:autoSpaceDN w:val="0"/>
      <w:spacing w:after="200" w:line="276" w:lineRule="auto"/>
      <w:ind w:left="1701" w:right="662"/>
    </w:pPr>
    <w:rPr>
      <w:rFonts w:ascii="Calibri" w:hAnsi="Calibri"/>
      <w:i/>
      <w:color w:val="000000"/>
      <w:lang w:val="en-GB" w:eastAsia="nl-NL"/>
    </w:rPr>
  </w:style>
  <w:style w:type="paragraph" w:customStyle="1" w:styleId="a9">
    <w:name w:val="("/>
    <w:pPr>
      <w:autoSpaceDE w:val="0"/>
      <w:autoSpaceDN w:val="0"/>
      <w:spacing w:after="160" w:line="240" w:lineRule="exact"/>
    </w:pPr>
    <w:rPr>
      <w:rFonts w:ascii="Times New Roman" w:hAnsi="Times New Roman"/>
      <w:lang w:val="en-US" w:eastAsia="nl-NL"/>
    </w:rPr>
  </w:style>
  <w:style w:type="character" w:customStyle="1" w:styleId="style61">
    <w:name w:val="style61"/>
    <w:rPr>
      <w:rFonts w:ascii="Verdana" w:hAnsi="Verdana" w:cs="Arial Narrow"/>
      <w:b/>
      <w:bCs/>
      <w:color w:val="808080"/>
      <w:sz w:val="24"/>
      <w:szCs w:val="24"/>
    </w:rPr>
  </w:style>
  <w:style w:type="paragraph" w:customStyle="1" w:styleId="Rvision1">
    <w:name w:val="Révision1"/>
    <w:hidden/>
    <w:semiHidden/>
    <w:rPr>
      <w:rFonts w:ascii="Times New Roman" w:eastAsia="MS Mincho" w:hAnsi="Times New Roman"/>
      <w:sz w:val="24"/>
      <w:szCs w:val="24"/>
      <w:lang w:val="en-US"/>
    </w:rPr>
  </w:style>
  <w:style w:type="paragraph" w:customStyle="1" w:styleId="Bibliographie1">
    <w:name w:val="Bibliographie1"/>
    <w:basedOn w:val="Normal"/>
    <w:next w:val="Normal"/>
    <w:pPr>
      <w:spacing w:before="120" w:after="120"/>
      <w:ind w:left="1134"/>
      <w:jc w:val="both"/>
    </w:pPr>
    <w:rPr>
      <w:rFonts w:ascii="Calibri" w:eastAsia="SimSun" w:hAnsi="Calibri"/>
      <w:color w:val="auto"/>
      <w:szCs w:val="22"/>
    </w:rPr>
  </w:style>
  <w:style w:type="paragraph" w:customStyle="1" w:styleId="Sansinterligne1">
    <w:name w:val="Sans interligne1"/>
    <w:basedOn w:val="Normal"/>
    <w:locked/>
    <w:pPr>
      <w:spacing w:after="0"/>
    </w:pPr>
    <w:rPr>
      <w:rFonts w:ascii="Arial" w:hAnsi="Arial" w:cs="Century"/>
      <w:color w:val="auto"/>
      <w:szCs w:val="22"/>
      <w:lang w:eastAsia="en-US"/>
    </w:rPr>
  </w:style>
  <w:style w:type="paragraph" w:customStyle="1" w:styleId="Citation1">
    <w:name w:val="Citation1"/>
    <w:basedOn w:val="Normal"/>
    <w:next w:val="Normal"/>
    <w:locked/>
    <w:pPr>
      <w:spacing w:before="200" w:after="0"/>
      <w:ind w:left="360" w:right="360"/>
    </w:pPr>
    <w:rPr>
      <w:i/>
      <w:iCs/>
      <w:sz w:val="24"/>
      <w:szCs w:val="24"/>
      <w:lang w:val="en-US" w:eastAsia="en-US"/>
    </w:rPr>
  </w:style>
  <w:style w:type="paragraph" w:customStyle="1" w:styleId="Citationintense1">
    <w:name w:val="Citation intense1"/>
    <w:basedOn w:val="Normal"/>
    <w:next w:val="Normal"/>
    <w:locked/>
    <w:pPr>
      <w:pBdr>
        <w:bottom w:val="single" w:sz="4" w:space="1" w:color="auto"/>
      </w:pBdr>
      <w:spacing w:before="200" w:after="280"/>
      <w:ind w:left="1008" w:right="1152"/>
      <w:jc w:val="both"/>
    </w:pPr>
    <w:rPr>
      <w:b/>
      <w:bCs/>
      <w:i/>
      <w:iCs/>
      <w:color w:val="4F81BD"/>
      <w:sz w:val="24"/>
      <w:szCs w:val="24"/>
      <w:lang w:val="en-US" w:eastAsia="en-US"/>
    </w:rPr>
  </w:style>
  <w:style w:type="character" w:customStyle="1" w:styleId="Emphaseple1">
    <w:name w:val="Emphase pâle1"/>
    <w:locked/>
    <w:rPr>
      <w:i/>
    </w:rPr>
  </w:style>
  <w:style w:type="character" w:customStyle="1" w:styleId="Emphaseintense1">
    <w:name w:val="Emphase intense1"/>
    <w:locked/>
    <w:rPr>
      <w:b/>
    </w:rPr>
  </w:style>
  <w:style w:type="character" w:customStyle="1" w:styleId="Rfrenceple1">
    <w:name w:val="Référence pâle1"/>
    <w:locked/>
    <w:rPr>
      <w:smallCaps/>
    </w:rPr>
  </w:style>
  <w:style w:type="character" w:customStyle="1" w:styleId="Rfrenceintense1">
    <w:name w:val="Référence intense1"/>
    <w:locked/>
    <w:rPr>
      <w:smallCaps/>
      <w:spacing w:val="5"/>
      <w:u w:val="single"/>
    </w:rPr>
  </w:style>
  <w:style w:type="character" w:customStyle="1" w:styleId="Titredulivre1">
    <w:name w:val="Titre du livre1"/>
    <w:locked/>
    <w:rPr>
      <w:i/>
      <w:smallCaps/>
      <w:spacing w:val="5"/>
    </w:rPr>
  </w:style>
  <w:style w:type="paragraph" w:customStyle="1" w:styleId="En-ttedetabledesmatires1">
    <w:name w:val="En-tête de table des matières1"/>
    <w:basedOn w:val="Heading1"/>
    <w:next w:val="Normal"/>
    <w:locked/>
    <w:pPr>
      <w:keepLines/>
      <w:tabs>
        <w:tab w:val="left" w:pos="851"/>
      </w:tabs>
      <w:spacing w:before="0"/>
      <w:ind w:left="1100" w:hanging="660"/>
      <w:outlineLvl w:val="9"/>
    </w:pPr>
    <w:rPr>
      <w:rFonts w:ascii="Arial" w:hAnsi="Arial"/>
      <w:bCs/>
      <w:color w:val="auto"/>
      <w:sz w:val="32"/>
      <w:szCs w:val="28"/>
      <w:lang w:val="nb-NO" w:eastAsia="en-US"/>
    </w:rPr>
  </w:style>
  <w:style w:type="paragraph" w:customStyle="1" w:styleId="BodyText11">
    <w:name w:val="Body Text11"/>
    <w:basedOn w:val="Normal"/>
    <w:pPr>
      <w:spacing w:after="0"/>
    </w:pPr>
  </w:style>
  <w:style w:type="paragraph" w:customStyle="1" w:styleId="paraindentFootnoteQPS">
    <w:name w:val="para indent Footnote QPS"/>
    <w:basedOn w:val="FootnoteText"/>
    <w:pPr>
      <w:widowControl/>
      <w:spacing w:after="0"/>
      <w:ind w:left="426" w:hanging="284"/>
    </w:pPr>
    <w:rPr>
      <w:rFonts w:ascii="Calibri" w:hAnsi="Calibri"/>
      <w:color w:val="000000"/>
      <w:sz w:val="16"/>
      <w:szCs w:val="18"/>
      <w:lang w:val="en-NZ" w:eastAsia="en-US"/>
    </w:rPr>
  </w:style>
  <w:style w:type="paragraph" w:customStyle="1" w:styleId="Paragraphedeliste1">
    <w:name w:val="Paragraphe de liste1"/>
    <w:basedOn w:val="Normal"/>
    <w:pPr>
      <w:ind w:left="720"/>
      <w:contextualSpacing/>
    </w:pPr>
  </w:style>
  <w:style w:type="paragraph" w:customStyle="1" w:styleId="yiv587168716msonormal">
    <w:name w:val="yiv587168716msonormal"/>
    <w:basedOn w:val="Normal"/>
    <w:pPr>
      <w:spacing w:before="100" w:beforeAutospacing="1" w:after="100" w:afterAutospacing="1"/>
    </w:pPr>
    <w:rPr>
      <w:color w:val="auto"/>
      <w:sz w:val="24"/>
      <w:szCs w:val="24"/>
      <w:lang w:val="en-AU" w:eastAsia="en-AU"/>
    </w:rPr>
  </w:style>
  <w:style w:type="paragraph" w:customStyle="1" w:styleId="Paragraphedeliste11">
    <w:name w:val="Paragraphe de liste11"/>
    <w:basedOn w:val="Normal"/>
    <w:pPr>
      <w:ind w:left="720"/>
      <w:contextualSpacing/>
    </w:pPr>
  </w:style>
  <w:style w:type="character" w:customStyle="1" w:styleId="st1">
    <w:name w:val="st1"/>
  </w:style>
  <w:style w:type="character" w:customStyle="1" w:styleId="Heading1Char21">
    <w:name w:val="Heading 1 Char21"/>
    <w:aliases w:val="Para (1) Char3,Heading 1 Char1 Char Char11,Heading 1 Char Char Char Char2,Para (1) Char Char Char Char2,Para (1) Char1 Char Char2,Heading 1 Char1 Char11,Heading 1 Char Char Char11,Para (1) Char Char Char11,Para (1) Char1 Char11"/>
    <w:rPr>
      <w:b/>
      <w:bCs/>
      <w:noProof w:val="0"/>
      <w:color w:val="000000"/>
      <w:sz w:val="28"/>
      <w:szCs w:val="28"/>
      <w:lang w:val="en-GB"/>
    </w:rPr>
  </w:style>
  <w:style w:type="character" w:customStyle="1" w:styleId="CharChar8">
    <w:name w:val="Char Char8"/>
    <w:locked/>
    <w:rPr>
      <w:rFonts w:ascii="Times New Roman" w:hAnsi="Times New Roman"/>
      <w:noProof w:val="0"/>
      <w:sz w:val="24"/>
      <w:lang w:eastAsia="ja-JP"/>
    </w:rPr>
  </w:style>
  <w:style w:type="character" w:customStyle="1" w:styleId="CharChar100">
    <w:name w:val="Char Char10"/>
    <w:semiHidden/>
    <w:locked/>
    <w:rPr>
      <w:rFonts w:ascii="Times New Roman" w:hAnsi="Times New Roman"/>
      <w:noProof w:val="0"/>
      <w:color w:val="000000"/>
      <w:sz w:val="20"/>
      <w:lang w:val="en-GB" w:eastAsia="zh-CN"/>
    </w:rPr>
  </w:style>
  <w:style w:type="character" w:styleId="HTMLCite">
    <w:name w:val="HTML Cite"/>
    <w:uiPriority w:val="99"/>
    <w:semiHidden/>
    <w:rPr>
      <w:rFonts w:cs="Times New Roman"/>
      <w:i/>
      <w:iCs/>
    </w:rPr>
  </w:style>
  <w:style w:type="character" w:customStyle="1" w:styleId="st">
    <w:name w:val="st"/>
  </w:style>
  <w:style w:type="paragraph" w:customStyle="1" w:styleId="TitleofManuscript">
    <w:name w:val="Title of Manuscript"/>
    <w:basedOn w:val="Normal"/>
    <w:pPr>
      <w:spacing w:after="0"/>
    </w:pPr>
    <w:rPr>
      <w:b/>
      <w:bCs/>
      <w:spacing w:val="-4"/>
      <w:sz w:val="32"/>
      <w:szCs w:val="32"/>
      <w:lang w:val="en-CA" w:eastAsia="en-CA"/>
    </w:rPr>
  </w:style>
  <w:style w:type="character" w:customStyle="1" w:styleId="author2">
    <w:name w:val="author2"/>
    <w:rPr>
      <w:rFonts w:cs="Times New Roman"/>
    </w:rPr>
  </w:style>
  <w:style w:type="character" w:customStyle="1" w:styleId="al-hide">
    <w:name w:val="al-hide"/>
    <w:rPr>
      <w:rFonts w:cs="Times New Roman"/>
    </w:rPr>
  </w:style>
  <w:style w:type="character" w:customStyle="1" w:styleId="al-vis">
    <w:name w:val="al-vis"/>
    <w:rPr>
      <w:rFonts w:cs="Times New Roman"/>
    </w:rPr>
  </w:style>
  <w:style w:type="character" w:customStyle="1" w:styleId="container2">
    <w:name w:val="container2"/>
    <w:rPr>
      <w:rFonts w:cs="Times New Roman"/>
    </w:rPr>
  </w:style>
  <w:style w:type="character" w:customStyle="1" w:styleId="year">
    <w:name w:val="year"/>
    <w:rPr>
      <w:rFonts w:cs="Times New Roman"/>
    </w:rPr>
  </w:style>
  <w:style w:type="character" w:customStyle="1" w:styleId="Para10">
    <w:name w:val="Para (1) ("/>
    <w:rPr>
      <w:b/>
      <w:bCs/>
      <w:noProof w:val="0"/>
      <w:kern w:val="32"/>
      <w:sz w:val="32"/>
      <w:szCs w:val="32"/>
      <w:lang w:val="en-US"/>
    </w:rPr>
  </w:style>
  <w:style w:type="paragraph" w:customStyle="1" w:styleId="aa">
    <w:name w:val="文字)"/>
    <w:pPr>
      <w:widowControl w:val="0"/>
      <w:autoSpaceDE w:val="0"/>
      <w:autoSpaceDN w:val="0"/>
    </w:pPr>
    <w:rPr>
      <w:rFonts w:ascii="Times New Roman" w:hAnsi="Times New Roman"/>
      <w:b/>
      <w:spacing w:val="-1"/>
      <w:kern w:val="32"/>
      <w:position w:val="-1"/>
      <w:sz w:val="32"/>
      <w:lang w:val="en-US"/>
    </w:rPr>
  </w:style>
  <w:style w:type="character" w:customStyle="1" w:styleId="SubParaa0">
    <w:name w:val="SubPara (a) ("/>
    <w:rPr>
      <w:b/>
      <w:bCs/>
      <w:i/>
      <w:iCs/>
      <w:noProof w:val="0"/>
      <w:kern w:val="2"/>
      <w:sz w:val="28"/>
      <w:szCs w:val="28"/>
      <w:lang w:val="en-US"/>
    </w:rPr>
  </w:style>
  <w:style w:type="character" w:customStyle="1" w:styleId="5">
    <w:name w:val="(5"/>
    <w:rPr>
      <w:b/>
      <w:bCs/>
      <w:noProof w:val="0"/>
      <w:sz w:val="24"/>
      <w:szCs w:val="24"/>
      <w:lang w:val="en-US"/>
    </w:rPr>
  </w:style>
  <w:style w:type="paragraph" w:customStyle="1" w:styleId="ListParagraph11">
    <w:name w:val="List Paragraph11"/>
    <w:basedOn w:val="Normal"/>
    <w:pPr>
      <w:autoSpaceDE w:val="0"/>
      <w:autoSpaceDN w:val="0"/>
      <w:spacing w:before="100" w:after="100"/>
      <w:ind w:left="720" w:right="720"/>
    </w:pPr>
    <w:rPr>
      <w:i/>
      <w:color w:val="auto"/>
      <w:sz w:val="24"/>
    </w:rPr>
  </w:style>
  <w:style w:type="paragraph" w:customStyle="1" w:styleId="4">
    <w:name w:val="(4"/>
    <w:basedOn w:val="Normal"/>
    <w:pPr>
      <w:tabs>
        <w:tab w:val="num" w:pos="2160"/>
      </w:tabs>
      <w:autoSpaceDE w:val="0"/>
      <w:autoSpaceDN w:val="0"/>
      <w:spacing w:before="100" w:after="160" w:line="240" w:lineRule="exact"/>
      <w:ind w:left="2160" w:right="720" w:hanging="360"/>
    </w:pPr>
    <w:rPr>
      <w:i/>
      <w:color w:val="auto"/>
      <w:sz w:val="20"/>
      <w:lang w:val="en-US"/>
    </w:rPr>
  </w:style>
  <w:style w:type="character" w:customStyle="1" w:styleId="BodyTextIndentChar1">
    <w:name w:val="Body Text Indent Char1"/>
    <w:semiHidden/>
    <w:rPr>
      <w:rFonts w:ascii="Times New Roman" w:hAnsi="Times New Roman" w:cs="Times New Roman"/>
      <w:sz w:val="20"/>
      <w:szCs w:val="20"/>
    </w:rPr>
  </w:style>
  <w:style w:type="character" w:customStyle="1" w:styleId="BodyTextFirstIndent2Char">
    <w:name w:val="Body Text First Indent 2 Char"/>
    <w:basedOn w:val="BodyTextIndentChar1"/>
    <w:semiHidden/>
    <w:rPr>
      <w:rFonts w:ascii="Times New Roman" w:hAnsi="Times New Roman" w:cs="Times New Roman"/>
      <w:sz w:val="20"/>
      <w:szCs w:val="20"/>
    </w:rPr>
  </w:style>
  <w:style w:type="character" w:customStyle="1" w:styleId="CarCar50">
    <w:name w:val="Car Car5"/>
    <w:rPr>
      <w:noProof w:val="0"/>
      <w:sz w:val="24"/>
      <w:szCs w:val="24"/>
      <w:u w:val="single"/>
      <w:lang w:val="en-US"/>
    </w:rPr>
  </w:style>
  <w:style w:type="character" w:customStyle="1" w:styleId="CarCar40">
    <w:name w:val="Car Car4"/>
    <w:rPr>
      <w:b/>
      <w:bCs/>
      <w:noProof w:val="0"/>
      <w:kern w:val="32"/>
      <w:sz w:val="24"/>
      <w:szCs w:val="24"/>
      <w:lang w:val="en-US"/>
    </w:rPr>
  </w:style>
  <w:style w:type="character" w:customStyle="1" w:styleId="CarCar30">
    <w:name w:val="Car Car3"/>
    <w:rPr>
      <w:b/>
      <w:bCs/>
      <w:i/>
      <w:iCs/>
      <w:noProof w:val="0"/>
      <w:kern w:val="32"/>
      <w:sz w:val="26"/>
      <w:szCs w:val="26"/>
      <w:lang w:val="it-IT"/>
    </w:rPr>
  </w:style>
  <w:style w:type="character" w:customStyle="1" w:styleId="CarCar6">
    <w:name w:val="Car Car6"/>
    <w:rPr>
      <w:noProof w:val="0"/>
      <w:sz w:val="24"/>
      <w:szCs w:val="24"/>
      <w:lang w:val="fr-FR"/>
    </w:rPr>
  </w:style>
  <w:style w:type="character" w:customStyle="1" w:styleId="ZchnZchn160">
    <w:name w:val="Zchn Zchn16"/>
    <w:rPr>
      <w:rFonts w:ascii="Arial" w:hAnsi="Arial" w:cs="Arial"/>
      <w:b/>
      <w:bCs/>
      <w:noProof w:val="0"/>
      <w:kern w:val="32"/>
      <w:sz w:val="32"/>
      <w:szCs w:val="32"/>
      <w:lang w:val="en-US"/>
    </w:rPr>
  </w:style>
  <w:style w:type="character" w:customStyle="1" w:styleId="ZchnZchn17">
    <w:name w:val="Zchn Zchn1"/>
    <w:rPr>
      <w:rFonts w:ascii="Cambria" w:hAnsi="Cambria" w:cs="MS Mincho"/>
      <w:b/>
      <w:bCs/>
      <w:noProof w:val="0"/>
      <w:kern w:val="28"/>
      <w:sz w:val="32"/>
      <w:szCs w:val="32"/>
      <w:lang w:val="ca-ES"/>
    </w:rPr>
  </w:style>
  <w:style w:type="character" w:customStyle="1" w:styleId="ZchnZchn0">
    <w:name w:val="Zchn Zchn"/>
    <w:rPr>
      <w:rFonts w:ascii="Calibri" w:hAnsi="Calibri" w:cs="Calibri"/>
      <w:noProof w:val="0"/>
      <w:lang w:val="ca-ES"/>
    </w:rPr>
  </w:style>
  <w:style w:type="character" w:customStyle="1" w:styleId="CarCar20">
    <w:name w:val="Car Car2"/>
    <w:rPr>
      <w:noProof w:val="0"/>
      <w:lang w:val="en-US"/>
    </w:rPr>
  </w:style>
  <w:style w:type="character" w:customStyle="1" w:styleId="CarCar10">
    <w:name w:val="Car Car1"/>
    <w:rPr>
      <w:noProof w:val="0"/>
      <w:lang w:val="en-US"/>
    </w:rPr>
  </w:style>
  <w:style w:type="character" w:customStyle="1" w:styleId="ZchnZchn150">
    <w:name w:val="Zchn Zchn15"/>
    <w:rPr>
      <w:rFonts w:ascii="Arial" w:hAnsi="Arial" w:cs="Arial"/>
      <w:b/>
      <w:bCs/>
      <w:i/>
      <w:iCs/>
      <w:noProof w:val="0"/>
      <w:sz w:val="28"/>
      <w:szCs w:val="28"/>
      <w:lang w:val="en-US"/>
    </w:rPr>
  </w:style>
  <w:style w:type="character" w:customStyle="1" w:styleId="ZchnZchn140">
    <w:name w:val="Zchn Zchn14"/>
    <w:rPr>
      <w:rFonts w:ascii="Arial" w:hAnsi="Arial" w:cs="Arial"/>
      <w:b/>
      <w:bCs/>
      <w:noProof w:val="0"/>
      <w:sz w:val="26"/>
      <w:szCs w:val="26"/>
      <w:lang w:val="en-US"/>
    </w:rPr>
  </w:style>
  <w:style w:type="character" w:customStyle="1" w:styleId="ZchnZchn130">
    <w:name w:val="Zchn Zchn13"/>
    <w:rPr>
      <w:rFonts w:ascii="Arial" w:hAnsi="Arial" w:cs="Arial"/>
      <w:b/>
      <w:bCs/>
      <w:noProof w:val="0"/>
      <w:sz w:val="24"/>
      <w:szCs w:val="24"/>
      <w:lang w:val="de-DE"/>
    </w:rPr>
  </w:style>
  <w:style w:type="character" w:customStyle="1" w:styleId="ZchnZchn120">
    <w:name w:val="Zchn Zchn12"/>
    <w:rPr>
      <w:rFonts w:ascii="Arial" w:hAnsi="Arial" w:cs="Arial"/>
      <w:b/>
      <w:bCs/>
      <w:noProof w:val="0"/>
      <w:sz w:val="24"/>
      <w:szCs w:val="24"/>
      <w:lang w:val="de-DE"/>
    </w:rPr>
  </w:style>
  <w:style w:type="character" w:customStyle="1" w:styleId="ZchnZchn110">
    <w:name w:val="Zchn Zchn11"/>
    <w:rPr>
      <w:rFonts w:ascii="Arial" w:hAnsi="Arial" w:cs="Arial"/>
      <w:b/>
      <w:bCs/>
      <w:noProof w:val="0"/>
      <w:lang w:val="de-DE"/>
    </w:rPr>
  </w:style>
  <w:style w:type="character" w:customStyle="1" w:styleId="ZchnZchn100">
    <w:name w:val="Zchn Zchn10"/>
    <w:rPr>
      <w:rFonts w:ascii="Arial" w:hAnsi="Arial" w:cs="Arial"/>
      <w:b/>
      <w:bCs/>
      <w:noProof w:val="0"/>
      <w:sz w:val="28"/>
      <w:szCs w:val="28"/>
      <w:lang w:val="de-DE"/>
    </w:rPr>
  </w:style>
  <w:style w:type="character" w:customStyle="1" w:styleId="ZchnZchn90">
    <w:name w:val="Zchn Zchn9"/>
    <w:rPr>
      <w:rFonts w:ascii="Arial" w:hAnsi="Arial" w:cs="Arial"/>
      <w:b/>
      <w:bCs/>
      <w:noProof w:val="0"/>
      <w:lang w:val="de-DE"/>
    </w:rPr>
  </w:style>
  <w:style w:type="character" w:customStyle="1" w:styleId="ZchnZchn80">
    <w:name w:val="Zchn Zchn8"/>
    <w:rPr>
      <w:rFonts w:ascii="Arial" w:hAnsi="Arial" w:cs="Arial"/>
      <w:noProof w:val="0"/>
      <w:sz w:val="24"/>
      <w:szCs w:val="24"/>
      <w:lang w:val="de-DE"/>
    </w:rPr>
  </w:style>
  <w:style w:type="character" w:customStyle="1" w:styleId="ZchnZchn40">
    <w:name w:val="Zchn Zchn4"/>
    <w:rPr>
      <w:noProof w:val="0"/>
      <w:sz w:val="24"/>
      <w:szCs w:val="24"/>
      <w:lang w:val="en-US"/>
    </w:rPr>
  </w:style>
  <w:style w:type="character" w:customStyle="1" w:styleId="ZchnZchn70">
    <w:name w:val="Zchn Zchn7"/>
    <w:rPr>
      <w:noProof w:val="0"/>
      <w:sz w:val="24"/>
      <w:szCs w:val="24"/>
      <w:lang w:val="en-US"/>
    </w:rPr>
  </w:style>
  <w:style w:type="character" w:customStyle="1" w:styleId="ZchnZchn60">
    <w:name w:val="Zchn Zchn6"/>
    <w:rPr>
      <w:rFonts w:ascii="Courier New" w:hAnsi="Courier New" w:cs="FrutigerLTStd-Light"/>
      <w:noProof w:val="0"/>
      <w:lang w:val="de-DE"/>
    </w:rPr>
  </w:style>
  <w:style w:type="character" w:customStyle="1" w:styleId="ZchnZchn50">
    <w:name w:val="Zchn Zchn5"/>
    <w:rPr>
      <w:rFonts w:ascii="Arial" w:hAnsi="Arial" w:cs="Arial"/>
      <w:noProof w:val="0"/>
      <w:sz w:val="24"/>
      <w:szCs w:val="24"/>
      <w:lang w:val="de-DE"/>
    </w:rPr>
  </w:style>
  <w:style w:type="character" w:customStyle="1" w:styleId="ZchnZchn30">
    <w:name w:val="Zchn Zchn3"/>
    <w:rPr>
      <w:rFonts w:ascii="Arial" w:hAnsi="Arial" w:cs="Arial"/>
      <w:noProof w:val="0"/>
      <w:sz w:val="24"/>
      <w:szCs w:val="24"/>
      <w:lang w:val="de-DE"/>
    </w:rPr>
  </w:style>
  <w:style w:type="character" w:customStyle="1" w:styleId="CharChar21">
    <w:name w:val="Char Char21"/>
    <w:rPr>
      <w:b/>
      <w:bCs/>
      <w:noProof w:val="0"/>
      <w:color w:val="000000"/>
      <w:sz w:val="28"/>
      <w:szCs w:val="28"/>
      <w:lang w:val="en-GB"/>
    </w:rPr>
  </w:style>
  <w:style w:type="character" w:customStyle="1" w:styleId="CharChar11">
    <w:name w:val="Char Char11"/>
    <w:rPr>
      <w:rFonts w:ascii="Arial" w:hAnsi="Arial" w:cs="Arial"/>
      <w:noProof w:val="0"/>
      <w:lang w:val="en-GB"/>
    </w:rPr>
  </w:style>
  <w:style w:type="character" w:customStyle="1" w:styleId="3">
    <w:name w:val="(3"/>
    <w:rPr>
      <w:noProof w:val="0"/>
      <w:sz w:val="24"/>
      <w:szCs w:val="24"/>
      <w:lang w:val="en-US"/>
    </w:rPr>
  </w:style>
  <w:style w:type="character" w:customStyle="1" w:styleId="2">
    <w:name w:val="(2"/>
    <w:rPr>
      <w:b/>
      <w:bCs/>
      <w:noProof w:val="0"/>
      <w:sz w:val="24"/>
      <w:szCs w:val="24"/>
      <w:lang w:val="en-US"/>
    </w:rPr>
  </w:style>
  <w:style w:type="character" w:customStyle="1" w:styleId="CarCar191">
    <w:name w:val="Car Car191"/>
    <w:rPr>
      <w:noProof w:val="0"/>
      <w:color w:val="000000"/>
      <w:sz w:val="24"/>
      <w:szCs w:val="24"/>
      <w:lang w:val="en-GB"/>
    </w:rPr>
  </w:style>
  <w:style w:type="character" w:customStyle="1" w:styleId="CharChar41">
    <w:name w:val="Char Char41"/>
    <w:rPr>
      <w:noProof w:val="0"/>
      <w:sz w:val="24"/>
      <w:szCs w:val="24"/>
      <w:lang w:val="en-US"/>
    </w:rPr>
  </w:style>
  <w:style w:type="character" w:customStyle="1" w:styleId="CharChar31">
    <w:name w:val="Char Char31"/>
    <w:rPr>
      <w:noProof w:val="0"/>
      <w:color w:val="000000"/>
      <w:sz w:val="24"/>
      <w:szCs w:val="24"/>
      <w:lang w:val="en-GB"/>
    </w:rPr>
  </w:style>
  <w:style w:type="paragraph" w:customStyle="1" w:styleId="15">
    <w:name w:val="(1"/>
    <w:pPr>
      <w:autoSpaceDE w:val="0"/>
      <w:autoSpaceDN w:val="0"/>
      <w:spacing w:after="160" w:line="240" w:lineRule="exact"/>
    </w:pPr>
    <w:rPr>
      <w:rFonts w:ascii="Times New Roman" w:hAnsi="Times New Roman"/>
      <w:sz w:val="24"/>
      <w:lang w:val="en-US"/>
    </w:rPr>
  </w:style>
  <w:style w:type="character" w:customStyle="1" w:styleId="scopustermhighlight">
    <w:name w:val="scopustermhighlight"/>
    <w:rPr>
      <w:rFonts w:ascii="Times New Roman" w:hAnsi="Times New Roman" w:cs="Times New Roman"/>
    </w:rPr>
  </w:style>
  <w:style w:type="paragraph" w:customStyle="1" w:styleId="marginb3">
    <w:name w:val="marginb3"/>
    <w:basedOn w:val="Normal"/>
    <w:pPr>
      <w:autoSpaceDE w:val="0"/>
      <w:autoSpaceDN w:val="0"/>
      <w:spacing w:before="100" w:after="100"/>
      <w:jc w:val="both"/>
    </w:pPr>
    <w:rPr>
      <w:color w:val="auto"/>
      <w:sz w:val="24"/>
      <w:lang w:val="fr-FR"/>
    </w:rPr>
  </w:style>
  <w:style w:type="character" w:customStyle="1" w:styleId="region">
    <w:name w:val="region"/>
    <w:rPr>
      <w:rFonts w:ascii="Times New Roman" w:hAnsi="Times New Roman" w:cs="Times New Roman"/>
    </w:rPr>
  </w:style>
  <w:style w:type="character" w:customStyle="1" w:styleId="documenttype">
    <w:name w:val="documenttype"/>
    <w:rPr>
      <w:rFonts w:ascii="Times New Roman" w:hAnsi="Times New Roman" w:cs="Times New Roman"/>
    </w:rPr>
  </w:style>
  <w:style w:type="paragraph" w:customStyle="1" w:styleId="HTOCReport">
    <w:name w:val="HTOC Report"/>
    <w:basedOn w:val="Normal"/>
    <w:pPr>
      <w:spacing w:after="0"/>
    </w:pPr>
    <w:rPr>
      <w:rFonts w:ascii="Times" w:eastAsia="SimSun" w:hAnsi="Times"/>
      <w:color w:val="auto"/>
      <w:lang w:eastAsia="ja-JP"/>
    </w:rPr>
  </w:style>
  <w:style w:type="character" w:customStyle="1" w:styleId="authorname">
    <w:name w:val="authorname"/>
    <w:basedOn w:val="DefaultParagraphFont"/>
  </w:style>
  <w:style w:type="character" w:customStyle="1" w:styleId="nlmx">
    <w:name w:val="nlm_x"/>
    <w:basedOn w:val="DefaultParagraphFont"/>
  </w:style>
  <w:style w:type="paragraph" w:customStyle="1" w:styleId="MediumGrid21">
    <w:name w:val="Medium Grid 21"/>
    <w:qFormat/>
    <w:pPr>
      <w:jc w:val="both"/>
    </w:pPr>
    <w:rPr>
      <w:rFonts w:ascii="Times New Roman" w:eastAsia="MS Mincho" w:hAnsi="Times New Roman"/>
      <w:sz w:val="24"/>
    </w:rPr>
  </w:style>
  <w:style w:type="paragraph" w:styleId="ListParagraph">
    <w:name w:val="List Paragraph"/>
    <w:basedOn w:val="Normal"/>
    <w:uiPriority w:val="34"/>
    <w:qFormat/>
    <w:rsid w:val="00326F62"/>
    <w:pPr>
      <w:widowControl w:val="0"/>
      <w:spacing w:after="0"/>
      <w:ind w:firstLineChars="200" w:firstLine="420"/>
      <w:jc w:val="both"/>
    </w:pPr>
    <w:rPr>
      <w:rFonts w:ascii="Calibri" w:eastAsia="SimSun" w:hAnsi="Calibri"/>
      <w:color w:val="auto"/>
      <w:kern w:val="2"/>
      <w:sz w:val="21"/>
      <w:szCs w:val="22"/>
    </w:rPr>
  </w:style>
  <w:style w:type="character" w:customStyle="1" w:styleId="articletypelabel">
    <w:name w:val="articletypelabel"/>
    <w:basedOn w:val="DefaultParagraphFont"/>
    <w:rsid w:val="00CA5E9C"/>
  </w:style>
  <w:style w:type="paragraph" w:customStyle="1" w:styleId="Refs0">
    <w:name w:val="Refs"/>
    <w:basedOn w:val="BodyText"/>
    <w:rsid w:val="00CA5E9C"/>
    <w:pPr>
      <w:spacing w:before="120" w:after="0" w:line="264" w:lineRule="auto"/>
      <w:ind w:left="567" w:hanging="567"/>
    </w:pPr>
    <w:rPr>
      <w:rFonts w:ascii="Arial" w:eastAsia="Calibri" w:hAnsi="Arial"/>
      <w:color w:val="auto"/>
      <w:sz w:val="20"/>
      <w:lang w:val="en-AU" w:eastAsia="en-NZ"/>
    </w:rPr>
  </w:style>
  <w:style w:type="character" w:customStyle="1" w:styleId="slug-pub-date3">
    <w:name w:val="slug-pub-date3"/>
    <w:basedOn w:val="DefaultParagraphFont"/>
    <w:rsid w:val="00CA5E9C"/>
  </w:style>
  <w:style w:type="character" w:customStyle="1" w:styleId="slug-vol">
    <w:name w:val="slug-vol"/>
    <w:basedOn w:val="DefaultParagraphFont"/>
    <w:rsid w:val="00CA5E9C"/>
  </w:style>
  <w:style w:type="character" w:customStyle="1" w:styleId="slug-issue">
    <w:name w:val="slug-issue"/>
    <w:basedOn w:val="DefaultParagraphFont"/>
    <w:rsid w:val="00CA5E9C"/>
  </w:style>
  <w:style w:type="character" w:customStyle="1" w:styleId="slug-pages3">
    <w:name w:val="slug-pages3"/>
    <w:basedOn w:val="DefaultParagraphFont"/>
    <w:rsid w:val="00CA5E9C"/>
  </w:style>
  <w:style w:type="table" w:styleId="TableGrid">
    <w:name w:val="Table Grid"/>
    <w:basedOn w:val="TableNormal"/>
    <w:rsid w:val="005B1FC8"/>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Char">
    <w:name w:val="Style1 Char"/>
    <w:basedOn w:val="DefaultParagraphFont"/>
    <w:link w:val="Style1"/>
    <w:rsid w:val="005B1FC8"/>
    <w:rPr>
      <w:rFonts w:ascii="Garamond" w:hAnsi="Garamond"/>
      <w:sz w:val="22"/>
      <w:lang w:eastAsia="zh-CN"/>
    </w:rPr>
  </w:style>
  <w:style w:type="character" w:customStyle="1" w:styleId="Style2Char">
    <w:name w:val="Style2 Char"/>
    <w:basedOn w:val="DefaultParagraphFont"/>
    <w:link w:val="Style2"/>
    <w:rsid w:val="005B1FC8"/>
    <w:rPr>
      <w:rFonts w:ascii="Times New Roman" w:hAnsi="Times New Roman"/>
      <w:sz w:val="22"/>
      <w:lang w:val="en-GB" w:eastAsia="en-GB"/>
    </w:rPr>
  </w:style>
  <w:style w:type="paragraph" w:customStyle="1" w:styleId="TableText1">
    <w:name w:val="Table Text"/>
    <w:basedOn w:val="Normal"/>
    <w:qFormat/>
    <w:rsid w:val="00841BDE"/>
    <w:pPr>
      <w:spacing w:after="0"/>
    </w:pPr>
    <w:rPr>
      <w:rFonts w:eastAsia="SimSun"/>
      <w:kern w:val="2"/>
      <w:sz w:val="24"/>
      <w:szCs w:val="24"/>
      <w:lang w:val="en-US" w:eastAsia="en-US"/>
    </w:rPr>
  </w:style>
  <w:style w:type="paragraph" w:customStyle="1" w:styleId="TableHeadings">
    <w:name w:val="Table Headings"/>
    <w:basedOn w:val="TableText1"/>
    <w:qFormat/>
    <w:rsid w:val="00841BDE"/>
    <w:pPr>
      <w:jc w:val="center"/>
    </w:pPr>
    <w:rPr>
      <w:rFonts w:ascii="Times New Roman Bold"/>
      <w:b/>
    </w:rPr>
  </w:style>
  <w:style w:type="paragraph" w:customStyle="1" w:styleId="Tablenote">
    <w:name w:val="Table note"/>
    <w:basedOn w:val="Normal"/>
    <w:qFormat/>
    <w:rsid w:val="00841BDE"/>
    <w:pPr>
      <w:spacing w:after="0"/>
      <w:ind w:left="720" w:hanging="720"/>
      <w:contextualSpacing/>
    </w:pPr>
    <w:rPr>
      <w:rFonts w:eastAsia="MS Mincho"/>
      <w:snapToGrid w:val="0"/>
      <w:color w:val="auto"/>
      <w:kern w:val="2"/>
      <w:sz w:val="20"/>
      <w:szCs w:val="18"/>
      <w:lang w:val="en-US" w:eastAsia="en-US"/>
    </w:rPr>
  </w:style>
  <w:style w:type="character" w:customStyle="1" w:styleId="TitleChar1">
    <w:name w:val="Title Char1"/>
    <w:link w:val="Title"/>
    <w:rsid w:val="00942E2A"/>
    <w:rPr>
      <w:rFonts w:ascii="Times New Roman" w:hAnsi="Times New Roman"/>
      <w:b/>
      <w:color w:val="000000"/>
      <w:sz w:val="32"/>
      <w:lang w:val="en-GB" w:eastAsia="zh-CN"/>
    </w:rPr>
  </w:style>
  <w:style w:type="character" w:customStyle="1" w:styleId="HeaderChar1">
    <w:name w:val="Header Char1"/>
    <w:aliases w:val="EthylHeader Char1"/>
    <w:link w:val="Header"/>
    <w:uiPriority w:val="99"/>
    <w:rsid w:val="00942E2A"/>
    <w:rPr>
      <w:rFonts w:ascii="Times New Roman" w:hAnsi="Times New Roman"/>
      <w:color w:val="000000"/>
      <w:sz w:val="22"/>
      <w:lang w:val="en-GB" w:eastAsia="zh-CN"/>
    </w:rPr>
  </w:style>
  <w:style w:type="table" w:styleId="LightShading">
    <w:name w:val="Light Shading"/>
    <w:basedOn w:val="TableNormal"/>
    <w:uiPriority w:val="60"/>
    <w:rsid w:val="00A66F2B"/>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CB66F5"/>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gp486">
    <w:name w:val="gp486"/>
    <w:basedOn w:val="DefaultParagraphFont"/>
    <w:rsid w:val="00C915BD"/>
  </w:style>
  <w:style w:type="table" w:styleId="MediumShading1-Accent5">
    <w:name w:val="Medium Shading 1 Accent 5"/>
    <w:basedOn w:val="TableNormal"/>
    <w:uiPriority w:val="63"/>
    <w:rsid w:val="00CF01A0"/>
    <w:rPr>
      <w:rFonts w:asciiTheme="minorHAnsi" w:eastAsiaTheme="minorEastAsia" w:hAnsiTheme="minorHAnsi" w:cstheme="minorBidi"/>
      <w:sz w:val="24"/>
      <w:szCs w:val="24"/>
      <w:lang w:val="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F01A0"/>
    <w:rPr>
      <w:rFonts w:asciiTheme="minorHAnsi" w:eastAsiaTheme="minorEastAsia" w:hAnsiTheme="minorHAnsi" w:cstheme="minorBidi"/>
      <w:sz w:val="24"/>
      <w:szCs w:val="24"/>
      <w:lang w:val="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F01A0"/>
    <w:rPr>
      <w:rFonts w:asciiTheme="minorHAnsi" w:eastAsiaTheme="minorEastAsia" w:hAnsiTheme="minorHAnsi" w:cstheme="minorBidi"/>
      <w:sz w:val="24"/>
      <w:szCs w:val="24"/>
      <w:lang w:val="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F01A0"/>
    <w:rPr>
      <w:rFonts w:asciiTheme="minorHAnsi" w:eastAsiaTheme="minorEastAsia" w:hAnsiTheme="minorHAnsi" w:cstheme="minorBidi"/>
      <w:sz w:val="24"/>
      <w:szCs w:val="24"/>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p4">
    <w:name w:val="p4"/>
    <w:basedOn w:val="Normal"/>
    <w:rsid w:val="00F73340"/>
    <w:pPr>
      <w:spacing w:before="100" w:beforeAutospacing="1" w:after="100" w:afterAutospacing="1"/>
    </w:pPr>
    <w:rPr>
      <w:color w:val="auto"/>
      <w:sz w:val="24"/>
      <w:szCs w:val="24"/>
      <w:lang w:val="de-DE" w:eastAsia="de-DE"/>
    </w:rPr>
  </w:style>
  <w:style w:type="character" w:customStyle="1" w:styleId="s1">
    <w:name w:val="s1"/>
    <w:basedOn w:val="DefaultParagraphFont"/>
    <w:rsid w:val="00F73340"/>
  </w:style>
  <w:style w:type="paragraph" w:customStyle="1" w:styleId="p5">
    <w:name w:val="p5"/>
    <w:basedOn w:val="Normal"/>
    <w:rsid w:val="00F73340"/>
    <w:pPr>
      <w:spacing w:before="100" w:beforeAutospacing="1" w:after="100" w:afterAutospacing="1"/>
    </w:pPr>
    <w:rPr>
      <w:color w:val="auto"/>
      <w:sz w:val="24"/>
      <w:szCs w:val="24"/>
      <w:lang w:val="de-DE" w:eastAsia="de-DE"/>
    </w:rPr>
  </w:style>
  <w:style w:type="character" w:customStyle="1" w:styleId="cmpparsedlocation">
    <w:name w:val="cmp_parsed_location"/>
    <w:basedOn w:val="DefaultParagraphFont"/>
    <w:rsid w:val="00F73340"/>
  </w:style>
  <w:style w:type="paragraph" w:customStyle="1" w:styleId="Style8">
    <w:name w:val="Style8"/>
    <w:basedOn w:val="Heading4"/>
    <w:autoRedefine/>
    <w:qFormat/>
    <w:rsid w:val="007C3005"/>
    <w:pPr>
      <w:ind w:left="1571"/>
    </w:pPr>
    <w:rPr>
      <w:i/>
    </w:rPr>
  </w:style>
  <w:style w:type="paragraph" w:customStyle="1" w:styleId="Style9">
    <w:name w:val="Style9"/>
    <w:basedOn w:val="Heading4"/>
    <w:next w:val="StyleHeading4Left0Firstline0"/>
    <w:autoRedefine/>
    <w:qFormat/>
    <w:rsid w:val="007C3005"/>
    <w:pPr>
      <w:ind w:left="1571"/>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121746">
      <w:bodyDiv w:val="1"/>
      <w:marLeft w:val="0"/>
      <w:marRight w:val="0"/>
      <w:marTop w:val="0"/>
      <w:marBottom w:val="0"/>
      <w:divBdr>
        <w:top w:val="none" w:sz="0" w:space="0" w:color="auto"/>
        <w:left w:val="none" w:sz="0" w:space="0" w:color="auto"/>
        <w:bottom w:val="none" w:sz="0" w:space="0" w:color="auto"/>
        <w:right w:val="none" w:sz="0" w:space="0" w:color="auto"/>
      </w:divBdr>
      <w:divsChild>
        <w:div w:id="604194367">
          <w:marLeft w:val="0"/>
          <w:marRight w:val="0"/>
          <w:marTop w:val="0"/>
          <w:marBottom w:val="0"/>
          <w:divBdr>
            <w:top w:val="none" w:sz="0" w:space="0" w:color="auto"/>
            <w:left w:val="none" w:sz="0" w:space="0" w:color="auto"/>
            <w:bottom w:val="none" w:sz="0" w:space="0" w:color="auto"/>
            <w:right w:val="none" w:sz="0" w:space="0" w:color="auto"/>
          </w:divBdr>
          <w:divsChild>
            <w:div w:id="172842655">
              <w:marLeft w:val="0"/>
              <w:marRight w:val="0"/>
              <w:marTop w:val="0"/>
              <w:marBottom w:val="0"/>
              <w:divBdr>
                <w:top w:val="none" w:sz="0" w:space="0" w:color="auto"/>
                <w:left w:val="none" w:sz="0" w:space="0" w:color="auto"/>
                <w:bottom w:val="none" w:sz="0" w:space="0" w:color="auto"/>
                <w:right w:val="none" w:sz="0" w:space="0" w:color="auto"/>
              </w:divBdr>
              <w:divsChild>
                <w:div w:id="821822324">
                  <w:marLeft w:val="0"/>
                  <w:marRight w:val="0"/>
                  <w:marTop w:val="0"/>
                  <w:marBottom w:val="0"/>
                  <w:divBdr>
                    <w:top w:val="none" w:sz="0" w:space="0" w:color="auto"/>
                    <w:left w:val="none" w:sz="0" w:space="0" w:color="auto"/>
                    <w:bottom w:val="none" w:sz="0" w:space="0" w:color="auto"/>
                    <w:right w:val="none" w:sz="0" w:space="0" w:color="auto"/>
                  </w:divBdr>
                  <w:divsChild>
                    <w:div w:id="9024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521102">
      <w:bodyDiv w:val="1"/>
      <w:marLeft w:val="0"/>
      <w:marRight w:val="0"/>
      <w:marTop w:val="0"/>
      <w:marBottom w:val="0"/>
      <w:divBdr>
        <w:top w:val="none" w:sz="0" w:space="0" w:color="auto"/>
        <w:left w:val="none" w:sz="0" w:space="0" w:color="auto"/>
        <w:bottom w:val="none" w:sz="0" w:space="0" w:color="auto"/>
        <w:right w:val="none" w:sz="0" w:space="0" w:color="auto"/>
      </w:divBdr>
    </w:div>
    <w:div w:id="1117680849">
      <w:bodyDiv w:val="1"/>
      <w:marLeft w:val="0"/>
      <w:marRight w:val="0"/>
      <w:marTop w:val="0"/>
      <w:marBottom w:val="0"/>
      <w:divBdr>
        <w:top w:val="none" w:sz="0" w:space="0" w:color="auto"/>
        <w:left w:val="none" w:sz="0" w:space="0" w:color="auto"/>
        <w:bottom w:val="none" w:sz="0" w:space="0" w:color="auto"/>
        <w:right w:val="none" w:sz="0" w:space="0" w:color="auto"/>
      </w:divBdr>
      <w:divsChild>
        <w:div w:id="1848248769">
          <w:marLeft w:val="0"/>
          <w:marRight w:val="0"/>
          <w:marTop w:val="0"/>
          <w:marBottom w:val="0"/>
          <w:divBdr>
            <w:top w:val="none" w:sz="0" w:space="0" w:color="auto"/>
            <w:left w:val="none" w:sz="0" w:space="0" w:color="auto"/>
            <w:bottom w:val="none" w:sz="0" w:space="0" w:color="auto"/>
            <w:right w:val="none" w:sz="0" w:space="0" w:color="auto"/>
          </w:divBdr>
          <w:divsChild>
            <w:div w:id="1498497185">
              <w:marLeft w:val="0"/>
              <w:marRight w:val="0"/>
              <w:marTop w:val="0"/>
              <w:marBottom w:val="0"/>
              <w:divBdr>
                <w:top w:val="none" w:sz="0" w:space="0" w:color="auto"/>
                <w:left w:val="none" w:sz="0" w:space="0" w:color="auto"/>
                <w:bottom w:val="none" w:sz="0" w:space="0" w:color="auto"/>
                <w:right w:val="none" w:sz="0" w:space="0" w:color="auto"/>
              </w:divBdr>
              <w:divsChild>
                <w:div w:id="104498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191237">
      <w:bodyDiv w:val="1"/>
      <w:marLeft w:val="0"/>
      <w:marRight w:val="0"/>
      <w:marTop w:val="0"/>
      <w:marBottom w:val="0"/>
      <w:divBdr>
        <w:top w:val="none" w:sz="0" w:space="0" w:color="auto"/>
        <w:left w:val="none" w:sz="0" w:space="0" w:color="auto"/>
        <w:bottom w:val="none" w:sz="0" w:space="0" w:color="auto"/>
        <w:right w:val="none" w:sz="0" w:space="0" w:color="auto"/>
      </w:divBdr>
      <w:divsChild>
        <w:div w:id="1813601087">
          <w:marLeft w:val="0"/>
          <w:marRight w:val="0"/>
          <w:marTop w:val="0"/>
          <w:marBottom w:val="0"/>
          <w:divBdr>
            <w:top w:val="none" w:sz="0" w:space="0" w:color="auto"/>
            <w:left w:val="none" w:sz="0" w:space="0" w:color="auto"/>
            <w:bottom w:val="none" w:sz="0" w:space="0" w:color="auto"/>
            <w:right w:val="none" w:sz="0" w:space="0" w:color="auto"/>
          </w:divBdr>
        </w:div>
        <w:div w:id="723680402">
          <w:marLeft w:val="0"/>
          <w:marRight w:val="0"/>
          <w:marTop w:val="0"/>
          <w:marBottom w:val="0"/>
          <w:divBdr>
            <w:top w:val="none" w:sz="0" w:space="0" w:color="auto"/>
            <w:left w:val="none" w:sz="0" w:space="0" w:color="auto"/>
            <w:bottom w:val="none" w:sz="0" w:space="0" w:color="auto"/>
            <w:right w:val="none" w:sz="0" w:space="0" w:color="auto"/>
          </w:divBdr>
        </w:div>
        <w:div w:id="450443566">
          <w:marLeft w:val="0"/>
          <w:marRight w:val="0"/>
          <w:marTop w:val="0"/>
          <w:marBottom w:val="0"/>
          <w:divBdr>
            <w:top w:val="none" w:sz="0" w:space="0" w:color="auto"/>
            <w:left w:val="none" w:sz="0" w:space="0" w:color="auto"/>
            <w:bottom w:val="none" w:sz="0" w:space="0" w:color="auto"/>
            <w:right w:val="none" w:sz="0" w:space="0" w:color="auto"/>
          </w:divBdr>
        </w:div>
        <w:div w:id="959606977">
          <w:marLeft w:val="0"/>
          <w:marRight w:val="0"/>
          <w:marTop w:val="0"/>
          <w:marBottom w:val="0"/>
          <w:divBdr>
            <w:top w:val="none" w:sz="0" w:space="0" w:color="auto"/>
            <w:left w:val="none" w:sz="0" w:space="0" w:color="auto"/>
            <w:bottom w:val="none" w:sz="0" w:space="0" w:color="auto"/>
            <w:right w:val="none" w:sz="0" w:space="0" w:color="auto"/>
          </w:divBdr>
        </w:div>
        <w:div w:id="1362586136">
          <w:marLeft w:val="0"/>
          <w:marRight w:val="0"/>
          <w:marTop w:val="0"/>
          <w:marBottom w:val="0"/>
          <w:divBdr>
            <w:top w:val="none" w:sz="0" w:space="0" w:color="auto"/>
            <w:left w:val="none" w:sz="0" w:space="0" w:color="auto"/>
            <w:bottom w:val="none" w:sz="0" w:space="0" w:color="auto"/>
            <w:right w:val="none" w:sz="0" w:space="0" w:color="auto"/>
          </w:divBdr>
        </w:div>
      </w:divsChild>
    </w:div>
    <w:div w:id="1926105908">
      <w:bodyDiv w:val="1"/>
      <w:marLeft w:val="0"/>
      <w:marRight w:val="0"/>
      <w:marTop w:val="0"/>
      <w:marBottom w:val="0"/>
      <w:divBdr>
        <w:top w:val="none" w:sz="0" w:space="0" w:color="auto"/>
        <w:left w:val="none" w:sz="0" w:space="0" w:color="auto"/>
        <w:bottom w:val="none" w:sz="0" w:space="0" w:color="auto"/>
        <w:right w:val="none" w:sz="0" w:space="0" w:color="auto"/>
      </w:divBdr>
    </w:div>
    <w:div w:id="1953315084">
      <w:bodyDiv w:val="1"/>
      <w:marLeft w:val="0"/>
      <w:marRight w:val="0"/>
      <w:marTop w:val="0"/>
      <w:marBottom w:val="0"/>
      <w:divBdr>
        <w:top w:val="none" w:sz="0" w:space="0" w:color="auto"/>
        <w:left w:val="none" w:sz="0" w:space="0" w:color="auto"/>
        <w:bottom w:val="none" w:sz="0" w:space="0" w:color="auto"/>
        <w:right w:val="none" w:sz="0" w:space="0" w:color="auto"/>
      </w:divBdr>
      <w:divsChild>
        <w:div w:id="155539262">
          <w:marLeft w:val="0"/>
          <w:marRight w:val="0"/>
          <w:marTop w:val="0"/>
          <w:marBottom w:val="0"/>
          <w:divBdr>
            <w:top w:val="none" w:sz="0" w:space="0" w:color="auto"/>
            <w:left w:val="none" w:sz="0" w:space="0" w:color="auto"/>
            <w:bottom w:val="none" w:sz="0" w:space="0" w:color="auto"/>
            <w:right w:val="none" w:sz="0" w:space="0" w:color="auto"/>
          </w:divBdr>
          <w:divsChild>
            <w:div w:id="711731246">
              <w:marLeft w:val="0"/>
              <w:marRight w:val="0"/>
              <w:marTop w:val="0"/>
              <w:marBottom w:val="0"/>
              <w:divBdr>
                <w:top w:val="none" w:sz="0" w:space="0" w:color="auto"/>
                <w:left w:val="none" w:sz="0" w:space="0" w:color="auto"/>
                <w:bottom w:val="none" w:sz="0" w:space="0" w:color="auto"/>
                <w:right w:val="none" w:sz="0" w:space="0" w:color="auto"/>
              </w:divBdr>
              <w:divsChild>
                <w:div w:id="797727982">
                  <w:marLeft w:val="0"/>
                  <w:marRight w:val="0"/>
                  <w:marTop w:val="0"/>
                  <w:marBottom w:val="0"/>
                  <w:divBdr>
                    <w:top w:val="none" w:sz="0" w:space="0" w:color="auto"/>
                    <w:left w:val="none" w:sz="0" w:space="0" w:color="auto"/>
                    <w:bottom w:val="none" w:sz="0" w:space="0" w:color="auto"/>
                    <w:right w:val="none" w:sz="0" w:space="0" w:color="auto"/>
                  </w:divBdr>
                  <w:divsChild>
                    <w:div w:id="66886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header" Target="header9.xml"/><Relationship Id="rId39" Type="http://schemas.openxmlformats.org/officeDocument/2006/relationships/hyperlink" Target="https://www.fcc-fac.ca/en/ag-knowledge/marketing/tricky-trade-situation-with-india-averted-for-now.html" TargetMode="External"/><Relationship Id="rId21" Type="http://schemas.openxmlformats.org/officeDocument/2006/relationships/header" Target="header5.xml"/><Relationship Id="rId34" Type="http://schemas.openxmlformats.org/officeDocument/2006/relationships/image" Target="media/image2.emf"/><Relationship Id="rId42" Type="http://schemas.openxmlformats.org/officeDocument/2006/relationships/hyperlink" Target="http://www.anguil.com/case-studies/chemical/purified-terephthalic-acid-plant/" TargetMode="External"/><Relationship Id="rId47" Type="http://schemas.openxmlformats.org/officeDocument/2006/relationships/hyperlink" Target="javascript:;" TargetMode="External"/><Relationship Id="rId50" Type="http://schemas.openxmlformats.org/officeDocument/2006/relationships/hyperlink" Target="http://booksandjournals.brillonline.com/search?value1=&amp;option1=all&amp;value2=Nah%C3%BAm+Marb%C3%A1n-M%C3%A9ndoza&amp;option2=author" TargetMode="External"/><Relationship Id="rId55" Type="http://schemas.openxmlformats.org/officeDocument/2006/relationships/hyperlink" Target="http://www.losandes.com.ar/2004/0531/Suplementos/Campo/nota190383" TargetMode="External"/><Relationship Id="rId63" Type="http://schemas.openxmlformats.org/officeDocument/2006/relationships/hyperlink" Target="http://www.pbcrc.com.au/research/publications?f%5bauthor%5d=1442" TargetMode="External"/><Relationship Id="rId68" Type="http://schemas.openxmlformats.org/officeDocument/2006/relationships/chart" Target="charts/chart4.xml"/><Relationship Id="rId76" Type="http://schemas.openxmlformats.org/officeDocument/2006/relationships/image" Target="media/image10.emf"/><Relationship Id="rId84" Type="http://schemas.openxmlformats.org/officeDocument/2006/relationships/image" Target="media/image18.emf"/><Relationship Id="rId89" Type="http://schemas.openxmlformats.org/officeDocument/2006/relationships/header" Target="header16.xml"/><Relationship Id="rId97" Type="http://schemas.microsoft.com/office/2011/relationships/people" Target="people.xml"/><Relationship Id="rId7" Type="http://schemas.microsoft.com/office/2007/relationships/stylesWithEffects" Target="stylesWithEffects.xml"/><Relationship Id="rId71" Type="http://schemas.openxmlformats.org/officeDocument/2006/relationships/image" Target="media/image5.emf"/><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eader" Target="header11.xml"/><Relationship Id="rId11" Type="http://schemas.openxmlformats.org/officeDocument/2006/relationships/endnotes" Target="endnotes.xml"/><Relationship Id="rId24" Type="http://schemas.openxmlformats.org/officeDocument/2006/relationships/footer" Target="footer5.xml"/><Relationship Id="rId32" Type="http://schemas.openxmlformats.org/officeDocument/2006/relationships/footer" Target="footer7.xml"/><Relationship Id="rId37" Type="http://schemas.openxmlformats.org/officeDocument/2006/relationships/chart" Target="charts/chart2.xml"/><Relationship Id="rId40" Type="http://schemas.openxmlformats.org/officeDocument/2006/relationships/image" Target="media/image3.png"/><Relationship Id="rId45" Type="http://schemas.openxmlformats.org/officeDocument/2006/relationships/hyperlink" Target="javascript:;" TargetMode="External"/><Relationship Id="rId53" Type="http://schemas.openxmlformats.org/officeDocument/2006/relationships/hyperlink" Target="http://booksandjournals.brillonline.com/search?value1=&amp;option1=all&amp;value2=Ken+Evans&amp;option2=author" TargetMode="External"/><Relationship Id="rId58" Type="http://schemas.openxmlformats.org/officeDocument/2006/relationships/hyperlink" Target="http://mbao.org" TargetMode="External"/><Relationship Id="rId66" Type="http://schemas.openxmlformats.org/officeDocument/2006/relationships/hyperlink" Target="http://ozone.unep.org/en/Assessment_Panels/TEAP/Reports/TEAP_Reports/teap-qpstf-october2009.pdf" TargetMode="External"/><Relationship Id="rId74" Type="http://schemas.openxmlformats.org/officeDocument/2006/relationships/image" Target="media/image8.emf"/><Relationship Id="rId79" Type="http://schemas.openxmlformats.org/officeDocument/2006/relationships/image" Target="media/image13.emf"/><Relationship Id="rId87" Type="http://schemas.openxmlformats.org/officeDocument/2006/relationships/hyperlink" Target="http://ozone.unep.org/en/assessment-panels/technology-and-economic-assessment-panel" TargetMode="External"/><Relationship Id="rId5" Type="http://schemas.openxmlformats.org/officeDocument/2006/relationships/numbering" Target="numbering.xml"/><Relationship Id="rId61" Type="http://schemas.openxmlformats.org/officeDocument/2006/relationships/hyperlink" Target="http://www.pbcrc.com.au/research/publications?f%5bauthor%5d=1440" TargetMode="External"/><Relationship Id="rId82" Type="http://schemas.openxmlformats.org/officeDocument/2006/relationships/image" Target="media/image16.emf"/><Relationship Id="rId90" Type="http://schemas.openxmlformats.org/officeDocument/2006/relationships/footer" Target="footer8.xml"/><Relationship Id="rId19" Type="http://schemas.openxmlformats.org/officeDocument/2006/relationships/footer" Target="footer3.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hyperlink" Target="http://ozone.unep.org/en/data-reporting/data-centre" TargetMode="External"/><Relationship Id="rId43" Type="http://schemas.openxmlformats.org/officeDocument/2006/relationships/hyperlink" Target="javascript:;" TargetMode="External"/><Relationship Id="rId48" Type="http://schemas.openxmlformats.org/officeDocument/2006/relationships/hyperlink" Target="http://db.koreascholar.com/article?code=306797" TargetMode="External"/><Relationship Id="rId56" Type="http://schemas.openxmlformats.org/officeDocument/2006/relationships/hyperlink" Target="http://mbao.org" TargetMode="External"/><Relationship Id="rId64" Type="http://schemas.openxmlformats.org/officeDocument/2006/relationships/hyperlink" Target="http://www.pbcrc.com.au/research/publications?f%5bauthor%5d=1443" TargetMode="External"/><Relationship Id="rId69" Type="http://schemas.openxmlformats.org/officeDocument/2006/relationships/chart" Target="charts/chart5.xml"/><Relationship Id="rId77" Type="http://schemas.openxmlformats.org/officeDocument/2006/relationships/image" Target="media/image11.emf"/><Relationship Id="rId8" Type="http://schemas.openxmlformats.org/officeDocument/2006/relationships/settings" Target="settings.xml"/><Relationship Id="rId51" Type="http://schemas.openxmlformats.org/officeDocument/2006/relationships/hyperlink" Target="http://booksandjournals.brillonline.com/search?value1=&amp;option1=all&amp;value2=Prometeo+S%C3%A1nchez-Garcia&amp;option2=author" TargetMode="External"/><Relationship Id="rId72" Type="http://schemas.openxmlformats.org/officeDocument/2006/relationships/image" Target="media/image6.emf"/><Relationship Id="rId80" Type="http://schemas.openxmlformats.org/officeDocument/2006/relationships/image" Target="media/image14.emf"/><Relationship Id="rId85" Type="http://schemas.openxmlformats.org/officeDocument/2006/relationships/image" Target="media/image19.emf"/><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wmf"/><Relationship Id="rId17" Type="http://schemas.openxmlformats.org/officeDocument/2006/relationships/header" Target="header3.xml"/><Relationship Id="rId25" Type="http://schemas.openxmlformats.org/officeDocument/2006/relationships/header" Target="header8.xml"/><Relationship Id="rId33" Type="http://schemas.openxmlformats.org/officeDocument/2006/relationships/header" Target="header14.xml"/><Relationship Id="rId38" Type="http://schemas.openxmlformats.org/officeDocument/2006/relationships/chart" Target="charts/chart3.xml"/><Relationship Id="rId46" Type="http://schemas.openxmlformats.org/officeDocument/2006/relationships/hyperlink" Target="javascript:;" TargetMode="External"/><Relationship Id="rId59" Type="http://schemas.openxmlformats.org/officeDocument/2006/relationships/hyperlink" Target="http://conf.montreal-protocol.org/meeting/oewg/oewg-36/presession/Background%20Documents%20are%20available%20in%20English%20only/MBTOC-Assessment-Report-2014.pdf" TargetMode="External"/><Relationship Id="rId67" Type="http://schemas.openxmlformats.org/officeDocument/2006/relationships/hyperlink" Target="http://conf.montreal-protocol.org/meeting/oewg/oewg-38/presession/Background%20Documents%20%20TEAP%20Reports/TEAP_Progress_Report_June2016.pdf" TargetMode="External"/><Relationship Id="rId20" Type="http://schemas.openxmlformats.org/officeDocument/2006/relationships/footer" Target="footer4.xml"/><Relationship Id="rId41" Type="http://schemas.openxmlformats.org/officeDocument/2006/relationships/hyperlink" Target="https://apvma.gov.au/" TargetMode="External"/><Relationship Id="rId54" Type="http://schemas.openxmlformats.org/officeDocument/2006/relationships/hyperlink" Target="http://booksandjournals.brillonline.com/content/journals/15685411" TargetMode="External"/><Relationship Id="rId62" Type="http://schemas.openxmlformats.org/officeDocument/2006/relationships/hyperlink" Target="http://www.pbcrc.com.au/research/publications?f%5bauthor%5d=1441" TargetMode="External"/><Relationship Id="rId70" Type="http://schemas.openxmlformats.org/officeDocument/2006/relationships/image" Target="media/image4.emf"/><Relationship Id="rId75" Type="http://schemas.openxmlformats.org/officeDocument/2006/relationships/image" Target="media/image9.emf"/><Relationship Id="rId83" Type="http://schemas.openxmlformats.org/officeDocument/2006/relationships/image" Target="media/image17.emf"/><Relationship Id="rId88" Type="http://schemas.openxmlformats.org/officeDocument/2006/relationships/header" Target="header15.xml"/><Relationship Id="rId91" Type="http://schemas.openxmlformats.org/officeDocument/2006/relationships/header" Target="header17.xml"/><Relationship Id="rId96"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eader" Target="header7.xml"/><Relationship Id="rId28" Type="http://schemas.openxmlformats.org/officeDocument/2006/relationships/footer" Target="footer6.xml"/><Relationship Id="rId36" Type="http://schemas.openxmlformats.org/officeDocument/2006/relationships/chart" Target="charts/chart1.xml"/><Relationship Id="rId49" Type="http://schemas.openxmlformats.org/officeDocument/2006/relationships/hyperlink" Target="http://booksandjournals.brillonline.com/search?value1=&amp;option1=all&amp;value2=Jairo+Crist%C3%B3bal-Alejo&amp;option2=author" TargetMode="External"/><Relationship Id="rId57" Type="http://schemas.openxmlformats.org/officeDocument/2006/relationships/hyperlink" Target="http://agricoop.nic.in/sites/default/files/Draft%20notification%20%26amp%3B%20WTO-SPS%20format.pdf" TargetMode="External"/><Relationship Id="rId10" Type="http://schemas.openxmlformats.org/officeDocument/2006/relationships/footnotes" Target="footnotes.xml"/><Relationship Id="rId31" Type="http://schemas.openxmlformats.org/officeDocument/2006/relationships/header" Target="header13.xml"/><Relationship Id="rId44" Type="http://schemas.openxmlformats.org/officeDocument/2006/relationships/hyperlink" Target="javascript:;" TargetMode="External"/><Relationship Id="rId52" Type="http://schemas.openxmlformats.org/officeDocument/2006/relationships/hyperlink" Target="http://booksandjournals.brillonline.com/search?value1=&amp;option1=all&amp;value2=Ignacio+Cid+Del+Prado-Vera&amp;option2=author" TargetMode="External"/><Relationship Id="rId60" Type="http://schemas.openxmlformats.org/officeDocument/2006/relationships/hyperlink" Target="http://conf.montreal-protocol.org/meeting/orm/10orm/report" TargetMode="External"/><Relationship Id="rId65" Type="http://schemas.openxmlformats.org/officeDocument/2006/relationships/hyperlink" Target="http://www.pbcrc.com.au/research/publications?f%5bauthor%5d=1202" TargetMode="External"/><Relationship Id="rId73" Type="http://schemas.openxmlformats.org/officeDocument/2006/relationships/image" Target="media/image7.emf"/><Relationship Id="rId78" Type="http://schemas.openxmlformats.org/officeDocument/2006/relationships/image" Target="media/image12.emf"/><Relationship Id="rId81" Type="http://schemas.openxmlformats.org/officeDocument/2006/relationships/image" Target="media/image15.emf"/><Relationship Id="rId86" Type="http://schemas.openxmlformats.org/officeDocument/2006/relationships/hyperlink" Target="http://conf.montreal-protocol.org/meeting/oewg/oewg-39/presession/background-documents/annex2-to-TEAP-progress-report-May2017.pdf" TargetMode="External"/><Relationship Id="rId4" Type="http://schemas.openxmlformats.org/officeDocument/2006/relationships/customXml" Target="../customXml/item4.xml"/><Relationship Id="rId9"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ntp.niehs.nih.gov/ntp/about_ntp/monopeerrvw/2013/march/draftroc1bpmonograph_508.pdf" TargetMode="External"/><Relationship Id="rId2" Type="http://schemas.openxmlformats.org/officeDocument/2006/relationships/hyperlink" Target="http://www.arap.org" TargetMode="External"/><Relationship Id="rId1" Type="http://schemas.openxmlformats.org/officeDocument/2006/relationships/hyperlink" Target="http://www.ipcc-nggip.iges.or.jp/public/2006gl/pdf/3_Volume3/V3_3_Ch3_Chemical_Industry.pdf" TargetMode="External"/><Relationship Id="rId5" Type="http://schemas.openxmlformats.org/officeDocument/2006/relationships/hyperlink" Target="https://www.epa.gov/sites/production/files/2017-02/documents/1-bromopropane.pdf" TargetMode="External"/><Relationship Id="rId4" Type="http://schemas.openxmlformats.org/officeDocument/2006/relationships/hyperlink" Target="https://echa.europa.eu/brief-profile/-/briefprofile/100.003.13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MSOffice\Templates\Teap%20Style.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martapizano:Documents:Docs.%20de%20trabajo:MBTOC:MB%20Production%20and%20consumption:MB%20consumption%20controlled:Global%20comsumption%20MB%20up%20to%202015%20for%20O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martapizano:Documents:Docs.%20de%20trabajo:MBTOC:MB%20Production%20and%20consumption:QPS%20production%20&amp;%20consumption:Methyl_Bromide%20QPS%20Consumption%20A5%20nonA5%20global%20and%20regional%201999-201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martapizano:Documents:Docs.%20de%20trabajo:MBTOC:MB%20Production%20and%20consumption:QPS%20production%20&amp;%20consumption:QPS%20production%20200%20-%202015.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helentop:Documents:Ozone:2017:Feedstock:Reported%20Feedstock%20use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Macintosh%20HD:Users:helentop:Documents:Ozone:2017:Feedstock:Reported%20Feedstock%20us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55731080489939"/>
          <c:y val="5.2557105316353298E-2"/>
          <c:w val="0.63450222368037301"/>
          <c:h val="0.80045235400759895"/>
        </c:manualLayout>
      </c:layout>
      <c:barChart>
        <c:barDir val="col"/>
        <c:grouping val="stacked"/>
        <c:varyColors val="0"/>
        <c:ser>
          <c:idx val="0"/>
          <c:order val="0"/>
          <c:tx>
            <c:strRef>
              <c:f>data!$A$6</c:f>
              <c:strCache>
                <c:ptCount val="1"/>
                <c:pt idx="0">
                  <c:v>Consumption non-A5</c:v>
                </c:pt>
              </c:strCache>
            </c:strRef>
          </c:tx>
          <c:invertIfNegative val="0"/>
          <c:cat>
            <c:numRef>
              <c:f>data!$B$5:$Z$5</c:f>
              <c:numCache>
                <c:formatCode>@</c:formatCode>
                <c:ptCount val="25"/>
                <c:pt idx="0">
                  <c:v>1991</c:v>
                </c:pt>
                <c:pt idx="1">
                  <c:v>1992</c:v>
                </c:pt>
                <c:pt idx="2">
                  <c:v>1993</c:v>
                </c:pt>
                <c:pt idx="3">
                  <c:v>1994</c:v>
                </c:pt>
                <c:pt idx="4">
                  <c:v>1995</c:v>
                </c:pt>
                <c:pt idx="5">
                  <c:v>1996</c:v>
                </c:pt>
                <c:pt idx="6">
                  <c:v>1997</c:v>
                </c:pt>
                <c:pt idx="7">
                  <c:v>1998</c:v>
                </c:pt>
                <c:pt idx="8">
                  <c:v>1999</c:v>
                </c:pt>
                <c:pt idx="9">
                  <c:v>2000</c:v>
                </c:pt>
                <c:pt idx="10" formatCode="General">
                  <c:v>2001</c:v>
                </c:pt>
                <c:pt idx="11" formatCode="General">
                  <c:v>2002</c:v>
                </c:pt>
                <c:pt idx="12" formatCode="General">
                  <c:v>2003</c:v>
                </c:pt>
                <c:pt idx="13" formatCode="General">
                  <c:v>2004</c:v>
                </c:pt>
                <c:pt idx="14" formatCode="General">
                  <c:v>2005</c:v>
                </c:pt>
                <c:pt idx="15" formatCode="General">
                  <c:v>2006</c:v>
                </c:pt>
                <c:pt idx="16" formatCode="General">
                  <c:v>2007</c:v>
                </c:pt>
                <c:pt idx="17" formatCode="General">
                  <c:v>2008</c:v>
                </c:pt>
                <c:pt idx="18" formatCode="General">
                  <c:v>2009</c:v>
                </c:pt>
                <c:pt idx="19" formatCode="General">
                  <c:v>2010</c:v>
                </c:pt>
                <c:pt idx="20" formatCode="General">
                  <c:v>2011</c:v>
                </c:pt>
                <c:pt idx="21" formatCode="General">
                  <c:v>2012</c:v>
                </c:pt>
                <c:pt idx="22" formatCode="General">
                  <c:v>2013</c:v>
                </c:pt>
                <c:pt idx="23" formatCode="General">
                  <c:v>2014</c:v>
                </c:pt>
                <c:pt idx="24" formatCode="General">
                  <c:v>2015</c:v>
                </c:pt>
              </c:numCache>
            </c:numRef>
          </c:cat>
          <c:val>
            <c:numRef>
              <c:f>data!$B$6:$Z$6</c:f>
              <c:numCache>
                <c:formatCode>#,##0</c:formatCode>
                <c:ptCount val="25"/>
                <c:pt idx="0">
                  <c:v>56083</c:v>
                </c:pt>
                <c:pt idx="1">
                  <c:v>56083</c:v>
                </c:pt>
                <c:pt idx="2">
                  <c:v>54961.34</c:v>
                </c:pt>
                <c:pt idx="3">
                  <c:v>52000</c:v>
                </c:pt>
                <c:pt idx="4">
                  <c:v>48632</c:v>
                </c:pt>
                <c:pt idx="5">
                  <c:v>46466</c:v>
                </c:pt>
                <c:pt idx="6">
                  <c:v>47229</c:v>
                </c:pt>
                <c:pt idx="7">
                  <c:v>42653</c:v>
                </c:pt>
                <c:pt idx="8">
                  <c:v>35203</c:v>
                </c:pt>
                <c:pt idx="9">
                  <c:v>28952</c:v>
                </c:pt>
                <c:pt idx="10">
                  <c:v>23515</c:v>
                </c:pt>
                <c:pt idx="11">
                  <c:v>17559</c:v>
                </c:pt>
                <c:pt idx="12">
                  <c:v>14519</c:v>
                </c:pt>
                <c:pt idx="13">
                  <c:v>18454</c:v>
                </c:pt>
                <c:pt idx="14">
                  <c:v>12170</c:v>
                </c:pt>
                <c:pt idx="15">
                  <c:v>9376</c:v>
                </c:pt>
                <c:pt idx="16">
                  <c:v>5958</c:v>
                </c:pt>
                <c:pt idx="17">
                  <c:v>4507</c:v>
                </c:pt>
                <c:pt idx="18">
                  <c:v>3754</c:v>
                </c:pt>
                <c:pt idx="19">
                  <c:v>2942</c:v>
                </c:pt>
                <c:pt idx="20">
                  <c:v>2023</c:v>
                </c:pt>
                <c:pt idx="21">
                  <c:v>1303</c:v>
                </c:pt>
                <c:pt idx="22">
                  <c:v>611</c:v>
                </c:pt>
                <c:pt idx="23">
                  <c:v>346</c:v>
                </c:pt>
                <c:pt idx="24">
                  <c:v>281</c:v>
                </c:pt>
              </c:numCache>
            </c:numRef>
          </c:val>
        </c:ser>
        <c:ser>
          <c:idx val="1"/>
          <c:order val="1"/>
          <c:tx>
            <c:strRef>
              <c:f>data!$A$7</c:f>
              <c:strCache>
                <c:ptCount val="1"/>
                <c:pt idx="0">
                  <c:v>Consumption A5</c:v>
                </c:pt>
              </c:strCache>
            </c:strRef>
          </c:tx>
          <c:invertIfNegative val="0"/>
          <c:cat>
            <c:numRef>
              <c:f>data!$B$5:$Z$5</c:f>
              <c:numCache>
                <c:formatCode>@</c:formatCode>
                <c:ptCount val="25"/>
                <c:pt idx="0">
                  <c:v>1991</c:v>
                </c:pt>
                <c:pt idx="1">
                  <c:v>1992</c:v>
                </c:pt>
                <c:pt idx="2">
                  <c:v>1993</c:v>
                </c:pt>
                <c:pt idx="3">
                  <c:v>1994</c:v>
                </c:pt>
                <c:pt idx="4">
                  <c:v>1995</c:v>
                </c:pt>
                <c:pt idx="5">
                  <c:v>1996</c:v>
                </c:pt>
                <c:pt idx="6">
                  <c:v>1997</c:v>
                </c:pt>
                <c:pt idx="7">
                  <c:v>1998</c:v>
                </c:pt>
                <c:pt idx="8">
                  <c:v>1999</c:v>
                </c:pt>
                <c:pt idx="9">
                  <c:v>2000</c:v>
                </c:pt>
                <c:pt idx="10" formatCode="General">
                  <c:v>2001</c:v>
                </c:pt>
                <c:pt idx="11" formatCode="General">
                  <c:v>2002</c:v>
                </c:pt>
                <c:pt idx="12" formatCode="General">
                  <c:v>2003</c:v>
                </c:pt>
                <c:pt idx="13" formatCode="General">
                  <c:v>2004</c:v>
                </c:pt>
                <c:pt idx="14" formatCode="General">
                  <c:v>2005</c:v>
                </c:pt>
                <c:pt idx="15" formatCode="General">
                  <c:v>2006</c:v>
                </c:pt>
                <c:pt idx="16" formatCode="General">
                  <c:v>2007</c:v>
                </c:pt>
                <c:pt idx="17" formatCode="General">
                  <c:v>2008</c:v>
                </c:pt>
                <c:pt idx="18" formatCode="General">
                  <c:v>2009</c:v>
                </c:pt>
                <c:pt idx="19" formatCode="General">
                  <c:v>2010</c:v>
                </c:pt>
                <c:pt idx="20" formatCode="General">
                  <c:v>2011</c:v>
                </c:pt>
                <c:pt idx="21" formatCode="General">
                  <c:v>2012</c:v>
                </c:pt>
                <c:pt idx="22" formatCode="General">
                  <c:v>2013</c:v>
                </c:pt>
                <c:pt idx="23" formatCode="General">
                  <c:v>2014</c:v>
                </c:pt>
                <c:pt idx="24" formatCode="General">
                  <c:v>2015</c:v>
                </c:pt>
              </c:numCache>
            </c:numRef>
          </c:cat>
          <c:val>
            <c:numRef>
              <c:f>data!$B$7:$Z$7</c:f>
              <c:numCache>
                <c:formatCode>#,##0</c:formatCode>
                <c:ptCount val="25"/>
                <c:pt idx="0">
                  <c:v>8336</c:v>
                </c:pt>
                <c:pt idx="1">
                  <c:v>9838.5</c:v>
                </c:pt>
                <c:pt idx="2">
                  <c:v>11341</c:v>
                </c:pt>
                <c:pt idx="3">
                  <c:v>12843.5</c:v>
                </c:pt>
                <c:pt idx="4">
                  <c:v>14346</c:v>
                </c:pt>
                <c:pt idx="5">
                  <c:v>14402</c:v>
                </c:pt>
                <c:pt idx="6">
                  <c:v>15880</c:v>
                </c:pt>
                <c:pt idx="7">
                  <c:v>18103</c:v>
                </c:pt>
                <c:pt idx="8">
                  <c:v>13889</c:v>
                </c:pt>
                <c:pt idx="9">
                  <c:v>16575</c:v>
                </c:pt>
                <c:pt idx="10">
                  <c:v>17695</c:v>
                </c:pt>
                <c:pt idx="11">
                  <c:v>12711</c:v>
                </c:pt>
                <c:pt idx="12">
                  <c:v>11820</c:v>
                </c:pt>
                <c:pt idx="13">
                  <c:v>10523</c:v>
                </c:pt>
                <c:pt idx="14">
                  <c:v>9283</c:v>
                </c:pt>
                <c:pt idx="15">
                  <c:v>7022</c:v>
                </c:pt>
                <c:pt idx="16">
                  <c:v>6226</c:v>
                </c:pt>
                <c:pt idx="17">
                  <c:v>5495</c:v>
                </c:pt>
                <c:pt idx="18">
                  <c:v>4435</c:v>
                </c:pt>
                <c:pt idx="19">
                  <c:v>4038</c:v>
                </c:pt>
                <c:pt idx="20">
                  <c:v>3753</c:v>
                </c:pt>
                <c:pt idx="21">
                  <c:v>2878</c:v>
                </c:pt>
                <c:pt idx="22">
                  <c:v>2276</c:v>
                </c:pt>
                <c:pt idx="23">
                  <c:v>1273</c:v>
                </c:pt>
                <c:pt idx="24">
                  <c:v>333</c:v>
                </c:pt>
              </c:numCache>
            </c:numRef>
          </c:val>
        </c:ser>
        <c:dLbls>
          <c:showLegendKey val="0"/>
          <c:showVal val="0"/>
          <c:showCatName val="0"/>
          <c:showSerName val="0"/>
          <c:showPercent val="0"/>
          <c:showBubbleSize val="0"/>
        </c:dLbls>
        <c:gapWidth val="150"/>
        <c:overlap val="100"/>
        <c:axId val="173075456"/>
        <c:axId val="213578496"/>
      </c:barChart>
      <c:catAx>
        <c:axId val="173075456"/>
        <c:scaling>
          <c:orientation val="minMax"/>
        </c:scaling>
        <c:delete val="0"/>
        <c:axPos val="b"/>
        <c:numFmt formatCode="@" sourceLinked="1"/>
        <c:majorTickMark val="out"/>
        <c:minorTickMark val="none"/>
        <c:tickLblPos val="nextTo"/>
        <c:txPr>
          <a:bodyPr rot="-5400000" vert="horz"/>
          <a:lstStyle/>
          <a:p>
            <a:pPr>
              <a:defRPr/>
            </a:pPr>
            <a:endParaRPr lang="en-US"/>
          </a:p>
        </c:txPr>
        <c:crossAx val="213578496"/>
        <c:crosses val="autoZero"/>
        <c:auto val="1"/>
        <c:lblAlgn val="ctr"/>
        <c:lblOffset val="100"/>
        <c:noMultiLvlLbl val="0"/>
      </c:catAx>
      <c:valAx>
        <c:axId val="213578496"/>
        <c:scaling>
          <c:orientation val="minMax"/>
        </c:scaling>
        <c:delete val="0"/>
        <c:axPos val="l"/>
        <c:majorGridlines/>
        <c:title>
          <c:tx>
            <c:rich>
              <a:bodyPr rot="-5400000" vert="horz"/>
              <a:lstStyle/>
              <a:p>
                <a:pPr>
                  <a:defRPr/>
                </a:pPr>
                <a:r>
                  <a:rPr lang="en-US"/>
                  <a:t>Methyl Bromide (metric tonnes</a:t>
                </a:r>
              </a:p>
            </c:rich>
          </c:tx>
          <c:overlay val="0"/>
        </c:title>
        <c:numFmt formatCode="#,##0" sourceLinked="1"/>
        <c:majorTickMark val="out"/>
        <c:minorTickMark val="none"/>
        <c:tickLblPos val="nextTo"/>
        <c:crossAx val="173075456"/>
        <c:crosses val="autoZero"/>
        <c:crossBetween val="between"/>
      </c:valAx>
    </c:plotArea>
    <c:legend>
      <c:legendPos val="r"/>
      <c:layout>
        <c:manualLayout>
          <c:xMode val="edge"/>
          <c:yMode val="edge"/>
          <c:x val="0.80947287839020099"/>
          <c:y val="0.41880754899573303"/>
          <c:w val="0.17200860309127999"/>
          <c:h val="0.31601304536751001"/>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85439450277049"/>
          <c:y val="0.102722564462242"/>
          <c:w val="0.75192334414080597"/>
          <c:h val="0.71840050481494699"/>
        </c:manualLayout>
      </c:layout>
      <c:lineChart>
        <c:grouping val="standard"/>
        <c:varyColors val="0"/>
        <c:ser>
          <c:idx val="0"/>
          <c:order val="0"/>
          <c:tx>
            <c:strRef>
              <c:f>Methyl_Bromide_QPS_Consumption.!$B$12</c:f>
              <c:strCache>
                <c:ptCount val="1"/>
                <c:pt idx="0">
                  <c:v>Global</c:v>
                </c:pt>
              </c:strCache>
            </c:strRef>
          </c:tx>
          <c:spPr>
            <a:ln w="25400" cap="flat" cmpd="sng" algn="ctr">
              <a:solidFill>
                <a:schemeClr val="accent5">
                  <a:shade val="50000"/>
                </a:schemeClr>
              </a:solidFill>
              <a:prstDash val="solid"/>
            </a:ln>
            <a:effectLst/>
          </c:spPr>
          <c:marker>
            <c:symbol val="none"/>
          </c:marker>
          <c:dLbls>
            <c:delete val="1"/>
          </c:dLbls>
          <c:cat>
            <c:numRef>
              <c:f>Methyl_Bromide_QPS_Consumption.!$E$11:$S$11</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Methyl_Bromide_QPS_Consumption.!$E$12:$S$12</c:f>
              <c:numCache>
                <c:formatCode>#,##0.00</c:formatCode>
                <c:ptCount val="15"/>
                <c:pt idx="0">
                  <c:v>9440</c:v>
                </c:pt>
                <c:pt idx="1">
                  <c:v>10897</c:v>
                </c:pt>
                <c:pt idx="2">
                  <c:v>12476</c:v>
                </c:pt>
                <c:pt idx="3">
                  <c:v>12241</c:v>
                </c:pt>
                <c:pt idx="4">
                  <c:v>11528</c:v>
                </c:pt>
                <c:pt idx="5">
                  <c:v>12728</c:v>
                </c:pt>
                <c:pt idx="6">
                  <c:v>10710</c:v>
                </c:pt>
                <c:pt idx="7">
                  <c:v>8905</c:v>
                </c:pt>
                <c:pt idx="8">
                  <c:v>9129</c:v>
                </c:pt>
                <c:pt idx="9">
                  <c:v>10956</c:v>
                </c:pt>
                <c:pt idx="10">
                  <c:v>9700</c:v>
                </c:pt>
                <c:pt idx="11">
                  <c:v>8854</c:v>
                </c:pt>
                <c:pt idx="12">
                  <c:v>9824</c:v>
                </c:pt>
                <c:pt idx="13">
                  <c:v>11122</c:v>
                </c:pt>
                <c:pt idx="14">
                  <c:v>8189</c:v>
                </c:pt>
              </c:numCache>
            </c:numRef>
          </c:val>
          <c:smooth val="0"/>
        </c:ser>
        <c:ser>
          <c:idx val="1"/>
          <c:order val="1"/>
          <c:tx>
            <c:strRef>
              <c:f>Methyl_Bromide_QPS_Consumption.!$B$13</c:f>
              <c:strCache>
                <c:ptCount val="1"/>
                <c:pt idx="0">
                  <c:v>A5</c:v>
                </c:pt>
              </c:strCache>
            </c:strRef>
          </c:tx>
          <c:spPr>
            <a:ln w="25400" cap="flat" cmpd="sng" algn="ctr">
              <a:solidFill>
                <a:srgbClr val="FF0000"/>
              </a:solidFill>
              <a:prstDash val="solid"/>
            </a:ln>
            <a:effectLst/>
          </c:spPr>
          <c:marker>
            <c:symbol val="none"/>
          </c:marker>
          <c:dPt>
            <c:idx val="4"/>
            <c:bubble3D val="0"/>
          </c:dPt>
          <c:dLbls>
            <c:delete val="1"/>
          </c:dLbls>
          <c:cat>
            <c:numRef>
              <c:f>Methyl_Bromide_QPS_Consumption.!$E$11:$S$11</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Methyl_Bromide_QPS_Consumption.!$E$13:$S$13</c:f>
              <c:numCache>
                <c:formatCode>#,##0.00</c:formatCode>
                <c:ptCount val="15"/>
                <c:pt idx="0">
                  <c:v>3036</c:v>
                </c:pt>
                <c:pt idx="1">
                  <c:v>3090</c:v>
                </c:pt>
                <c:pt idx="2">
                  <c:v>3628</c:v>
                </c:pt>
                <c:pt idx="3">
                  <c:v>4676</c:v>
                </c:pt>
                <c:pt idx="4">
                  <c:v>5764</c:v>
                </c:pt>
                <c:pt idx="5">
                  <c:v>5178</c:v>
                </c:pt>
                <c:pt idx="6">
                  <c:v>5777</c:v>
                </c:pt>
                <c:pt idx="7">
                  <c:v>5786</c:v>
                </c:pt>
                <c:pt idx="8">
                  <c:v>5482</c:v>
                </c:pt>
                <c:pt idx="9">
                  <c:v>5601</c:v>
                </c:pt>
                <c:pt idx="10">
                  <c:v>5888</c:v>
                </c:pt>
                <c:pt idx="11">
                  <c:v>5835</c:v>
                </c:pt>
                <c:pt idx="12">
                  <c:v>5521</c:v>
                </c:pt>
                <c:pt idx="13">
                  <c:v>4962</c:v>
                </c:pt>
                <c:pt idx="14">
                  <c:v>4701</c:v>
                </c:pt>
              </c:numCache>
            </c:numRef>
          </c:val>
          <c:smooth val="0"/>
        </c:ser>
        <c:ser>
          <c:idx val="2"/>
          <c:order val="2"/>
          <c:tx>
            <c:strRef>
              <c:f>Methyl_Bromide_QPS_Consumption.!$B$14</c:f>
              <c:strCache>
                <c:ptCount val="1"/>
                <c:pt idx="0">
                  <c:v>Non-A5</c:v>
                </c:pt>
              </c:strCache>
            </c:strRef>
          </c:tx>
          <c:spPr>
            <a:ln w="25400" cap="flat" cmpd="sng" algn="ctr">
              <a:solidFill>
                <a:schemeClr val="accent3">
                  <a:shade val="50000"/>
                </a:schemeClr>
              </a:solidFill>
              <a:prstDash val="solid"/>
            </a:ln>
            <a:effectLst/>
          </c:spPr>
          <c:marker>
            <c:symbol val="none"/>
          </c:marker>
          <c:dLbls>
            <c:delete val="1"/>
          </c:dLbls>
          <c:cat>
            <c:numRef>
              <c:f>Methyl_Bromide_QPS_Consumption.!$E$11:$S$11</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Methyl_Bromide_QPS_Consumption.!$E$14:$S$14</c:f>
              <c:numCache>
                <c:formatCode>#,##0.00</c:formatCode>
                <c:ptCount val="15"/>
                <c:pt idx="0">
                  <c:v>6404</c:v>
                </c:pt>
                <c:pt idx="1">
                  <c:v>7807</c:v>
                </c:pt>
                <c:pt idx="2">
                  <c:v>8848</c:v>
                </c:pt>
                <c:pt idx="3">
                  <c:v>7565</c:v>
                </c:pt>
                <c:pt idx="4">
                  <c:v>5763</c:v>
                </c:pt>
                <c:pt idx="5">
                  <c:v>7550</c:v>
                </c:pt>
                <c:pt idx="6">
                  <c:v>4934</c:v>
                </c:pt>
                <c:pt idx="7">
                  <c:v>3120</c:v>
                </c:pt>
                <c:pt idx="8">
                  <c:v>3648</c:v>
                </c:pt>
                <c:pt idx="9">
                  <c:v>5355</c:v>
                </c:pt>
                <c:pt idx="10">
                  <c:v>3812</c:v>
                </c:pt>
                <c:pt idx="11">
                  <c:v>3025</c:v>
                </c:pt>
                <c:pt idx="12">
                  <c:v>4303</c:v>
                </c:pt>
                <c:pt idx="13">
                  <c:v>6161</c:v>
                </c:pt>
                <c:pt idx="14">
                  <c:v>3488</c:v>
                </c:pt>
              </c:numCache>
            </c:numRef>
          </c:val>
          <c:smooth val="0"/>
        </c:ser>
        <c:dLbls>
          <c:showLegendKey val="0"/>
          <c:showVal val="0"/>
          <c:showCatName val="0"/>
          <c:showSerName val="1"/>
          <c:showPercent val="0"/>
          <c:showBubbleSize val="0"/>
        </c:dLbls>
        <c:marker val="1"/>
        <c:smooth val="0"/>
        <c:axId val="213736448"/>
        <c:axId val="213738240"/>
      </c:lineChart>
      <c:catAx>
        <c:axId val="213736448"/>
        <c:scaling>
          <c:orientation val="minMax"/>
        </c:scaling>
        <c:delete val="0"/>
        <c:axPos val="b"/>
        <c:numFmt formatCode="General" sourceLinked="1"/>
        <c:majorTickMark val="out"/>
        <c:minorTickMark val="none"/>
        <c:tickLblPos val="nextTo"/>
        <c:txPr>
          <a:bodyPr rot="-2460000"/>
          <a:lstStyle/>
          <a:p>
            <a:pPr>
              <a:defRPr/>
            </a:pPr>
            <a:endParaRPr lang="en-US"/>
          </a:p>
        </c:txPr>
        <c:crossAx val="213738240"/>
        <c:crosses val="autoZero"/>
        <c:auto val="1"/>
        <c:lblAlgn val="ctr"/>
        <c:lblOffset val="100"/>
        <c:noMultiLvlLbl val="0"/>
      </c:catAx>
      <c:valAx>
        <c:axId val="213738240"/>
        <c:scaling>
          <c:orientation val="minMax"/>
        </c:scaling>
        <c:delete val="0"/>
        <c:axPos val="l"/>
        <c:majorGridlines/>
        <c:title>
          <c:tx>
            <c:rich>
              <a:bodyPr rot="-5400000" vert="horz"/>
              <a:lstStyle/>
              <a:p>
                <a:pPr>
                  <a:defRPr/>
                </a:pPr>
                <a:r>
                  <a:rPr lang="en-US"/>
                  <a:t>Methyl Bromide (metric tonnes)</a:t>
                </a:r>
              </a:p>
            </c:rich>
          </c:tx>
          <c:layout>
            <c:manualLayout>
              <c:xMode val="edge"/>
              <c:yMode val="edge"/>
              <c:x val="1.6056623436776302E-2"/>
              <c:y val="0.193982825317567"/>
            </c:manualLayout>
          </c:layout>
          <c:overlay val="0"/>
        </c:title>
        <c:numFmt formatCode="#,##0.00" sourceLinked="1"/>
        <c:majorTickMark val="out"/>
        <c:minorTickMark val="none"/>
        <c:tickLblPos val="nextTo"/>
        <c:crossAx val="213736448"/>
        <c:crosses val="autoZero"/>
        <c:crossBetween val="between"/>
      </c:valAx>
    </c:plotArea>
    <c:legend>
      <c:legendPos val="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4462184248245599"/>
          <c:y val="6.0185185185185203E-2"/>
          <c:w val="0.68473129688576195"/>
          <c:h val="0.82253135024788604"/>
        </c:manualLayout>
      </c:layout>
      <c:barChart>
        <c:barDir val="col"/>
        <c:grouping val="clustered"/>
        <c:varyColors val="0"/>
        <c:ser>
          <c:idx val="0"/>
          <c:order val="0"/>
          <c:tx>
            <c:strRef>
              <c:f>'Ozone data'!$A$41</c:f>
              <c:strCache>
                <c:ptCount val="1"/>
                <c:pt idx="0">
                  <c:v>China</c:v>
                </c:pt>
              </c:strCache>
            </c:strRef>
          </c:tx>
          <c:invertIfNegative val="0"/>
          <c:cat>
            <c:strRef>
              <c:f>'Ozone data'!$B$40:$K$40</c:f>
              <c:strCache>
                <c:ptCount val="10"/>
                <c:pt idx="0">
                  <c:v>2006</c:v>
                </c:pt>
                <c:pt idx="1">
                  <c:v>2007</c:v>
                </c:pt>
                <c:pt idx="2">
                  <c:v>2008</c:v>
                </c:pt>
                <c:pt idx="3">
                  <c:v>2009</c:v>
                </c:pt>
                <c:pt idx="4">
                  <c:v>2010</c:v>
                </c:pt>
                <c:pt idx="5">
                  <c:v>2011</c:v>
                </c:pt>
                <c:pt idx="6">
                  <c:v>2012</c:v>
                </c:pt>
                <c:pt idx="7">
                  <c:v>2013</c:v>
                </c:pt>
                <c:pt idx="8">
                  <c:v>2014</c:v>
                </c:pt>
                <c:pt idx="9">
                  <c:v>2015</c:v>
                </c:pt>
              </c:strCache>
            </c:strRef>
          </c:cat>
          <c:val>
            <c:numRef>
              <c:f>'Ozone data'!$B$41:$K$41</c:f>
              <c:numCache>
                <c:formatCode>General</c:formatCode>
                <c:ptCount val="10"/>
                <c:pt idx="0">
                  <c:v>1314</c:v>
                </c:pt>
                <c:pt idx="1">
                  <c:v>1535</c:v>
                </c:pt>
                <c:pt idx="2">
                  <c:v>1262</c:v>
                </c:pt>
                <c:pt idx="3">
                  <c:v>1604</c:v>
                </c:pt>
                <c:pt idx="4">
                  <c:v>1853</c:v>
                </c:pt>
                <c:pt idx="5">
                  <c:v>1680</c:v>
                </c:pt>
                <c:pt idx="6">
                  <c:v>1593</c:v>
                </c:pt>
                <c:pt idx="7">
                  <c:v>1438</c:v>
                </c:pt>
                <c:pt idx="8">
                  <c:v>1437</c:v>
                </c:pt>
                <c:pt idx="9">
                  <c:v>1360</c:v>
                </c:pt>
              </c:numCache>
            </c:numRef>
          </c:val>
        </c:ser>
        <c:ser>
          <c:idx val="1"/>
          <c:order val="1"/>
          <c:tx>
            <c:strRef>
              <c:f>'Ozone data'!$A$42</c:f>
              <c:strCache>
                <c:ptCount val="1"/>
                <c:pt idx="0">
                  <c:v>India</c:v>
                </c:pt>
              </c:strCache>
            </c:strRef>
          </c:tx>
          <c:invertIfNegative val="0"/>
          <c:cat>
            <c:strRef>
              <c:f>'Ozone data'!$B$40:$K$40</c:f>
              <c:strCache>
                <c:ptCount val="10"/>
                <c:pt idx="0">
                  <c:v>2006</c:v>
                </c:pt>
                <c:pt idx="1">
                  <c:v>2007</c:v>
                </c:pt>
                <c:pt idx="2">
                  <c:v>2008</c:v>
                </c:pt>
                <c:pt idx="3">
                  <c:v>2009</c:v>
                </c:pt>
                <c:pt idx="4">
                  <c:v>2010</c:v>
                </c:pt>
                <c:pt idx="5">
                  <c:v>2011</c:v>
                </c:pt>
                <c:pt idx="6">
                  <c:v>2012</c:v>
                </c:pt>
                <c:pt idx="7">
                  <c:v>2013</c:v>
                </c:pt>
                <c:pt idx="8">
                  <c:v>2014</c:v>
                </c:pt>
                <c:pt idx="9">
                  <c:v>2015</c:v>
                </c:pt>
              </c:strCache>
            </c:strRef>
          </c:cat>
          <c:val>
            <c:numRef>
              <c:f>'Ozone data'!$B$42:$K$42</c:f>
              <c:numCache>
                <c:formatCode>General</c:formatCode>
                <c:ptCount val="10"/>
                <c:pt idx="9">
                  <c:v>1333</c:v>
                </c:pt>
              </c:numCache>
            </c:numRef>
          </c:val>
        </c:ser>
        <c:ser>
          <c:idx val="2"/>
          <c:order val="2"/>
          <c:tx>
            <c:strRef>
              <c:f>'Ozone data'!$A$43</c:f>
              <c:strCache>
                <c:ptCount val="1"/>
                <c:pt idx="0">
                  <c:v>Israel</c:v>
                </c:pt>
              </c:strCache>
            </c:strRef>
          </c:tx>
          <c:invertIfNegative val="0"/>
          <c:cat>
            <c:strRef>
              <c:f>'Ozone data'!$B$40:$K$40</c:f>
              <c:strCache>
                <c:ptCount val="10"/>
                <c:pt idx="0">
                  <c:v>2006</c:v>
                </c:pt>
                <c:pt idx="1">
                  <c:v>2007</c:v>
                </c:pt>
                <c:pt idx="2">
                  <c:v>2008</c:v>
                </c:pt>
                <c:pt idx="3">
                  <c:v>2009</c:v>
                </c:pt>
                <c:pt idx="4">
                  <c:v>2010</c:v>
                </c:pt>
                <c:pt idx="5">
                  <c:v>2011</c:v>
                </c:pt>
                <c:pt idx="6">
                  <c:v>2012</c:v>
                </c:pt>
                <c:pt idx="7">
                  <c:v>2013</c:v>
                </c:pt>
                <c:pt idx="8">
                  <c:v>2014</c:v>
                </c:pt>
                <c:pt idx="9">
                  <c:v>2015</c:v>
                </c:pt>
              </c:strCache>
            </c:strRef>
          </c:cat>
          <c:val>
            <c:numRef>
              <c:f>'Ozone data'!$B$43:$K$43</c:f>
              <c:numCache>
                <c:formatCode>General</c:formatCode>
                <c:ptCount val="10"/>
                <c:pt idx="0">
                  <c:v>1477</c:v>
                </c:pt>
                <c:pt idx="1">
                  <c:v>3760</c:v>
                </c:pt>
                <c:pt idx="2">
                  <c:v>2641</c:v>
                </c:pt>
                <c:pt idx="3">
                  <c:v>2205</c:v>
                </c:pt>
                <c:pt idx="4">
                  <c:v>2373</c:v>
                </c:pt>
                <c:pt idx="5">
                  <c:v>2421</c:v>
                </c:pt>
                <c:pt idx="6">
                  <c:v>2109</c:v>
                </c:pt>
                <c:pt idx="7">
                  <c:v>2357</c:v>
                </c:pt>
                <c:pt idx="8">
                  <c:v>1836</c:v>
                </c:pt>
                <c:pt idx="9">
                  <c:v>1132</c:v>
                </c:pt>
              </c:numCache>
            </c:numRef>
          </c:val>
        </c:ser>
        <c:ser>
          <c:idx val="3"/>
          <c:order val="3"/>
          <c:tx>
            <c:strRef>
              <c:f>'Ozone data'!$A$44</c:f>
              <c:strCache>
                <c:ptCount val="1"/>
                <c:pt idx="0">
                  <c:v>Japan</c:v>
                </c:pt>
              </c:strCache>
            </c:strRef>
          </c:tx>
          <c:invertIfNegative val="0"/>
          <c:cat>
            <c:strRef>
              <c:f>'Ozone data'!$B$40:$K$40</c:f>
              <c:strCache>
                <c:ptCount val="10"/>
                <c:pt idx="0">
                  <c:v>2006</c:v>
                </c:pt>
                <c:pt idx="1">
                  <c:v>2007</c:v>
                </c:pt>
                <c:pt idx="2">
                  <c:v>2008</c:v>
                </c:pt>
                <c:pt idx="3">
                  <c:v>2009</c:v>
                </c:pt>
                <c:pt idx="4">
                  <c:v>2010</c:v>
                </c:pt>
                <c:pt idx="5">
                  <c:v>2011</c:v>
                </c:pt>
                <c:pt idx="6">
                  <c:v>2012</c:v>
                </c:pt>
                <c:pt idx="7">
                  <c:v>2013</c:v>
                </c:pt>
                <c:pt idx="8">
                  <c:v>2014</c:v>
                </c:pt>
                <c:pt idx="9">
                  <c:v>2015</c:v>
                </c:pt>
              </c:strCache>
            </c:strRef>
          </c:cat>
          <c:val>
            <c:numRef>
              <c:f>'Ozone data'!$B$44:$K$44</c:f>
              <c:numCache>
                <c:formatCode>General</c:formatCode>
                <c:ptCount val="10"/>
                <c:pt idx="0">
                  <c:v>851</c:v>
                </c:pt>
                <c:pt idx="1">
                  <c:v>787</c:v>
                </c:pt>
                <c:pt idx="2">
                  <c:v>684</c:v>
                </c:pt>
                <c:pt idx="3">
                  <c:v>523</c:v>
                </c:pt>
                <c:pt idx="4">
                  <c:v>441</c:v>
                </c:pt>
                <c:pt idx="5">
                  <c:v>515</c:v>
                </c:pt>
                <c:pt idx="6">
                  <c:v>500</c:v>
                </c:pt>
                <c:pt idx="7">
                  <c:v>499</c:v>
                </c:pt>
                <c:pt idx="8">
                  <c:v>450</c:v>
                </c:pt>
                <c:pt idx="9">
                  <c:v>449</c:v>
                </c:pt>
              </c:numCache>
            </c:numRef>
          </c:val>
        </c:ser>
        <c:ser>
          <c:idx val="4"/>
          <c:order val="4"/>
          <c:tx>
            <c:strRef>
              <c:f>'Ozone data'!$A$45</c:f>
              <c:strCache>
                <c:ptCount val="1"/>
                <c:pt idx="0">
                  <c:v>United States</c:v>
                </c:pt>
              </c:strCache>
            </c:strRef>
          </c:tx>
          <c:invertIfNegative val="0"/>
          <c:cat>
            <c:strRef>
              <c:f>'Ozone data'!$B$40:$K$40</c:f>
              <c:strCache>
                <c:ptCount val="10"/>
                <c:pt idx="0">
                  <c:v>2006</c:v>
                </c:pt>
                <c:pt idx="1">
                  <c:v>2007</c:v>
                </c:pt>
                <c:pt idx="2">
                  <c:v>2008</c:v>
                </c:pt>
                <c:pt idx="3">
                  <c:v>2009</c:v>
                </c:pt>
                <c:pt idx="4">
                  <c:v>2010</c:v>
                </c:pt>
                <c:pt idx="5">
                  <c:v>2011</c:v>
                </c:pt>
                <c:pt idx="6">
                  <c:v>2012</c:v>
                </c:pt>
                <c:pt idx="7">
                  <c:v>2013</c:v>
                </c:pt>
                <c:pt idx="8">
                  <c:v>2014</c:v>
                </c:pt>
                <c:pt idx="9">
                  <c:v>2015</c:v>
                </c:pt>
              </c:strCache>
            </c:strRef>
          </c:cat>
          <c:val>
            <c:numRef>
              <c:f>'Ozone data'!$B$45:$K$45</c:f>
              <c:numCache>
                <c:formatCode>General</c:formatCode>
                <c:ptCount val="10"/>
                <c:pt idx="0">
                  <c:v>6633</c:v>
                </c:pt>
                <c:pt idx="1">
                  <c:v>6903</c:v>
                </c:pt>
                <c:pt idx="2">
                  <c:v>3788</c:v>
                </c:pt>
                <c:pt idx="3">
                  <c:v>4612</c:v>
                </c:pt>
                <c:pt idx="4">
                  <c:v>7111</c:v>
                </c:pt>
                <c:pt idx="5">
                  <c:v>4820</c:v>
                </c:pt>
                <c:pt idx="6">
                  <c:v>4522</c:v>
                </c:pt>
                <c:pt idx="7">
                  <c:v>5621</c:v>
                </c:pt>
                <c:pt idx="8">
                  <c:v>6335</c:v>
                </c:pt>
                <c:pt idx="9">
                  <c:v>4175</c:v>
                </c:pt>
              </c:numCache>
            </c:numRef>
          </c:val>
        </c:ser>
        <c:dLbls>
          <c:showLegendKey val="0"/>
          <c:showVal val="0"/>
          <c:showCatName val="0"/>
          <c:showSerName val="0"/>
          <c:showPercent val="0"/>
          <c:showBubbleSize val="0"/>
        </c:dLbls>
        <c:gapWidth val="150"/>
        <c:axId val="213762048"/>
        <c:axId val="213763584"/>
      </c:barChart>
      <c:catAx>
        <c:axId val="213762048"/>
        <c:scaling>
          <c:orientation val="minMax"/>
        </c:scaling>
        <c:delete val="0"/>
        <c:axPos val="b"/>
        <c:numFmt formatCode="General" sourceLinked="0"/>
        <c:majorTickMark val="out"/>
        <c:minorTickMark val="none"/>
        <c:tickLblPos val="nextTo"/>
        <c:crossAx val="213763584"/>
        <c:crosses val="autoZero"/>
        <c:auto val="1"/>
        <c:lblAlgn val="ctr"/>
        <c:lblOffset val="100"/>
        <c:noMultiLvlLbl val="0"/>
      </c:catAx>
      <c:valAx>
        <c:axId val="213763584"/>
        <c:scaling>
          <c:orientation val="minMax"/>
        </c:scaling>
        <c:delete val="0"/>
        <c:axPos val="l"/>
        <c:majorGridlines/>
        <c:title>
          <c:tx>
            <c:rich>
              <a:bodyPr rot="-5400000" vert="horz"/>
              <a:lstStyle/>
              <a:p>
                <a:pPr>
                  <a:defRPr/>
                </a:pPr>
                <a:r>
                  <a:rPr lang="en-US"/>
                  <a:t>Methyl Bromide (metric tonnes)</a:t>
                </a:r>
              </a:p>
            </c:rich>
          </c:tx>
          <c:overlay val="0"/>
        </c:title>
        <c:numFmt formatCode="General" sourceLinked="1"/>
        <c:majorTickMark val="out"/>
        <c:minorTickMark val="none"/>
        <c:tickLblPos val="nextTo"/>
        <c:crossAx val="213762048"/>
        <c:crosses val="autoZero"/>
        <c:crossBetween val="between"/>
      </c:valAx>
    </c:plotArea>
    <c:legend>
      <c:legendPos val="r"/>
      <c:layout>
        <c:manualLayout>
          <c:xMode val="edge"/>
          <c:yMode val="edge"/>
          <c:x val="0.85062973511289797"/>
          <c:y val="0.23145049577136201"/>
          <c:w val="0.130457735336274"/>
          <c:h val="0.625061971420239"/>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stacked"/>
        <c:varyColors val="0"/>
        <c:ser>
          <c:idx val="0"/>
          <c:order val="0"/>
          <c:tx>
            <c:strRef>
              <c:f>'[Reported Feedstock uses.xlsx]Quantities'!$A$28</c:f>
              <c:strCache>
                <c:ptCount val="1"/>
                <c:pt idx="0">
                  <c:v>AI</c:v>
                </c:pt>
              </c:strCache>
            </c:strRef>
          </c:tx>
          <c:invertIfNegative val="0"/>
          <c:cat>
            <c:numRef>
              <c:f>'[Reported Feedstock uses.xlsx]Quantities'!$B$27:$O$27</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'[Reported Feedstock uses.xlsx]Quantities'!$B$28:$O$28</c:f>
              <c:numCache>
                <c:formatCode>_(* #,##0_);_(* \(#,##0\);_(* "-"??_);_(@_)</c:formatCode>
                <c:ptCount val="14"/>
                <c:pt idx="0">
                  <c:v>220868.6</c:v>
                </c:pt>
                <c:pt idx="1">
                  <c:v>226677.9</c:v>
                </c:pt>
                <c:pt idx="2">
                  <c:v>241302.05</c:v>
                </c:pt>
                <c:pt idx="3">
                  <c:v>264860.12</c:v>
                </c:pt>
                <c:pt idx="4">
                  <c:v>166388.1</c:v>
                </c:pt>
                <c:pt idx="5">
                  <c:v>240357.33600000001</c:v>
                </c:pt>
                <c:pt idx="6">
                  <c:v>213797.01199999999</c:v>
                </c:pt>
                <c:pt idx="7">
                  <c:v>208835.14</c:v>
                </c:pt>
                <c:pt idx="8">
                  <c:v>214079.10024999999</c:v>
                </c:pt>
                <c:pt idx="9">
                  <c:v>187219.39499999999</c:v>
                </c:pt>
                <c:pt idx="10">
                  <c:v>222142.70133000001</c:v>
                </c:pt>
                <c:pt idx="11">
                  <c:v>182924.99</c:v>
                </c:pt>
                <c:pt idx="12">
                  <c:v>170770.2</c:v>
                </c:pt>
                <c:pt idx="13">
                  <c:v>87337.202377999653</c:v>
                </c:pt>
              </c:numCache>
            </c:numRef>
          </c:val>
        </c:ser>
        <c:ser>
          <c:idx val="1"/>
          <c:order val="1"/>
          <c:tx>
            <c:strRef>
              <c:f>'[Reported Feedstock uses.xlsx]Quantities'!$A$29</c:f>
              <c:strCache>
                <c:ptCount val="1"/>
                <c:pt idx="0">
                  <c:v>BII</c:v>
                </c:pt>
              </c:strCache>
            </c:strRef>
          </c:tx>
          <c:invertIfNegative val="0"/>
          <c:cat>
            <c:numRef>
              <c:f>'[Reported Feedstock uses.xlsx]Quantities'!$B$27:$O$27</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'[Reported Feedstock uses.xlsx]Quantities'!$B$29:$O$29</c:f>
              <c:numCache>
                <c:formatCode>_(* #,##0_);_(* \(#,##0\);_(* "-"??_);_(@_)</c:formatCode>
                <c:ptCount val="14"/>
                <c:pt idx="0">
                  <c:v>175109.69099999999</c:v>
                </c:pt>
                <c:pt idx="1">
                  <c:v>160979.14300000001</c:v>
                </c:pt>
                <c:pt idx="2">
                  <c:v>178537.033</c:v>
                </c:pt>
                <c:pt idx="3">
                  <c:v>178043.05900000001</c:v>
                </c:pt>
                <c:pt idx="4">
                  <c:v>164755.45800000001</c:v>
                </c:pt>
                <c:pt idx="5">
                  <c:v>158574.19</c:v>
                </c:pt>
                <c:pt idx="6">
                  <c:v>164796.66626</c:v>
                </c:pt>
                <c:pt idx="7">
                  <c:v>144727.8536</c:v>
                </c:pt>
                <c:pt idx="8">
                  <c:v>178967.9688</c:v>
                </c:pt>
                <c:pt idx="9">
                  <c:v>194619.9258</c:v>
                </c:pt>
                <c:pt idx="10">
                  <c:v>192642.04680000001</c:v>
                </c:pt>
                <c:pt idx="11">
                  <c:v>188872.44774</c:v>
                </c:pt>
                <c:pt idx="12">
                  <c:v>214483.08181999999</c:v>
                </c:pt>
                <c:pt idx="13">
                  <c:v>213892.93969599999</c:v>
                </c:pt>
              </c:numCache>
            </c:numRef>
          </c:val>
        </c:ser>
        <c:ser>
          <c:idx val="2"/>
          <c:order val="2"/>
          <c:tx>
            <c:strRef>
              <c:f>'[Reported Feedstock uses.xlsx]Quantities'!$A$30</c:f>
              <c:strCache>
                <c:ptCount val="1"/>
                <c:pt idx="0">
                  <c:v>BIII</c:v>
                </c:pt>
              </c:strCache>
            </c:strRef>
          </c:tx>
          <c:invertIfNegative val="0"/>
          <c:cat>
            <c:numRef>
              <c:f>'[Reported Feedstock uses.xlsx]Quantities'!$B$27:$O$27</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'[Reported Feedstock uses.xlsx]Quantities'!$B$30:$O$30</c:f>
              <c:numCache>
                <c:formatCode>_(* #,##0_);_(* \(#,##0\);_(* "-"??_);_(@_)</c:formatCode>
                <c:ptCount val="14"/>
                <c:pt idx="0">
                  <c:v>210648</c:v>
                </c:pt>
                <c:pt idx="1">
                  <c:v>154042.70000000001</c:v>
                </c:pt>
                <c:pt idx="2">
                  <c:v>150146.492</c:v>
                </c:pt>
                <c:pt idx="3">
                  <c:v>141302.764</c:v>
                </c:pt>
                <c:pt idx="4">
                  <c:v>125970.52713</c:v>
                </c:pt>
                <c:pt idx="5">
                  <c:v>87759.384999999995</c:v>
                </c:pt>
                <c:pt idx="6">
                  <c:v>108965.88533</c:v>
                </c:pt>
                <c:pt idx="7">
                  <c:v>99274.331999999995</c:v>
                </c:pt>
                <c:pt idx="8">
                  <c:v>116722.5</c:v>
                </c:pt>
                <c:pt idx="9">
                  <c:v>110926.09699999999</c:v>
                </c:pt>
                <c:pt idx="10">
                  <c:v>101521.28</c:v>
                </c:pt>
                <c:pt idx="11">
                  <c:v>107259.429</c:v>
                </c:pt>
                <c:pt idx="12">
                  <c:v>105322.647</c:v>
                </c:pt>
                <c:pt idx="13">
                  <c:v>85121.96</c:v>
                </c:pt>
              </c:numCache>
            </c:numRef>
          </c:val>
        </c:ser>
        <c:ser>
          <c:idx val="3"/>
          <c:order val="3"/>
          <c:tx>
            <c:strRef>
              <c:f>'[Reported Feedstock uses.xlsx]Quantities'!$A$31</c:f>
              <c:strCache>
                <c:ptCount val="1"/>
                <c:pt idx="0">
                  <c:v>CI</c:v>
                </c:pt>
              </c:strCache>
            </c:strRef>
          </c:tx>
          <c:invertIfNegative val="0"/>
          <c:cat>
            <c:numRef>
              <c:f>'[Reported Feedstock uses.xlsx]Quantities'!$B$27:$O$27</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'[Reported Feedstock uses.xlsx]Quantities'!$B$31:$O$31</c:f>
              <c:numCache>
                <c:formatCode>_(* #,##0_);_(* \(#,##0\);_(* "-"??_);_(@_)</c:formatCode>
                <c:ptCount val="14"/>
                <c:pt idx="0">
                  <c:v>242650.53700000001</c:v>
                </c:pt>
                <c:pt idx="1">
                  <c:v>283989.93800000002</c:v>
                </c:pt>
                <c:pt idx="2">
                  <c:v>325843.14899999992</c:v>
                </c:pt>
                <c:pt idx="3">
                  <c:v>347654.603</c:v>
                </c:pt>
                <c:pt idx="4">
                  <c:v>366412.87099999993</c:v>
                </c:pt>
                <c:pt idx="5">
                  <c:v>375215.67499999999</c:v>
                </c:pt>
                <c:pt idx="6">
                  <c:v>448314.12699999992</c:v>
                </c:pt>
                <c:pt idx="7">
                  <c:v>393925.64202999981</c:v>
                </c:pt>
                <c:pt idx="8">
                  <c:v>536674.41700000002</c:v>
                </c:pt>
                <c:pt idx="9">
                  <c:v>656586.40272000001</c:v>
                </c:pt>
                <c:pt idx="10">
                  <c:v>647750.13753999886</c:v>
                </c:pt>
                <c:pt idx="11">
                  <c:v>686308.94099999999</c:v>
                </c:pt>
                <c:pt idx="12">
                  <c:v>711729.53099999996</c:v>
                </c:pt>
                <c:pt idx="13">
                  <c:v>688866.26199999999</c:v>
                </c:pt>
              </c:numCache>
            </c:numRef>
          </c:val>
        </c:ser>
        <c:ser>
          <c:idx val="4"/>
          <c:order val="4"/>
          <c:tx>
            <c:strRef>
              <c:f>'[Reported Feedstock uses.xlsx]Quantities'!$A$32</c:f>
              <c:strCache>
                <c:ptCount val="1"/>
                <c:pt idx="0">
                  <c:v>Other</c:v>
                </c:pt>
              </c:strCache>
            </c:strRef>
          </c:tx>
          <c:invertIfNegative val="0"/>
          <c:cat>
            <c:numRef>
              <c:f>'[Reported Feedstock uses.xlsx]Quantities'!$B$27:$O$27</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'[Reported Feedstock uses.xlsx]Quantities'!$B$32:$O$32</c:f>
              <c:numCache>
                <c:formatCode>_(* #,##0_);_(* \(#,##0\);_(* "-"??_);_(@_)</c:formatCode>
                <c:ptCount val="14"/>
                <c:pt idx="0">
                  <c:v>5582.2701999999999</c:v>
                </c:pt>
                <c:pt idx="1">
                  <c:v>8524.7009999999827</c:v>
                </c:pt>
                <c:pt idx="2">
                  <c:v>9922.8270000000011</c:v>
                </c:pt>
                <c:pt idx="3">
                  <c:v>8199.4249999999847</c:v>
                </c:pt>
                <c:pt idx="4">
                  <c:v>9445.0129999999808</c:v>
                </c:pt>
                <c:pt idx="5">
                  <c:v>8756.8225000000002</c:v>
                </c:pt>
                <c:pt idx="6">
                  <c:v>9602.0941999999977</c:v>
                </c:pt>
                <c:pt idx="7">
                  <c:v>9312.3430000000008</c:v>
                </c:pt>
                <c:pt idx="8">
                  <c:v>10001.639649999999</c:v>
                </c:pt>
                <c:pt idx="9">
                  <c:v>7643.0868899999996</c:v>
                </c:pt>
                <c:pt idx="10">
                  <c:v>6926.7325100000007</c:v>
                </c:pt>
                <c:pt idx="11">
                  <c:v>9297.120930000001</c:v>
                </c:pt>
                <c:pt idx="12">
                  <c:v>7209.4385400000001</c:v>
                </c:pt>
                <c:pt idx="13">
                  <c:v>6485.8689900000008</c:v>
                </c:pt>
              </c:numCache>
            </c:numRef>
          </c:val>
        </c:ser>
        <c:dLbls>
          <c:showLegendKey val="0"/>
          <c:showVal val="0"/>
          <c:showCatName val="0"/>
          <c:showSerName val="0"/>
          <c:showPercent val="0"/>
          <c:showBubbleSize val="0"/>
        </c:dLbls>
        <c:gapWidth val="150"/>
        <c:overlap val="100"/>
        <c:axId val="213934464"/>
        <c:axId val="213936000"/>
      </c:barChart>
      <c:catAx>
        <c:axId val="213934464"/>
        <c:scaling>
          <c:orientation val="minMax"/>
        </c:scaling>
        <c:delete val="0"/>
        <c:axPos val="b"/>
        <c:numFmt formatCode="General" sourceLinked="1"/>
        <c:majorTickMark val="out"/>
        <c:minorTickMark val="none"/>
        <c:tickLblPos val="nextTo"/>
        <c:txPr>
          <a:bodyPr rot="-2700000" vert="horz"/>
          <a:lstStyle/>
          <a:p>
            <a:pPr>
              <a:defRPr sz="900" baseline="0"/>
            </a:pPr>
            <a:endParaRPr lang="en-US"/>
          </a:p>
        </c:txPr>
        <c:crossAx val="213936000"/>
        <c:crosses val="autoZero"/>
        <c:auto val="1"/>
        <c:lblAlgn val="ctr"/>
        <c:lblOffset val="100"/>
        <c:noMultiLvlLbl val="0"/>
      </c:catAx>
      <c:valAx>
        <c:axId val="213936000"/>
        <c:scaling>
          <c:orientation val="minMax"/>
        </c:scaling>
        <c:delete val="0"/>
        <c:axPos val="l"/>
        <c:majorGridlines/>
        <c:title>
          <c:tx>
            <c:rich>
              <a:bodyPr rot="-5400000" vert="horz"/>
              <a:lstStyle/>
              <a:p>
                <a:pPr>
                  <a:defRPr sz="900"/>
                </a:pPr>
                <a:r>
                  <a:rPr lang="en-US" sz="900"/>
                  <a:t>Feedstock</a:t>
                </a:r>
                <a:r>
                  <a:rPr lang="en-US" sz="900" baseline="0"/>
                  <a:t> Uses of ODS (Metric Tonnes)</a:t>
                </a:r>
                <a:endParaRPr lang="en-US" sz="900"/>
              </a:p>
            </c:rich>
          </c:tx>
          <c:layout>
            <c:manualLayout>
              <c:xMode val="edge"/>
              <c:yMode val="edge"/>
              <c:x val="2.2222222222222199E-2"/>
              <c:y val="9.5508530183727E-2"/>
            </c:manualLayout>
          </c:layout>
          <c:overlay val="0"/>
        </c:title>
        <c:numFmt formatCode="_(* #,##0_);_(* \(#,##0\);_(* &quot;-&quot;??_);_(@_)" sourceLinked="1"/>
        <c:majorTickMark val="out"/>
        <c:minorTickMark val="none"/>
        <c:tickLblPos val="nextTo"/>
        <c:txPr>
          <a:bodyPr/>
          <a:lstStyle/>
          <a:p>
            <a:pPr>
              <a:defRPr sz="900">
                <a:latin typeface="Times New Roman"/>
              </a:defRPr>
            </a:pPr>
            <a:endParaRPr lang="en-US"/>
          </a:p>
        </c:txPr>
        <c:crossAx val="213934464"/>
        <c:crosses val="autoZero"/>
        <c:crossBetween val="between"/>
      </c:valAx>
    </c:plotArea>
    <c:legend>
      <c:legendPos val="r"/>
      <c:overlay val="0"/>
      <c:txPr>
        <a:bodyPr/>
        <a:lstStyle/>
        <a:p>
          <a:pPr>
            <a:defRPr sz="900"/>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lineChart>
        <c:grouping val="standard"/>
        <c:varyColors val="0"/>
        <c:ser>
          <c:idx val="0"/>
          <c:order val="0"/>
          <c:tx>
            <c:strRef>
              <c:f>'[Reported Feedstock uses.xlsx]number of parties'!$A$14</c:f>
              <c:strCache>
                <c:ptCount val="1"/>
                <c:pt idx="0">
                  <c:v>Number of parties reporting</c:v>
                </c:pt>
              </c:strCache>
            </c:strRef>
          </c:tx>
          <c:marker>
            <c:symbol val="none"/>
          </c:marker>
          <c:cat>
            <c:numRef>
              <c:f>'[Reported Feedstock uses.xlsx]number of parties'!$B$13:$O$13</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'[Reported Feedstock uses.xlsx]number of parties'!$B$14:$O$14</c:f>
              <c:numCache>
                <c:formatCode>General</c:formatCode>
                <c:ptCount val="14"/>
                <c:pt idx="0">
                  <c:v>21</c:v>
                </c:pt>
                <c:pt idx="1">
                  <c:v>20</c:v>
                </c:pt>
                <c:pt idx="2">
                  <c:v>15</c:v>
                </c:pt>
                <c:pt idx="3">
                  <c:v>17</c:v>
                </c:pt>
                <c:pt idx="4">
                  <c:v>15</c:v>
                </c:pt>
                <c:pt idx="5">
                  <c:v>16</c:v>
                </c:pt>
                <c:pt idx="6">
                  <c:v>12</c:v>
                </c:pt>
                <c:pt idx="7">
                  <c:v>14</c:v>
                </c:pt>
                <c:pt idx="8">
                  <c:v>13</c:v>
                </c:pt>
                <c:pt idx="9">
                  <c:v>12</c:v>
                </c:pt>
                <c:pt idx="10">
                  <c:v>13</c:v>
                </c:pt>
                <c:pt idx="11">
                  <c:v>13</c:v>
                </c:pt>
                <c:pt idx="12">
                  <c:v>14</c:v>
                </c:pt>
                <c:pt idx="13">
                  <c:v>14</c:v>
                </c:pt>
              </c:numCache>
            </c:numRef>
          </c:val>
          <c:smooth val="0"/>
        </c:ser>
        <c:dLbls>
          <c:showLegendKey val="0"/>
          <c:showVal val="0"/>
          <c:showCatName val="0"/>
          <c:showSerName val="0"/>
          <c:showPercent val="0"/>
          <c:showBubbleSize val="0"/>
        </c:dLbls>
        <c:marker val="1"/>
        <c:smooth val="0"/>
        <c:axId val="213947904"/>
        <c:axId val="213949440"/>
      </c:lineChart>
      <c:catAx>
        <c:axId val="213947904"/>
        <c:scaling>
          <c:orientation val="minMax"/>
        </c:scaling>
        <c:delete val="0"/>
        <c:axPos val="b"/>
        <c:numFmt formatCode="General" sourceLinked="1"/>
        <c:majorTickMark val="out"/>
        <c:minorTickMark val="none"/>
        <c:tickLblPos val="nextTo"/>
        <c:txPr>
          <a:bodyPr rot="-2700000" vert="horz"/>
          <a:lstStyle/>
          <a:p>
            <a:pPr>
              <a:defRPr sz="900" baseline="0">
                <a:latin typeface="Times New Roman"/>
              </a:defRPr>
            </a:pPr>
            <a:endParaRPr lang="en-US"/>
          </a:p>
        </c:txPr>
        <c:crossAx val="213949440"/>
        <c:crosses val="autoZero"/>
        <c:auto val="1"/>
        <c:lblAlgn val="ctr"/>
        <c:lblOffset val="100"/>
        <c:noMultiLvlLbl val="0"/>
      </c:catAx>
      <c:valAx>
        <c:axId val="213949440"/>
        <c:scaling>
          <c:orientation val="minMax"/>
        </c:scaling>
        <c:delete val="0"/>
        <c:axPos val="l"/>
        <c:majorGridlines/>
        <c:title>
          <c:tx>
            <c:rich>
              <a:bodyPr rot="-5400000" vert="horz"/>
              <a:lstStyle/>
              <a:p>
                <a:pPr>
                  <a:defRPr sz="900"/>
                </a:pPr>
                <a:r>
                  <a:rPr lang="en-US" sz="900"/>
                  <a:t>Number</a:t>
                </a:r>
                <a:r>
                  <a:rPr lang="en-US" sz="900" baseline="0"/>
                  <a:t> of parties reporting</a:t>
                </a:r>
                <a:endParaRPr lang="en-US" sz="900"/>
              </a:p>
            </c:rich>
          </c:tx>
          <c:layout>
            <c:manualLayout>
              <c:xMode val="edge"/>
              <c:yMode val="edge"/>
              <c:x val="1.94444444444444E-2"/>
              <c:y val="0.20074620880723201"/>
            </c:manualLayout>
          </c:layout>
          <c:overlay val="0"/>
        </c:title>
        <c:numFmt formatCode="General" sourceLinked="1"/>
        <c:majorTickMark val="out"/>
        <c:minorTickMark val="none"/>
        <c:tickLblPos val="nextTo"/>
        <c:txPr>
          <a:bodyPr/>
          <a:lstStyle/>
          <a:p>
            <a:pPr>
              <a:defRPr sz="900">
                <a:latin typeface="Times New Roman"/>
              </a:defRPr>
            </a:pPr>
            <a:endParaRPr lang="en-US"/>
          </a:p>
        </c:txPr>
        <c:crossAx val="213947904"/>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C3F99E10EF22E40B3DDB3FE794EF29A" ma:contentTypeVersion="" ma:contentTypeDescription="Create a new document." ma:contentTypeScope="" ma:versionID="e1cf795976c8e99570bfe39e19b90f4b">
  <xsd:schema xmlns:xsd="http://www.w3.org/2001/XMLSchema" xmlns:xs="http://www.w3.org/2001/XMLSchema" xmlns:p="http://schemas.microsoft.com/office/2006/metadata/properties" xmlns:ns2="ADA1752E-5D02-4FA9-BD5E-4C86E4DF3F4E" targetNamespace="http://schemas.microsoft.com/office/2006/metadata/properties" ma:root="true" ma:fieldsID="04270498ac91ec4da328613a8e204b2f" ns2:_="">
    <xsd:import namespace="ADA1752E-5D02-4FA9-BD5E-4C86E4DF3F4E"/>
    <xsd:element name="properties">
      <xsd:complexType>
        <xsd:sequence>
          <xsd:element name="documentManagement">
            <xsd:complexType>
              <xsd:all>
                <xsd:element ref="ns2:Document_x0020_Symbol"/>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A1752E-5D02-4FA9-BD5E-4C86E4DF3F4E" elementFormDefault="qualified">
    <xsd:import namespace="http://schemas.microsoft.com/office/2006/documentManagement/types"/>
    <xsd:import namespace="http://schemas.microsoft.com/office/infopath/2007/PartnerControls"/>
    <xsd:element name="Document_x0020_Symbol" ma:index="8" ma:displayName="Document Symbol" ma:internalName="Document_x0020_Symbol">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ument_x0020_Symbol xmlns="ADA1752E-5D02-4FA9-BD5E-4C86E4DF3F4E">01</Document_x0020_Symbol>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62D882-B90F-4F76-A89C-2762FF285872}"/>
</file>

<file path=customXml/itemProps2.xml><?xml version="1.0" encoding="utf-8"?>
<ds:datastoreItem xmlns:ds="http://schemas.openxmlformats.org/officeDocument/2006/customXml" ds:itemID="{D03679FD-A1FB-41A1-9E12-41CE3C34280F}"/>
</file>

<file path=customXml/itemProps3.xml><?xml version="1.0" encoding="utf-8"?>
<ds:datastoreItem xmlns:ds="http://schemas.openxmlformats.org/officeDocument/2006/customXml" ds:itemID="{DC4B5543-3956-4F55-A057-41227DC1D503}"/>
</file>

<file path=customXml/itemProps4.xml><?xml version="1.0" encoding="utf-8"?>
<ds:datastoreItem xmlns:ds="http://schemas.openxmlformats.org/officeDocument/2006/customXml" ds:itemID="{9FF508A8-F205-4E90-9CA2-3D0794A88A89}"/>
</file>

<file path=docProps/app.xml><?xml version="1.0" encoding="utf-8"?>
<Properties xmlns="http://schemas.openxmlformats.org/officeDocument/2006/extended-properties" xmlns:vt="http://schemas.openxmlformats.org/officeDocument/2006/docPropsVTypes">
  <Template>Teap Style.dot</Template>
  <TotalTime>1</TotalTime>
  <Pages>105</Pages>
  <Words>37855</Words>
  <Characters>215775</Characters>
  <Application>Microsoft Office Word</Application>
  <DocSecurity>0</DocSecurity>
  <Lines>1798</Lines>
  <Paragraphs>506</Paragraphs>
  <ScaleCrop>false</ScaleCrop>
  <HeadingPairs>
    <vt:vector size="2" baseType="variant">
      <vt:variant>
        <vt:lpstr>Title</vt:lpstr>
      </vt:variant>
      <vt:variant>
        <vt:i4>1</vt:i4>
      </vt:variant>
    </vt:vector>
  </HeadingPairs>
  <TitlesOfParts>
    <vt:vector size="1" baseType="lpstr">
      <vt:lpstr>TEAP May 2017: Progress Report (Volume 1) - Advance</vt:lpstr>
    </vt:vector>
  </TitlesOfParts>
  <Company>HP</Company>
  <LinksUpToDate>false</LinksUpToDate>
  <CharactersWithSpaces>253124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TEAP May 2017: Progress Report (Volume 1)</dc:title>
  <dc:creator>Walter Brunner</dc:creator>
  <cp:lastModifiedBy>Martha Adila</cp:lastModifiedBy>
  <cp:revision>5</cp:revision>
  <cp:lastPrinted>2017-06-02T11:04:00Z</cp:lastPrinted>
  <dcterms:created xsi:type="dcterms:W3CDTF">2017-06-02T11:04:00Z</dcterms:created>
  <dcterms:modified xsi:type="dcterms:W3CDTF">2017-06-02T11:08:00Z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0x0101002C3F99E10EF22E40B3DDB3FE794EF29A</vt:lpwstr>
  </property>
</Properties>
</file>