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0B60C" w14:textId="04ABD8AA" w:rsidR="005977ED" w:rsidRPr="005977ED" w:rsidRDefault="005977ED" w:rsidP="005977ED">
      <w:pPr>
        <w:spacing w:line="240" w:lineRule="atLeast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Cs w:val="20"/>
          <w:lang w:val="en-US"/>
        </w:rPr>
      </w:pPr>
      <w:bookmarkStart w:id="0" w:name="_GoBack"/>
      <w:bookmarkEnd w:id="0"/>
      <w:r w:rsidRPr="005977ED">
        <w:rPr>
          <w:rFonts w:ascii="Times New Roman" w:eastAsia="Times New Roman" w:hAnsi="Times New Roman" w:cs="Times New Roman"/>
          <w:b/>
          <w:snapToGrid w:val="0"/>
          <w:color w:val="000000"/>
          <w:szCs w:val="20"/>
          <w:lang w:val="en-US"/>
        </w:rPr>
        <w:t>REPORT OF THE TEC</w:t>
      </w:r>
      <w:r w:rsidR="0051491E">
        <w:rPr>
          <w:rFonts w:ascii="Times New Roman" w:eastAsia="Times New Roman" w:hAnsi="Times New Roman" w:cs="Times New Roman"/>
          <w:b/>
          <w:snapToGrid w:val="0"/>
          <w:color w:val="000000"/>
          <w:szCs w:val="20"/>
          <w:lang w:val="en-US"/>
        </w:rPr>
        <w:t xml:space="preserve">HNOLOGY AND ECONOMIC ASSESSMENT </w:t>
      </w:r>
      <w:r w:rsidRPr="005977ED">
        <w:rPr>
          <w:rFonts w:ascii="Times New Roman" w:eastAsia="Times New Roman" w:hAnsi="Times New Roman" w:cs="Times New Roman"/>
          <w:b/>
          <w:snapToGrid w:val="0"/>
          <w:color w:val="000000"/>
          <w:szCs w:val="20"/>
          <w:lang w:val="en-US"/>
        </w:rPr>
        <w:t>PANEL (TEAP)</w:t>
      </w:r>
    </w:p>
    <w:p w14:paraId="21848FC0" w14:textId="77777777" w:rsidR="005977ED" w:rsidRPr="005977ED" w:rsidRDefault="005977ED" w:rsidP="005977ED">
      <w:pPr>
        <w:spacing w:line="240" w:lineRule="atLeast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Cs w:val="20"/>
          <w:lang w:val="en-US"/>
        </w:rPr>
      </w:pPr>
    </w:p>
    <w:p w14:paraId="758B84B9" w14:textId="5220F653" w:rsidR="005977ED" w:rsidRPr="005977ED" w:rsidRDefault="005977ED" w:rsidP="005977ED">
      <w:pPr>
        <w:spacing w:line="240" w:lineRule="atLeast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Cs w:val="20"/>
          <w:lang w:val="en-US"/>
        </w:rPr>
      </w:pPr>
      <w:r w:rsidRPr="005977ED">
        <w:rPr>
          <w:rFonts w:ascii="Times New Roman" w:eastAsia="Times New Roman" w:hAnsi="Times New Roman" w:cs="Times New Roman"/>
          <w:b/>
          <w:snapToGrid w:val="0"/>
          <w:color w:val="000000"/>
          <w:szCs w:val="20"/>
          <w:lang w:val="en-US"/>
        </w:rPr>
        <w:t>MAY 201</w:t>
      </w:r>
      <w:r w:rsidR="0051491E">
        <w:rPr>
          <w:rFonts w:ascii="Times New Roman" w:eastAsia="Times New Roman" w:hAnsi="Times New Roman" w:cs="Times New Roman"/>
          <w:b/>
          <w:snapToGrid w:val="0"/>
          <w:color w:val="000000"/>
          <w:szCs w:val="20"/>
          <w:lang w:val="en-US"/>
        </w:rPr>
        <w:t>7</w:t>
      </w:r>
    </w:p>
    <w:p w14:paraId="046FB475" w14:textId="01BB2B53" w:rsidR="005977ED" w:rsidRPr="005977ED" w:rsidRDefault="005977ED" w:rsidP="005977ED">
      <w:pPr>
        <w:spacing w:line="240" w:lineRule="atLeast"/>
        <w:jc w:val="center"/>
        <w:rPr>
          <w:rFonts w:ascii="Times New Roman" w:eastAsia="Times New Roman" w:hAnsi="Times New Roman" w:cs="Times New Roman"/>
          <w:snapToGrid w:val="0"/>
          <w:color w:val="000000"/>
          <w:szCs w:val="20"/>
          <w:lang w:val="en-US"/>
        </w:rPr>
      </w:pPr>
      <w:r w:rsidRPr="005977ED">
        <w:rPr>
          <w:rFonts w:ascii="Times New Roman" w:eastAsia="Times New Roman" w:hAnsi="Times New Roman" w:cs="Times New Roman"/>
          <w:b/>
          <w:snapToGrid w:val="0"/>
          <w:color w:val="000000"/>
          <w:szCs w:val="20"/>
          <w:lang w:val="en-US"/>
        </w:rPr>
        <w:t xml:space="preserve">PROGRESS REPORT </w:t>
      </w:r>
      <w:r w:rsidR="0051491E">
        <w:rPr>
          <w:rFonts w:ascii="Times New Roman" w:eastAsia="Times New Roman" w:hAnsi="Times New Roman" w:cs="Times New Roman"/>
          <w:b/>
          <w:snapToGrid w:val="0"/>
          <w:color w:val="000000"/>
          <w:szCs w:val="20"/>
          <w:lang w:val="en-US"/>
        </w:rPr>
        <w:t>VOLUME 1</w:t>
      </w:r>
    </w:p>
    <w:p w14:paraId="4C6A9ABC" w14:textId="77777777" w:rsidR="005977ED" w:rsidRPr="005977ED" w:rsidRDefault="005977ED" w:rsidP="005977ED">
      <w:pPr>
        <w:spacing w:line="240" w:lineRule="atLeast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en-US"/>
        </w:rPr>
      </w:pPr>
    </w:p>
    <w:p w14:paraId="30BEFAE9" w14:textId="77777777" w:rsidR="005977ED" w:rsidRPr="005977ED" w:rsidRDefault="005977ED" w:rsidP="005977ED">
      <w:pPr>
        <w:keepNext/>
        <w:spacing w:line="240" w:lineRule="atLeast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20"/>
          <w:lang w:val="en-US"/>
        </w:rPr>
      </w:pPr>
      <w:r w:rsidRPr="005977ED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20"/>
          <w:lang w:val="en-US"/>
        </w:rPr>
        <w:t>Corrigendum</w:t>
      </w:r>
    </w:p>
    <w:p w14:paraId="29AC839A" w14:textId="77777777" w:rsidR="005977ED" w:rsidRPr="005977ED" w:rsidRDefault="005977ED" w:rsidP="005977E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977ED">
        <w:rPr>
          <w:rFonts w:ascii="Times New Roman" w:eastAsia="Times New Roman" w:hAnsi="Times New Roman" w:cs="Times New Roman"/>
          <w:snapToGrid w:val="0"/>
          <w:sz w:val="20"/>
          <w:szCs w:val="20"/>
          <w:lang w:val="en-US"/>
        </w:rPr>
        <w:t xml:space="preserve"> </w:t>
      </w:r>
    </w:p>
    <w:p w14:paraId="3E1A90F5" w14:textId="77777777" w:rsidR="005977ED" w:rsidRPr="005977ED" w:rsidRDefault="005977ED" w:rsidP="005977ED">
      <w:pPr>
        <w:spacing w:line="240" w:lineRule="atLeast"/>
        <w:rPr>
          <w:rFonts w:ascii="Times New Roman" w:eastAsia="Times New Roman" w:hAnsi="Times New Roman" w:cs="Times New Roman"/>
          <w:i/>
          <w:snapToGrid w:val="0"/>
          <w:color w:val="000000"/>
          <w:sz w:val="20"/>
          <w:szCs w:val="20"/>
          <w:lang w:val="en-US"/>
        </w:rPr>
      </w:pPr>
    </w:p>
    <w:p w14:paraId="1C37D35C" w14:textId="6B3A47FC" w:rsidR="005977ED" w:rsidRPr="005977ED" w:rsidRDefault="000412EC" w:rsidP="005977ED">
      <w:pPr>
        <w:spacing w:line="240" w:lineRule="atLeast"/>
        <w:rPr>
          <w:rFonts w:ascii="Times New Roman" w:eastAsia="Times New Roman" w:hAnsi="Times New Roman" w:cs="Times New Roman"/>
          <w:i/>
          <w:snapToGrid w:val="0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en-US"/>
        </w:rPr>
        <w:t>Chapter</w:t>
      </w:r>
      <w:r w:rsidR="0051491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en-US"/>
        </w:rPr>
        <w:t xml:space="preserve"> 7</w:t>
      </w:r>
      <w:r w:rsidR="0051491E" w:rsidRPr="0051491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en-US"/>
        </w:rPr>
        <w:t xml:space="preserve"> Decision XXVIII/8 Report </w:t>
      </w:r>
      <w:r w:rsidR="005977ED" w:rsidRPr="005977E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en-US"/>
        </w:rPr>
        <w:t xml:space="preserve">on </w:t>
      </w:r>
      <w:r w:rsidR="0051491E" w:rsidRPr="0051491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en-US"/>
        </w:rPr>
        <w:t>Issues Related to the Phase-out of HCFCs</w:t>
      </w:r>
      <w:r w:rsidR="005977ED" w:rsidRPr="005977E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en-US"/>
        </w:rPr>
        <w:t>,</w:t>
      </w:r>
      <w:r w:rsidR="005977ED" w:rsidRPr="005977ED">
        <w:rPr>
          <w:rFonts w:ascii="Times New Roman" w:eastAsia="Times New Roman" w:hAnsi="Times New Roman" w:cs="Times New Roman"/>
          <w:b/>
          <w:i/>
          <w:snapToGrid w:val="0"/>
          <w:color w:val="000000"/>
          <w:sz w:val="20"/>
          <w:szCs w:val="20"/>
          <w:lang w:val="en-US"/>
        </w:rPr>
        <w:t xml:space="preserve"> </w:t>
      </w:r>
      <w:r w:rsidR="0051491E">
        <w:rPr>
          <w:rFonts w:ascii="Times New Roman" w:eastAsia="Times New Roman" w:hAnsi="Times New Roman" w:cs="Times New Roman"/>
          <w:i/>
          <w:snapToGrid w:val="0"/>
          <w:color w:val="000000"/>
          <w:sz w:val="20"/>
          <w:szCs w:val="20"/>
          <w:lang w:val="en-US"/>
        </w:rPr>
        <w:t>page 7</w:t>
      </w:r>
      <w:r w:rsidR="009F3A8D">
        <w:rPr>
          <w:rFonts w:ascii="Times New Roman" w:eastAsia="Times New Roman" w:hAnsi="Times New Roman" w:cs="Times New Roman"/>
          <w:i/>
          <w:snapToGrid w:val="0"/>
          <w:color w:val="000000"/>
          <w:sz w:val="20"/>
          <w:szCs w:val="20"/>
          <w:lang w:val="en-US"/>
        </w:rPr>
        <w:t>2</w:t>
      </w:r>
      <w:r w:rsidR="005977ED" w:rsidRPr="005977ED">
        <w:rPr>
          <w:rFonts w:ascii="Times New Roman" w:eastAsia="Times New Roman" w:hAnsi="Times New Roman" w:cs="Times New Roman"/>
          <w:i/>
          <w:snapToGrid w:val="0"/>
          <w:color w:val="000000"/>
          <w:sz w:val="20"/>
          <w:szCs w:val="20"/>
          <w:lang w:val="en-US"/>
        </w:rPr>
        <w:t xml:space="preserve">, </w:t>
      </w:r>
      <w:proofErr w:type="gramStart"/>
      <w:r w:rsidR="005977ED" w:rsidRPr="005977ED">
        <w:rPr>
          <w:rFonts w:ascii="Times New Roman" w:eastAsia="Times New Roman" w:hAnsi="Times New Roman" w:cs="Times New Roman"/>
          <w:i/>
          <w:snapToGrid w:val="0"/>
          <w:color w:val="000000"/>
          <w:sz w:val="20"/>
          <w:szCs w:val="20"/>
          <w:lang w:val="en-US"/>
        </w:rPr>
        <w:t>add</w:t>
      </w:r>
      <w:proofErr w:type="gramEnd"/>
      <w:r w:rsidR="005977ED" w:rsidRPr="005977ED">
        <w:rPr>
          <w:rFonts w:ascii="Times New Roman" w:eastAsia="Times New Roman" w:hAnsi="Times New Roman" w:cs="Times New Roman"/>
          <w:i/>
          <w:snapToGrid w:val="0"/>
          <w:color w:val="000000"/>
          <w:sz w:val="20"/>
          <w:szCs w:val="20"/>
          <w:lang w:val="en-US"/>
        </w:rPr>
        <w:t xml:space="preserve"> the following </w:t>
      </w:r>
      <w:r w:rsidR="009F3A8D">
        <w:rPr>
          <w:rFonts w:ascii="Times New Roman" w:eastAsia="Times New Roman" w:hAnsi="Times New Roman" w:cs="Times New Roman"/>
          <w:i/>
          <w:snapToGrid w:val="0"/>
          <w:color w:val="000000"/>
          <w:sz w:val="20"/>
          <w:szCs w:val="20"/>
          <w:lang w:val="en-US"/>
        </w:rPr>
        <w:t>after section 7.3</w:t>
      </w:r>
      <w:r w:rsidR="005977ED" w:rsidRPr="005977ED">
        <w:rPr>
          <w:rFonts w:ascii="Times New Roman" w:eastAsia="Times New Roman" w:hAnsi="Times New Roman" w:cs="Times New Roman"/>
          <w:i/>
          <w:snapToGrid w:val="0"/>
          <w:color w:val="000000"/>
          <w:sz w:val="20"/>
          <w:szCs w:val="20"/>
          <w:lang w:val="en-US"/>
        </w:rPr>
        <w:t>:</w:t>
      </w:r>
    </w:p>
    <w:p w14:paraId="24B4276C" w14:textId="77777777" w:rsidR="005977ED" w:rsidRPr="005977ED" w:rsidRDefault="005977ED" w:rsidP="005977ED">
      <w:pPr>
        <w:spacing w:line="240" w:lineRule="atLeast"/>
        <w:rPr>
          <w:rFonts w:ascii="Times New Roman" w:eastAsia="Times New Roman" w:hAnsi="Times New Roman" w:cs="Times New Roman"/>
          <w:i/>
          <w:snapToGrid w:val="0"/>
          <w:color w:val="000000"/>
          <w:sz w:val="20"/>
          <w:szCs w:val="20"/>
          <w:lang w:val="en-US"/>
        </w:rPr>
      </w:pPr>
    </w:p>
    <w:p w14:paraId="0A9CA5CD" w14:textId="5DEC9FB2" w:rsidR="00CF3D89" w:rsidRPr="00364DE5" w:rsidRDefault="009F3A8D">
      <w:pPr>
        <w:rPr>
          <w:rFonts w:ascii="Times New Roman" w:hAnsi="Times New Roman" w:cs="Times New Roman"/>
          <w:b/>
          <w:sz w:val="22"/>
          <w:szCs w:val="22"/>
        </w:rPr>
      </w:pPr>
      <w:r w:rsidRPr="00364DE5">
        <w:rPr>
          <w:rFonts w:ascii="Times New Roman" w:hAnsi="Times New Roman" w:cs="Times New Roman"/>
          <w:b/>
          <w:sz w:val="22"/>
          <w:szCs w:val="22"/>
        </w:rPr>
        <w:t>7.4.</w:t>
      </w:r>
      <w:r w:rsidRPr="00364DE5">
        <w:rPr>
          <w:rFonts w:ascii="Times New Roman" w:hAnsi="Times New Roman" w:cs="Times New Roman"/>
          <w:b/>
          <w:sz w:val="22"/>
          <w:szCs w:val="22"/>
        </w:rPr>
        <w:tab/>
      </w:r>
      <w:r w:rsidR="00552DD2" w:rsidRPr="00364DE5">
        <w:rPr>
          <w:rFonts w:ascii="Times New Roman" w:hAnsi="Times New Roman" w:cs="Times New Roman"/>
          <w:b/>
          <w:sz w:val="22"/>
          <w:szCs w:val="22"/>
        </w:rPr>
        <w:t>S</w:t>
      </w:r>
      <w:r w:rsidR="00BE4929" w:rsidRPr="00364DE5">
        <w:rPr>
          <w:rFonts w:ascii="Times New Roman" w:hAnsi="Times New Roman" w:cs="Times New Roman"/>
          <w:b/>
          <w:sz w:val="22"/>
          <w:szCs w:val="22"/>
        </w:rPr>
        <w:t>chedule for the submission of any essential use nominations for the production/consumption of HCFCs from 1</w:t>
      </w:r>
      <w:r w:rsidR="00BE4929" w:rsidRPr="00364DE5">
        <w:rPr>
          <w:rFonts w:ascii="Times New Roman" w:hAnsi="Times New Roman" w:cs="Times New Roman"/>
          <w:b/>
          <w:sz w:val="22"/>
          <w:szCs w:val="22"/>
          <w:vertAlign w:val="superscript"/>
        </w:rPr>
        <w:t>st</w:t>
      </w:r>
      <w:r w:rsidR="0051491E" w:rsidRPr="00364DE5">
        <w:rPr>
          <w:rFonts w:ascii="Times New Roman" w:hAnsi="Times New Roman" w:cs="Times New Roman"/>
          <w:b/>
          <w:sz w:val="22"/>
          <w:szCs w:val="22"/>
        </w:rPr>
        <w:t xml:space="preserve"> January 2020 onwards</w:t>
      </w:r>
    </w:p>
    <w:p w14:paraId="36915981" w14:textId="77777777" w:rsidR="00BE4929" w:rsidRDefault="00BE4929"/>
    <w:p w14:paraId="01236DE7" w14:textId="77777777" w:rsidR="000E1825" w:rsidRPr="0051491E" w:rsidRDefault="00D813A6" w:rsidP="00206230">
      <w:pPr>
        <w:rPr>
          <w:rFonts w:ascii="Times New Roman" w:hAnsi="Times New Roman" w:cs="Times New Roman"/>
          <w:sz w:val="22"/>
          <w:szCs w:val="22"/>
        </w:rPr>
      </w:pPr>
      <w:r w:rsidRPr="0051491E">
        <w:rPr>
          <w:rFonts w:ascii="Times New Roman" w:hAnsi="Times New Roman" w:cs="Times New Roman"/>
          <w:sz w:val="22"/>
          <w:szCs w:val="22"/>
        </w:rPr>
        <w:t xml:space="preserve">Decision IV/25 sets the criteria and the procedure for </w:t>
      </w:r>
      <w:r w:rsidR="000E1825" w:rsidRPr="0051491E">
        <w:rPr>
          <w:rFonts w:ascii="Times New Roman" w:hAnsi="Times New Roman" w:cs="Times New Roman"/>
          <w:sz w:val="22"/>
          <w:szCs w:val="22"/>
        </w:rPr>
        <w:t>submission and assessment of</w:t>
      </w:r>
      <w:r w:rsidRPr="0051491E">
        <w:rPr>
          <w:rFonts w:ascii="Times New Roman" w:hAnsi="Times New Roman" w:cs="Times New Roman"/>
          <w:sz w:val="22"/>
          <w:szCs w:val="22"/>
        </w:rPr>
        <w:t xml:space="preserve"> an essential use nomination</w:t>
      </w:r>
      <w:r w:rsidR="00552DD2" w:rsidRPr="0051491E">
        <w:rPr>
          <w:rFonts w:ascii="Times New Roman" w:hAnsi="Times New Roman" w:cs="Times New Roman"/>
          <w:sz w:val="22"/>
          <w:szCs w:val="22"/>
        </w:rPr>
        <w:t>. If any non-Article 5 Party chooses to make an essential use nomination for HCF</w:t>
      </w:r>
      <w:r w:rsidR="00B54378" w:rsidRPr="0051491E">
        <w:rPr>
          <w:rFonts w:ascii="Times New Roman" w:hAnsi="Times New Roman" w:cs="Times New Roman"/>
          <w:sz w:val="22"/>
          <w:szCs w:val="22"/>
        </w:rPr>
        <w:t>C production and consumption from 1</w:t>
      </w:r>
      <w:r w:rsidR="00B54378" w:rsidRPr="0051491E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B54378" w:rsidRPr="0051491E">
        <w:rPr>
          <w:rFonts w:ascii="Times New Roman" w:hAnsi="Times New Roman" w:cs="Times New Roman"/>
          <w:sz w:val="22"/>
          <w:szCs w:val="22"/>
        </w:rPr>
        <w:t xml:space="preserve"> January</w:t>
      </w:r>
      <w:r w:rsidR="00552DD2" w:rsidRPr="0051491E">
        <w:rPr>
          <w:rFonts w:ascii="Times New Roman" w:hAnsi="Times New Roman" w:cs="Times New Roman"/>
          <w:sz w:val="22"/>
          <w:szCs w:val="22"/>
        </w:rPr>
        <w:t xml:space="preserve"> 2020 onwards, it </w:t>
      </w:r>
      <w:r w:rsidR="000E1825" w:rsidRPr="0051491E">
        <w:rPr>
          <w:rFonts w:ascii="Times New Roman" w:hAnsi="Times New Roman" w:cs="Times New Roman"/>
          <w:sz w:val="22"/>
          <w:szCs w:val="22"/>
        </w:rPr>
        <w:t>must</w:t>
      </w:r>
      <w:r w:rsidR="00552DD2" w:rsidRPr="0051491E">
        <w:rPr>
          <w:rFonts w:ascii="Times New Roman" w:hAnsi="Times New Roman" w:cs="Times New Roman"/>
          <w:sz w:val="22"/>
          <w:szCs w:val="22"/>
        </w:rPr>
        <w:t xml:space="preserve"> be in accordance with previous decisions of the Parties.</w:t>
      </w:r>
      <w:r w:rsidR="00BA11E2" w:rsidRPr="0051491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3BE7B2" w14:textId="77777777" w:rsidR="000E1825" w:rsidRPr="0051491E" w:rsidRDefault="000E1825" w:rsidP="00206230">
      <w:pPr>
        <w:rPr>
          <w:rFonts w:ascii="Times New Roman" w:hAnsi="Times New Roman" w:cs="Times New Roman"/>
          <w:sz w:val="22"/>
          <w:szCs w:val="22"/>
        </w:rPr>
      </w:pPr>
    </w:p>
    <w:p w14:paraId="60347B05" w14:textId="7F8EE91A" w:rsidR="00552DD2" w:rsidRPr="0051491E" w:rsidRDefault="00BA11E2" w:rsidP="00206230">
      <w:pPr>
        <w:rPr>
          <w:rFonts w:ascii="Times New Roman" w:hAnsi="Times New Roman" w:cs="Times New Roman"/>
          <w:sz w:val="22"/>
          <w:szCs w:val="22"/>
        </w:rPr>
      </w:pPr>
      <w:r w:rsidRPr="0051491E">
        <w:rPr>
          <w:rFonts w:ascii="Times New Roman" w:hAnsi="Times New Roman" w:cs="Times New Roman"/>
          <w:sz w:val="22"/>
          <w:szCs w:val="22"/>
        </w:rPr>
        <w:t xml:space="preserve">The Handbook on Essential Uses, </w:t>
      </w:r>
      <w:r w:rsidR="00206230" w:rsidRPr="0051491E">
        <w:rPr>
          <w:rFonts w:ascii="Times New Roman" w:hAnsi="Times New Roman" w:cs="Times New Roman"/>
          <w:sz w:val="22"/>
          <w:szCs w:val="22"/>
        </w:rPr>
        <w:t>2009,</w:t>
      </w:r>
      <w:r w:rsidR="009F3A8D">
        <w:rPr>
          <w:rStyle w:val="FootnoteReference"/>
          <w:rFonts w:ascii="Times New Roman" w:hAnsi="Times New Roman" w:cs="Times New Roman"/>
          <w:sz w:val="22"/>
          <w:szCs w:val="22"/>
        </w:rPr>
        <w:footnoteReference w:id="1"/>
      </w:r>
      <w:r w:rsidR="009F3A8D">
        <w:rPr>
          <w:rFonts w:ascii="Times New Roman" w:hAnsi="Times New Roman" w:cs="Times New Roman"/>
          <w:sz w:val="22"/>
          <w:szCs w:val="22"/>
        </w:rPr>
        <w:t xml:space="preserve"> </w:t>
      </w:r>
      <w:r w:rsidR="00206230" w:rsidRPr="0051491E">
        <w:rPr>
          <w:rFonts w:ascii="Times New Roman" w:hAnsi="Times New Roman" w:cs="Times New Roman"/>
          <w:sz w:val="22"/>
          <w:szCs w:val="22"/>
        </w:rPr>
        <w:t>sets out the criteria and procedure relevant to the nomination process for controlled substances, including HCFCs</w:t>
      </w:r>
      <w:r w:rsidRPr="0051491E">
        <w:rPr>
          <w:rFonts w:ascii="Times New Roman" w:hAnsi="Times New Roman" w:cs="Times New Roman"/>
          <w:sz w:val="22"/>
          <w:szCs w:val="22"/>
        </w:rPr>
        <w:t xml:space="preserve">, in accordance with decisions of the Parties. </w:t>
      </w:r>
      <w:r w:rsidR="00552DD2" w:rsidRPr="0051491E">
        <w:rPr>
          <w:rFonts w:ascii="Times New Roman" w:hAnsi="Times New Roman" w:cs="Times New Roman"/>
          <w:sz w:val="22"/>
          <w:szCs w:val="22"/>
        </w:rPr>
        <w:t>Information requirements for an essential use nomina</w:t>
      </w:r>
      <w:r w:rsidR="000E1825" w:rsidRPr="0051491E">
        <w:rPr>
          <w:rFonts w:ascii="Times New Roman" w:hAnsi="Times New Roman" w:cs="Times New Roman"/>
          <w:sz w:val="22"/>
          <w:szCs w:val="22"/>
        </w:rPr>
        <w:t>tion, relevant also to HCFCs, are</w:t>
      </w:r>
      <w:r w:rsidR="00552DD2" w:rsidRPr="0051491E">
        <w:rPr>
          <w:rFonts w:ascii="Times New Roman" w:hAnsi="Times New Roman" w:cs="Times New Roman"/>
          <w:sz w:val="22"/>
          <w:szCs w:val="22"/>
        </w:rPr>
        <w:t xml:space="preserve"> set out in Appendix C of the Handbook.</w:t>
      </w:r>
      <w:r w:rsidR="00DB5810" w:rsidRPr="0051491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604E93" w14:textId="77777777" w:rsidR="00DB5810" w:rsidRPr="0051491E" w:rsidRDefault="00DB5810" w:rsidP="00206230">
      <w:pPr>
        <w:rPr>
          <w:rFonts w:ascii="Times New Roman" w:hAnsi="Times New Roman" w:cs="Times New Roman"/>
          <w:sz w:val="22"/>
          <w:szCs w:val="22"/>
        </w:rPr>
      </w:pPr>
    </w:p>
    <w:p w14:paraId="01B33C7E" w14:textId="77777777" w:rsidR="00DB5810" w:rsidRPr="0051491E" w:rsidRDefault="00DB5810" w:rsidP="00206230">
      <w:pPr>
        <w:rPr>
          <w:rFonts w:ascii="Times New Roman" w:hAnsi="Times New Roman" w:cs="Times New Roman"/>
          <w:sz w:val="22"/>
          <w:szCs w:val="22"/>
        </w:rPr>
      </w:pPr>
      <w:r w:rsidRPr="0051491E">
        <w:rPr>
          <w:rFonts w:ascii="Times New Roman" w:hAnsi="Times New Roman" w:cs="Times New Roman"/>
          <w:sz w:val="22"/>
          <w:szCs w:val="22"/>
        </w:rPr>
        <w:t>The following schedule for submissions is taken from the Handbook.</w:t>
      </w:r>
    </w:p>
    <w:p w14:paraId="54244E24" w14:textId="77777777" w:rsidR="00DB5810" w:rsidRDefault="00DB5810" w:rsidP="002062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289"/>
      </w:tblGrid>
      <w:tr w:rsidR="00DB5810" w:rsidRPr="0051491E" w14:paraId="490BB671" w14:textId="77777777" w:rsidTr="00DB5810">
        <w:tc>
          <w:tcPr>
            <w:tcW w:w="3227" w:type="dxa"/>
          </w:tcPr>
          <w:p w14:paraId="0FD6A6E8" w14:textId="77777777" w:rsidR="00DB5810" w:rsidRPr="0051491E" w:rsidRDefault="00DB5810" w:rsidP="002062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49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September – October</w:t>
            </w:r>
            <w:r w:rsidRPr="0051491E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en-US"/>
              </w:rPr>
              <w:t>1</w:t>
            </w:r>
            <w:r w:rsidRPr="005149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5289" w:type="dxa"/>
          </w:tcPr>
          <w:p w14:paraId="38CDC502" w14:textId="77777777" w:rsidR="00DB5810" w:rsidRPr="0051491E" w:rsidRDefault="00DB5810" w:rsidP="002062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49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Applicant </w:t>
            </w:r>
            <w:proofErr w:type="spellStart"/>
            <w:r w:rsidRPr="005149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organisations</w:t>
            </w:r>
            <w:proofErr w:type="spellEnd"/>
            <w:r w:rsidRPr="005149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prepare and submit essential use applications to national governments.</w:t>
            </w:r>
          </w:p>
        </w:tc>
      </w:tr>
      <w:tr w:rsidR="00DB5810" w:rsidRPr="0051491E" w14:paraId="51DB6664" w14:textId="77777777" w:rsidTr="00DB5810">
        <w:tc>
          <w:tcPr>
            <w:tcW w:w="3227" w:type="dxa"/>
          </w:tcPr>
          <w:p w14:paraId="6162E949" w14:textId="77777777" w:rsidR="00DB5810" w:rsidRPr="0051491E" w:rsidRDefault="00DB5810" w:rsidP="002062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49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November – December</w:t>
            </w:r>
            <w:r w:rsidRPr="0051491E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en-US"/>
              </w:rPr>
              <w:t>1</w:t>
            </w:r>
            <w:r w:rsidRPr="005149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5289" w:type="dxa"/>
          </w:tcPr>
          <w:p w14:paraId="2A9C865D" w14:textId="77777777" w:rsidR="00DB5810" w:rsidRPr="0051491E" w:rsidRDefault="00DB5810" w:rsidP="002062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49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Governments review applications and prepare essential use nominations, following guidance contained in the "Handbook on Essential Use Nominations".</w:t>
            </w:r>
          </w:p>
        </w:tc>
      </w:tr>
      <w:tr w:rsidR="00DB5810" w:rsidRPr="0051491E" w14:paraId="073B8318" w14:textId="77777777" w:rsidTr="00DB5810">
        <w:tc>
          <w:tcPr>
            <w:tcW w:w="3227" w:type="dxa"/>
          </w:tcPr>
          <w:p w14:paraId="68F3E48A" w14:textId="77777777" w:rsidR="00DB5810" w:rsidRPr="0051491E" w:rsidRDefault="00DB5810" w:rsidP="002062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49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January 31</w:t>
            </w:r>
            <w:r w:rsidRPr="0051491E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en-US"/>
              </w:rPr>
              <w:t>2</w:t>
            </w:r>
            <w:r w:rsidRPr="005149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5289" w:type="dxa"/>
          </w:tcPr>
          <w:p w14:paraId="6F9376A5" w14:textId="77777777" w:rsidR="00DB5810" w:rsidRPr="0051491E" w:rsidRDefault="00DB5810" w:rsidP="002062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49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DEADLINE for essential use nominations to the Ozone </w:t>
            </w:r>
            <w:proofErr w:type="gramStart"/>
            <w:r w:rsidRPr="005149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Secretariat,</w:t>
            </w:r>
            <w:proofErr w:type="gramEnd"/>
            <w:r w:rsidRPr="005149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and for the Reporting Accounting Framework for any essential use exemption for the previous year.</w:t>
            </w:r>
          </w:p>
        </w:tc>
      </w:tr>
      <w:tr w:rsidR="00DB5810" w:rsidRPr="0051491E" w14:paraId="697BE720" w14:textId="77777777" w:rsidTr="00DB5810">
        <w:tc>
          <w:tcPr>
            <w:tcW w:w="3227" w:type="dxa"/>
          </w:tcPr>
          <w:p w14:paraId="1120D99B" w14:textId="77777777" w:rsidR="00DB5810" w:rsidRPr="0051491E" w:rsidRDefault="00DB5810" w:rsidP="00DB58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49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April 30</w:t>
            </w:r>
            <w:r w:rsidRPr="0051491E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en-US"/>
              </w:rPr>
              <w:t>2</w:t>
            </w:r>
            <w:r w:rsidRPr="005149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:</w:t>
            </w:r>
            <w:r w:rsidRPr="005149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289" w:type="dxa"/>
          </w:tcPr>
          <w:p w14:paraId="3448D764" w14:textId="77777777" w:rsidR="00DB5810" w:rsidRPr="0051491E" w:rsidRDefault="00DB5810" w:rsidP="002062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49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 TEAP and its TOCs develop recommendations and submit their report through the Secretariat.</w:t>
            </w:r>
            <w:r w:rsidRPr="0051491E">
              <w:rPr>
                <w:rFonts w:ascii="MS Mincho" w:eastAsia="MS Mincho" w:hAnsi="MS Mincho" w:cs="MS Mincho" w:hint="eastAsia"/>
                <w:sz w:val="22"/>
                <w:szCs w:val="22"/>
                <w:lang w:val="en-US"/>
              </w:rPr>
              <w:t> </w:t>
            </w:r>
          </w:p>
        </w:tc>
      </w:tr>
      <w:tr w:rsidR="00DB5810" w:rsidRPr="0051491E" w14:paraId="4A818E45" w14:textId="77777777" w:rsidTr="00DB5810">
        <w:tc>
          <w:tcPr>
            <w:tcW w:w="3227" w:type="dxa"/>
          </w:tcPr>
          <w:p w14:paraId="515EA19F" w14:textId="77777777" w:rsidR="00DB5810" w:rsidRPr="0051491E" w:rsidRDefault="00DB5810" w:rsidP="002062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49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June / July</w:t>
            </w:r>
            <w:r w:rsidRPr="0051491E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en-US"/>
              </w:rPr>
              <w:t>2</w:t>
            </w:r>
            <w:r w:rsidRPr="005149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5289" w:type="dxa"/>
          </w:tcPr>
          <w:p w14:paraId="366B394A" w14:textId="77777777" w:rsidR="00DB5810" w:rsidRPr="0051491E" w:rsidRDefault="00DB5810" w:rsidP="002062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49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 Open Ended Working Group (OEWG) to the Parties to the Protocol meets and recommends whether the nominations should be approved.</w:t>
            </w:r>
          </w:p>
        </w:tc>
      </w:tr>
      <w:tr w:rsidR="00DB5810" w:rsidRPr="0051491E" w14:paraId="4F5AF0BF" w14:textId="77777777" w:rsidTr="00DB5810">
        <w:tc>
          <w:tcPr>
            <w:tcW w:w="3227" w:type="dxa"/>
          </w:tcPr>
          <w:p w14:paraId="673BC45B" w14:textId="77777777" w:rsidR="00DB5810" w:rsidRPr="0051491E" w:rsidRDefault="00DB5810" w:rsidP="002062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49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September – November</w:t>
            </w:r>
            <w:r w:rsidRPr="0051491E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en-US"/>
              </w:rPr>
              <w:t>2</w:t>
            </w:r>
            <w:r w:rsidRPr="005149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5289" w:type="dxa"/>
          </w:tcPr>
          <w:p w14:paraId="7AE8C859" w14:textId="77777777" w:rsidR="00DB5810" w:rsidRPr="0051491E" w:rsidRDefault="00DB5810" w:rsidP="002062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49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Parties to the Protocol meet and decide whether to allow production for nominated uses and may specify conditions of the exemption.</w:t>
            </w:r>
          </w:p>
        </w:tc>
      </w:tr>
    </w:tbl>
    <w:p w14:paraId="6ED2B74F" w14:textId="77777777" w:rsidR="00DB5810" w:rsidRPr="0051491E" w:rsidRDefault="00DB5810" w:rsidP="00DB581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1491E">
        <w:rPr>
          <w:rFonts w:ascii="Times New Roman" w:hAnsi="Times New Roman" w:cs="Times New Roman"/>
          <w:sz w:val="22"/>
          <w:szCs w:val="22"/>
        </w:rPr>
        <w:t>1</w:t>
      </w:r>
      <w:r w:rsidRPr="0051491E">
        <w:rPr>
          <w:rFonts w:ascii="Times New Roman" w:hAnsi="Times New Roman" w:cs="Times New Roman"/>
          <w:sz w:val="22"/>
          <w:szCs w:val="22"/>
        </w:rPr>
        <w:tab/>
      </w:r>
      <w:r w:rsidRPr="0051491E">
        <w:rPr>
          <w:rFonts w:ascii="Times New Roman" w:hAnsi="Times New Roman" w:cs="Times New Roman"/>
          <w:sz w:val="22"/>
          <w:szCs w:val="22"/>
          <w:lang w:val="en-US"/>
        </w:rPr>
        <w:t xml:space="preserve">These deadlines are set by national governments. </w:t>
      </w:r>
    </w:p>
    <w:p w14:paraId="24CF4F6E" w14:textId="77777777" w:rsidR="00DB5810" w:rsidRPr="0051491E" w:rsidRDefault="00DB5810" w:rsidP="00DB581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1491E">
        <w:rPr>
          <w:rFonts w:ascii="Times New Roman" w:hAnsi="Times New Roman" w:cs="Times New Roman"/>
          <w:sz w:val="22"/>
          <w:szCs w:val="22"/>
        </w:rPr>
        <w:t>2</w:t>
      </w:r>
      <w:r w:rsidRPr="0051491E">
        <w:rPr>
          <w:rFonts w:ascii="Times New Roman" w:hAnsi="Times New Roman" w:cs="Times New Roman"/>
          <w:sz w:val="22"/>
          <w:szCs w:val="22"/>
        </w:rPr>
        <w:tab/>
      </w:r>
      <w:r w:rsidRPr="0051491E">
        <w:rPr>
          <w:rFonts w:ascii="Times New Roman" w:hAnsi="Times New Roman" w:cs="Times New Roman"/>
          <w:sz w:val="22"/>
          <w:szCs w:val="22"/>
          <w:lang w:val="en-US"/>
        </w:rPr>
        <w:t xml:space="preserve">These dates are deadlines established by the Parties. </w:t>
      </w:r>
    </w:p>
    <w:p w14:paraId="40270102" w14:textId="77777777" w:rsidR="00DB5810" w:rsidRPr="0051491E" w:rsidRDefault="00DB5810" w:rsidP="00206230">
      <w:pPr>
        <w:rPr>
          <w:rFonts w:ascii="Times New Roman" w:hAnsi="Times New Roman" w:cs="Times New Roman"/>
          <w:sz w:val="22"/>
          <w:szCs w:val="22"/>
        </w:rPr>
      </w:pPr>
    </w:p>
    <w:p w14:paraId="335E7F98" w14:textId="77777777" w:rsidR="00D813A6" w:rsidRPr="0051491E" w:rsidRDefault="00DB5810">
      <w:pPr>
        <w:rPr>
          <w:rFonts w:ascii="Times New Roman" w:hAnsi="Times New Roman" w:cs="Times New Roman"/>
          <w:sz w:val="22"/>
          <w:szCs w:val="22"/>
        </w:rPr>
      </w:pPr>
      <w:r w:rsidRPr="0051491E">
        <w:rPr>
          <w:rFonts w:ascii="Times New Roman" w:hAnsi="Times New Roman" w:cs="Times New Roman"/>
          <w:sz w:val="22"/>
          <w:szCs w:val="22"/>
        </w:rPr>
        <w:t>This schedule implies that,</w:t>
      </w:r>
      <w:r w:rsidR="00206230" w:rsidRPr="0051491E">
        <w:rPr>
          <w:rFonts w:ascii="Times New Roman" w:hAnsi="Times New Roman" w:cs="Times New Roman"/>
          <w:sz w:val="22"/>
          <w:szCs w:val="22"/>
        </w:rPr>
        <w:t xml:space="preserve"> for an </w:t>
      </w:r>
      <w:r w:rsidRPr="0051491E">
        <w:rPr>
          <w:rFonts w:ascii="Times New Roman" w:hAnsi="Times New Roman" w:cs="Times New Roman"/>
          <w:sz w:val="22"/>
          <w:szCs w:val="22"/>
        </w:rPr>
        <w:t xml:space="preserve">essential use </w:t>
      </w:r>
      <w:r w:rsidR="00206230" w:rsidRPr="0051491E">
        <w:rPr>
          <w:rFonts w:ascii="Times New Roman" w:hAnsi="Times New Roman" w:cs="Times New Roman"/>
          <w:sz w:val="22"/>
          <w:szCs w:val="22"/>
        </w:rPr>
        <w:t xml:space="preserve">exemption </w:t>
      </w:r>
      <w:r w:rsidR="00BA11E2" w:rsidRPr="0051491E">
        <w:rPr>
          <w:rFonts w:ascii="Times New Roman" w:hAnsi="Times New Roman" w:cs="Times New Roman"/>
          <w:sz w:val="22"/>
          <w:szCs w:val="22"/>
        </w:rPr>
        <w:t xml:space="preserve">for </w:t>
      </w:r>
      <w:r w:rsidRPr="0051491E">
        <w:rPr>
          <w:rFonts w:ascii="Times New Roman" w:hAnsi="Times New Roman" w:cs="Times New Roman"/>
          <w:sz w:val="22"/>
          <w:szCs w:val="22"/>
        </w:rPr>
        <w:t xml:space="preserve">HCFCs </w:t>
      </w:r>
      <w:r w:rsidR="00BA11E2" w:rsidRPr="0051491E">
        <w:rPr>
          <w:rFonts w:ascii="Times New Roman" w:hAnsi="Times New Roman" w:cs="Times New Roman"/>
          <w:sz w:val="22"/>
          <w:szCs w:val="22"/>
        </w:rPr>
        <w:t>to be authorised by Parties and to take effect in</w:t>
      </w:r>
      <w:r w:rsidRPr="0051491E">
        <w:rPr>
          <w:rFonts w:ascii="Times New Roman" w:hAnsi="Times New Roman" w:cs="Times New Roman"/>
          <w:sz w:val="22"/>
          <w:szCs w:val="22"/>
        </w:rPr>
        <w:t xml:space="preserve"> </w:t>
      </w:r>
      <w:r w:rsidR="00206230" w:rsidRPr="0051491E">
        <w:rPr>
          <w:rFonts w:ascii="Times New Roman" w:hAnsi="Times New Roman" w:cs="Times New Roman"/>
          <w:sz w:val="22"/>
          <w:szCs w:val="22"/>
        </w:rPr>
        <w:t>2020</w:t>
      </w:r>
      <w:r w:rsidRPr="0051491E">
        <w:rPr>
          <w:rFonts w:ascii="Times New Roman" w:hAnsi="Times New Roman" w:cs="Times New Roman"/>
          <w:sz w:val="22"/>
          <w:szCs w:val="22"/>
        </w:rPr>
        <w:t xml:space="preserve">, </w:t>
      </w:r>
      <w:r w:rsidR="00BA11E2" w:rsidRPr="0051491E">
        <w:rPr>
          <w:rFonts w:ascii="Times New Roman" w:hAnsi="Times New Roman" w:cs="Times New Roman"/>
          <w:sz w:val="22"/>
          <w:szCs w:val="22"/>
        </w:rPr>
        <w:t>a</w:t>
      </w:r>
      <w:r w:rsidR="000E1825" w:rsidRPr="0051491E">
        <w:rPr>
          <w:rFonts w:ascii="Times New Roman" w:hAnsi="Times New Roman" w:cs="Times New Roman"/>
          <w:sz w:val="22"/>
          <w:szCs w:val="22"/>
        </w:rPr>
        <w:t>n essential use nomination should</w:t>
      </w:r>
      <w:r w:rsidR="00BA11E2" w:rsidRPr="0051491E">
        <w:rPr>
          <w:rFonts w:ascii="Times New Roman" w:hAnsi="Times New Roman" w:cs="Times New Roman"/>
          <w:sz w:val="22"/>
          <w:szCs w:val="22"/>
        </w:rPr>
        <w:t xml:space="preserve"> be submitted by January 31, 2018 (for decision in 2018) or by January 31, 2019 (for decision in 2019). </w:t>
      </w:r>
    </w:p>
    <w:sectPr w:rsidR="00D813A6" w:rsidRPr="0051491E" w:rsidSect="00CF3D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EE2C4" w14:textId="77777777" w:rsidR="00E17714" w:rsidRDefault="00E17714" w:rsidP="000412EC">
      <w:r>
        <w:separator/>
      </w:r>
    </w:p>
  </w:endnote>
  <w:endnote w:type="continuationSeparator" w:id="0">
    <w:p w14:paraId="3D9BE86D" w14:textId="77777777" w:rsidR="00E17714" w:rsidRDefault="00E17714" w:rsidP="0004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523B2" w14:textId="77777777" w:rsidR="00E17714" w:rsidRDefault="00E17714" w:rsidP="000412EC">
      <w:r>
        <w:separator/>
      </w:r>
    </w:p>
  </w:footnote>
  <w:footnote w:type="continuationSeparator" w:id="0">
    <w:p w14:paraId="26038556" w14:textId="77777777" w:rsidR="00E17714" w:rsidRDefault="00E17714" w:rsidP="000412EC">
      <w:r>
        <w:continuationSeparator/>
      </w:r>
    </w:p>
  </w:footnote>
  <w:footnote w:id="1">
    <w:p w14:paraId="4FC2F270" w14:textId="77777777" w:rsidR="009F3A8D" w:rsidRPr="000412EC" w:rsidRDefault="009F3A8D" w:rsidP="009F3A8D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C6D69">
          <w:rPr>
            <w:rStyle w:val="Hyperlink"/>
            <w:rFonts w:ascii="Times New Roman" w:hAnsi="Times New Roman" w:cs="Times New Roman"/>
            <w:sz w:val="18"/>
            <w:szCs w:val="18"/>
          </w:rPr>
          <w:t>http://ozone.unep.org/en/Assessment_Panels/TEAP/Reports/TEAP_Reports/EUN-Handbook2009.pdf</w:t>
        </w:r>
      </w:hyperlink>
    </w:p>
    <w:p w14:paraId="28918D7F" w14:textId="31C78EED" w:rsidR="009F3A8D" w:rsidRPr="009F3A8D" w:rsidRDefault="009F3A8D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A33FC"/>
    <w:multiLevelType w:val="hybridMultilevel"/>
    <w:tmpl w:val="F252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929"/>
    <w:rsid w:val="000412EC"/>
    <w:rsid w:val="000E1825"/>
    <w:rsid w:val="00206230"/>
    <w:rsid w:val="00364DE5"/>
    <w:rsid w:val="003A2C05"/>
    <w:rsid w:val="003C66DF"/>
    <w:rsid w:val="0051491E"/>
    <w:rsid w:val="00552DD2"/>
    <w:rsid w:val="005834CB"/>
    <w:rsid w:val="005977ED"/>
    <w:rsid w:val="0093677C"/>
    <w:rsid w:val="009F3A8D"/>
    <w:rsid w:val="00B54378"/>
    <w:rsid w:val="00BA11E2"/>
    <w:rsid w:val="00BE4929"/>
    <w:rsid w:val="00CF3D89"/>
    <w:rsid w:val="00D813A6"/>
    <w:rsid w:val="00DB5810"/>
    <w:rsid w:val="00E1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6FA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230"/>
    <w:pPr>
      <w:ind w:left="720"/>
      <w:contextualSpacing/>
    </w:pPr>
  </w:style>
  <w:style w:type="table" w:styleId="TableGrid">
    <w:name w:val="Table Grid"/>
    <w:basedOn w:val="TableNormal"/>
    <w:uiPriority w:val="59"/>
    <w:rsid w:val="00D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4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9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91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91E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91E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12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12EC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412E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412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230"/>
    <w:pPr>
      <w:ind w:left="720"/>
      <w:contextualSpacing/>
    </w:pPr>
  </w:style>
  <w:style w:type="table" w:styleId="TableGrid">
    <w:name w:val="Table Grid"/>
    <w:basedOn w:val="TableNormal"/>
    <w:uiPriority w:val="59"/>
    <w:rsid w:val="00D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4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9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91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91E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91E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12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12EC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412E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412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ozone.unep.org/en/Assessment_Panels/TEAP/Reports/TEAP_Reports/EUN-Handbook200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F99E10EF22E40B3DDB3FE794EF29A" ma:contentTypeVersion="" ma:contentTypeDescription="Create a new document." ma:contentTypeScope="" ma:versionID="e1cf795976c8e99570bfe39e19b90f4b">
  <xsd:schema xmlns:xsd="http://www.w3.org/2001/XMLSchema" xmlns:xs="http://www.w3.org/2001/XMLSchema" xmlns:p="http://schemas.microsoft.com/office/2006/metadata/properties" xmlns:ns2="ADA1752E-5D02-4FA9-BD5E-4C86E4DF3F4E" targetNamespace="http://schemas.microsoft.com/office/2006/metadata/properties" ma:root="true" ma:fieldsID="04270498ac91ec4da328613a8e204b2f" ns2:_="">
    <xsd:import namespace="ADA1752E-5D02-4FA9-BD5E-4C86E4DF3F4E"/>
    <xsd:element name="properties">
      <xsd:complexType>
        <xsd:sequence>
          <xsd:element name="documentManagement">
            <xsd:complexType>
              <xsd:all>
                <xsd:element ref="ns2:Document_x0020_Symbol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752E-5D02-4FA9-BD5E-4C86E4DF3F4E" elementFormDefault="qualified">
    <xsd:import namespace="http://schemas.microsoft.com/office/2006/documentManagement/types"/>
    <xsd:import namespace="http://schemas.microsoft.com/office/infopath/2007/PartnerControls"/>
    <xsd:element name="Document_x0020_Symbol" ma:index="8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ymbol xmlns="ADA1752E-5D02-4FA9-BD5E-4C86E4DF3F4E">011</Document_x0020_Symbol>
  </documentManagement>
</p:properties>
</file>

<file path=customXml/itemProps1.xml><?xml version="1.0" encoding="utf-8"?>
<ds:datastoreItem xmlns:ds="http://schemas.openxmlformats.org/officeDocument/2006/customXml" ds:itemID="{5F0D1E12-A014-4145-A4FC-1CD3C5B2B35C}"/>
</file>

<file path=customXml/itemProps2.xml><?xml version="1.0" encoding="utf-8"?>
<ds:datastoreItem xmlns:ds="http://schemas.openxmlformats.org/officeDocument/2006/customXml" ds:itemID="{ABB5699D-8A34-4A3C-8090-B690D47EA889}"/>
</file>

<file path=customXml/itemProps3.xml><?xml version="1.0" encoding="utf-8"?>
<ds:datastoreItem xmlns:ds="http://schemas.openxmlformats.org/officeDocument/2006/customXml" ds:itemID="{89A65178-2B83-4614-A250-7CD6478B5B3A}"/>
</file>

<file path=customXml/itemProps4.xml><?xml version="1.0" encoding="utf-8"?>
<ds:datastoreItem xmlns:ds="http://schemas.openxmlformats.org/officeDocument/2006/customXml" ds:itemID="{F7A1C6AA-ABA8-4896-B3D2-1A3DF0B6E8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TEAP May 2017: Progress Report (Volume 1) - Corrigendum</dc:title>
  <dc:creator>Helen Tope</dc:creator>
  <cp:lastModifiedBy>Martha Adila</cp:lastModifiedBy>
  <cp:revision>3</cp:revision>
  <cp:lastPrinted>2017-06-14T13:28:00Z</cp:lastPrinted>
  <dcterms:created xsi:type="dcterms:W3CDTF">2017-06-14T13:28:00Z</dcterms:created>
  <dcterms:modified xsi:type="dcterms:W3CDTF">2017-06-14T13:29:00Z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0x0101002C3F99E10EF22E40B3DDB3FE794EF29A</vt:lpwstr>
  </property>
</Properties>
</file>