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321375" w14:textId="77777777" w:rsidR="00AD4B2A" w:rsidRPr="00FD4EE9" w:rsidRDefault="00AD4B2A">
      <w:pPr>
        <w:spacing w:line="240" w:lineRule="atLeast"/>
        <w:jc w:val="center"/>
        <w:rPr>
          <w:b/>
          <w:sz w:val="32"/>
        </w:rPr>
      </w:pPr>
    </w:p>
    <w:p w14:paraId="19212A2D" w14:textId="77777777" w:rsidR="00AD4B2A" w:rsidRPr="00FD4EE9" w:rsidRDefault="00591AA8">
      <w:pPr>
        <w:spacing w:line="240" w:lineRule="atLeast"/>
        <w:jc w:val="center"/>
      </w:pPr>
      <w:r w:rsidRPr="00FD4EE9">
        <w:rPr>
          <w:b/>
          <w:sz w:val="32"/>
        </w:rPr>
        <w:t>MONTREAL PROTOCOL</w:t>
      </w:r>
      <w:r w:rsidRPr="00FD4EE9">
        <w:rPr>
          <w:b/>
          <w:sz w:val="32"/>
        </w:rPr>
        <w:br/>
      </w:r>
      <w:r w:rsidRPr="00FD4EE9">
        <w:rPr>
          <w:b/>
          <w:sz w:val="32"/>
        </w:rPr>
        <w:br/>
        <w:t>ON SUBSTANCES THAT DEPLETE</w:t>
      </w:r>
      <w:r w:rsidRPr="00FD4EE9">
        <w:rPr>
          <w:b/>
          <w:sz w:val="32"/>
        </w:rPr>
        <w:br/>
      </w:r>
      <w:r w:rsidRPr="00FD4EE9">
        <w:rPr>
          <w:b/>
          <w:sz w:val="32"/>
        </w:rPr>
        <w:br/>
        <w:t>THE OZONE LAYER</w:t>
      </w:r>
      <w:r w:rsidRPr="00FD4EE9">
        <w:rPr>
          <w:b/>
          <w:sz w:val="32"/>
        </w:rPr>
        <w:br/>
      </w:r>
      <w:r w:rsidRPr="00FD4EE9">
        <w:rPr>
          <w:b/>
          <w:sz w:val="32"/>
        </w:rPr>
        <w:br/>
      </w:r>
    </w:p>
    <w:p w14:paraId="285BBC71" w14:textId="77777777" w:rsidR="00AD4B2A" w:rsidRPr="00FD4EE9" w:rsidRDefault="00B00967">
      <w:pPr>
        <w:spacing w:line="240" w:lineRule="atLeast"/>
        <w:jc w:val="center"/>
        <w:rPr>
          <w:sz w:val="172"/>
        </w:rPr>
      </w:pPr>
      <w:r w:rsidRPr="00FD4EE9">
        <w:rPr>
          <w:noProof/>
          <w:sz w:val="172"/>
          <w:lang w:val="en-US" w:eastAsia="en-US"/>
        </w:rPr>
        <w:drawing>
          <wp:inline distT="0" distB="0" distL="0" distR="0" wp14:anchorId="56725C94" wp14:editId="7C566F55">
            <wp:extent cx="2908300" cy="2476500"/>
            <wp:effectExtent l="0" t="0" r="1270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08300" cy="2476500"/>
                    </a:xfrm>
                    <a:prstGeom prst="rect">
                      <a:avLst/>
                    </a:prstGeom>
                    <a:noFill/>
                    <a:ln>
                      <a:noFill/>
                    </a:ln>
                  </pic:spPr>
                </pic:pic>
              </a:graphicData>
            </a:graphic>
          </wp:inline>
        </w:drawing>
      </w:r>
    </w:p>
    <w:p w14:paraId="62590873" w14:textId="77777777" w:rsidR="00AD4B2A" w:rsidRPr="00FD4EE9" w:rsidRDefault="00591AA8">
      <w:pPr>
        <w:spacing w:line="240" w:lineRule="atLeast"/>
        <w:jc w:val="center"/>
        <w:outlineLvl w:val="0"/>
        <w:rPr>
          <w:sz w:val="172"/>
        </w:rPr>
      </w:pPr>
      <w:r w:rsidRPr="00FD4EE9">
        <w:rPr>
          <w:sz w:val="172"/>
        </w:rPr>
        <w:t>UNEP</w:t>
      </w:r>
    </w:p>
    <w:p w14:paraId="0CA615F9" w14:textId="77777777" w:rsidR="00AD4B2A" w:rsidRPr="00FD4EE9" w:rsidRDefault="00591AA8">
      <w:pPr>
        <w:spacing w:line="240" w:lineRule="atLeast"/>
        <w:jc w:val="center"/>
        <w:rPr>
          <w:b/>
          <w:smallCaps/>
          <w:sz w:val="32"/>
        </w:rPr>
      </w:pPr>
      <w:bookmarkStart w:id="0" w:name="OLE_LINK16"/>
      <w:bookmarkStart w:id="1" w:name="OLE_LINK17"/>
      <w:r w:rsidRPr="00FD4EE9">
        <w:rPr>
          <w:b/>
          <w:smallCaps/>
          <w:sz w:val="32"/>
        </w:rPr>
        <w:t>Report of the</w:t>
      </w:r>
      <w:r w:rsidRPr="00FD4EE9">
        <w:rPr>
          <w:b/>
          <w:smallCaps/>
          <w:sz w:val="32"/>
        </w:rPr>
        <w:br/>
        <w:t>Technology and Economic Assessment Panel</w:t>
      </w:r>
      <w:r w:rsidRPr="00FD4EE9">
        <w:rPr>
          <w:b/>
          <w:smallCaps/>
          <w:sz w:val="32"/>
        </w:rPr>
        <w:br/>
      </w:r>
    </w:p>
    <w:p w14:paraId="5AA59E0A" w14:textId="23AE0519" w:rsidR="00AD4B2A" w:rsidRPr="00FD4EE9" w:rsidRDefault="00010163">
      <w:pPr>
        <w:spacing w:after="120"/>
        <w:jc w:val="center"/>
        <w:rPr>
          <w:b/>
          <w:smallCaps/>
          <w:sz w:val="32"/>
        </w:rPr>
      </w:pPr>
      <w:r>
        <w:rPr>
          <w:b/>
          <w:smallCaps/>
          <w:sz w:val="32"/>
        </w:rPr>
        <w:t>April</w:t>
      </w:r>
      <w:r w:rsidR="00591AA8" w:rsidRPr="00FD4EE9">
        <w:rPr>
          <w:b/>
          <w:smallCaps/>
          <w:sz w:val="32"/>
        </w:rPr>
        <w:t xml:space="preserve"> </w:t>
      </w:r>
      <w:r w:rsidR="00A8345B" w:rsidRPr="00FD4EE9">
        <w:rPr>
          <w:b/>
          <w:smallCaps/>
          <w:sz w:val="32"/>
        </w:rPr>
        <w:t>201</w:t>
      </w:r>
      <w:r w:rsidR="00AD0C75">
        <w:rPr>
          <w:b/>
          <w:smallCaps/>
          <w:sz w:val="32"/>
        </w:rPr>
        <w:t>8</w:t>
      </w:r>
    </w:p>
    <w:p w14:paraId="1EACC265" w14:textId="77777777" w:rsidR="00AD4B2A" w:rsidRPr="00FD4EE9" w:rsidRDefault="00AD4B2A">
      <w:pPr>
        <w:spacing w:after="120"/>
        <w:jc w:val="center"/>
        <w:rPr>
          <w:b/>
          <w:smallCaps/>
          <w:sz w:val="32"/>
        </w:rPr>
      </w:pPr>
    </w:p>
    <w:p w14:paraId="64AA7195" w14:textId="77777777" w:rsidR="00AD4B2A" w:rsidRDefault="00AD0C75" w:rsidP="00AD0C75">
      <w:pPr>
        <w:spacing w:after="120"/>
        <w:jc w:val="center"/>
        <w:rPr>
          <w:b/>
          <w:smallCaps/>
          <w:sz w:val="32"/>
        </w:rPr>
      </w:pPr>
      <w:r>
        <w:rPr>
          <w:b/>
          <w:smallCaps/>
          <w:sz w:val="32"/>
        </w:rPr>
        <w:t>Volume 2</w:t>
      </w:r>
    </w:p>
    <w:p w14:paraId="627EB8DF" w14:textId="0DB3C43E" w:rsidR="00AD0C75" w:rsidRPr="00AD0C75" w:rsidRDefault="00894D0B" w:rsidP="00AD0C75">
      <w:pPr>
        <w:spacing w:after="120"/>
        <w:jc w:val="center"/>
        <w:rPr>
          <w:b/>
          <w:smallCaps/>
          <w:sz w:val="32"/>
        </w:rPr>
      </w:pPr>
      <w:r w:rsidRPr="00894D0B">
        <w:rPr>
          <w:b/>
          <w:bCs/>
          <w:smallCaps/>
          <w:sz w:val="32"/>
        </w:rPr>
        <w:t>Decision XXIX/4</w:t>
      </w:r>
      <w:r>
        <w:rPr>
          <w:b/>
          <w:bCs/>
          <w:smallCaps/>
          <w:sz w:val="32"/>
        </w:rPr>
        <w:t xml:space="preserve"> </w:t>
      </w:r>
      <w:r w:rsidR="004F7205">
        <w:rPr>
          <w:b/>
          <w:bCs/>
          <w:smallCaps/>
          <w:sz w:val="32"/>
        </w:rPr>
        <w:t xml:space="preserve">TEAP </w:t>
      </w:r>
      <w:r>
        <w:rPr>
          <w:b/>
          <w:bCs/>
          <w:smallCaps/>
          <w:sz w:val="32"/>
        </w:rPr>
        <w:t>Task Force Report on Destruction Technologies for Controlled S</w:t>
      </w:r>
      <w:r w:rsidRPr="00894D0B">
        <w:rPr>
          <w:b/>
          <w:bCs/>
          <w:smallCaps/>
          <w:sz w:val="32"/>
        </w:rPr>
        <w:t>ubstances</w:t>
      </w:r>
    </w:p>
    <w:bookmarkEnd w:id="0"/>
    <w:bookmarkEnd w:id="1"/>
    <w:p w14:paraId="32871EF3" w14:textId="77777777" w:rsidR="00AD4B2A" w:rsidRPr="00FD4EE9" w:rsidRDefault="00AD4B2A">
      <w:pPr>
        <w:jc w:val="right"/>
        <w:rPr>
          <w:b/>
          <w:smallCaps/>
          <w:sz w:val="28"/>
        </w:rPr>
        <w:sectPr w:rsidR="00AD4B2A" w:rsidRPr="00FD4EE9" w:rsidSect="007D7370">
          <w:headerReference w:type="even" r:id="rId13"/>
          <w:headerReference w:type="default" r:id="rId14"/>
          <w:footerReference w:type="default" r:id="rId15"/>
          <w:headerReference w:type="first" r:id="rId16"/>
          <w:footerReference w:type="first" r:id="rId17"/>
          <w:footnotePr>
            <w:numRestart w:val="eachSect"/>
          </w:footnotePr>
          <w:type w:val="nextColumn"/>
          <w:pgSz w:w="11907" w:h="16839" w:code="9"/>
          <w:pgMar w:top="1440" w:right="1800" w:bottom="1526" w:left="1800" w:header="720" w:footer="792" w:gutter="0"/>
          <w:pgNumType w:fmt="lowerRoman"/>
          <w:cols w:space="720"/>
          <w:titlePg/>
          <w:docGrid w:linePitch="299"/>
        </w:sectPr>
      </w:pPr>
    </w:p>
    <w:p w14:paraId="04BB2540" w14:textId="3F66336E" w:rsidR="00AD0C75" w:rsidRPr="00FD4EE9" w:rsidRDefault="00AD0C75" w:rsidP="00AD0C75">
      <w:pPr>
        <w:spacing w:after="0"/>
        <w:jc w:val="right"/>
        <w:rPr>
          <w:b/>
          <w:smallCaps/>
          <w:sz w:val="28"/>
        </w:rPr>
      </w:pPr>
      <w:r w:rsidRPr="00FD4EE9">
        <w:rPr>
          <w:b/>
          <w:smallCaps/>
          <w:sz w:val="28"/>
        </w:rPr>
        <w:lastRenderedPageBreak/>
        <w:t>UNEP</w:t>
      </w:r>
      <w:r w:rsidRPr="00FD4EE9">
        <w:rPr>
          <w:b/>
          <w:smallCaps/>
          <w:sz w:val="28"/>
        </w:rPr>
        <w:br/>
      </w:r>
      <w:r w:rsidR="00010163">
        <w:rPr>
          <w:b/>
          <w:smallCaps/>
          <w:sz w:val="28"/>
        </w:rPr>
        <w:t>April</w:t>
      </w:r>
      <w:r>
        <w:rPr>
          <w:b/>
          <w:smallCaps/>
          <w:sz w:val="28"/>
        </w:rPr>
        <w:t xml:space="preserve"> 2018</w:t>
      </w:r>
      <w:r w:rsidRPr="00FD4EE9">
        <w:rPr>
          <w:b/>
          <w:smallCaps/>
          <w:sz w:val="28"/>
        </w:rPr>
        <w:t xml:space="preserve"> </w:t>
      </w:r>
      <w:r>
        <w:rPr>
          <w:b/>
          <w:smallCaps/>
          <w:sz w:val="28"/>
        </w:rPr>
        <w:t>TEAP Report</w:t>
      </w:r>
    </w:p>
    <w:p w14:paraId="1A90BAFB" w14:textId="77777777" w:rsidR="00AD0C75" w:rsidRDefault="00AD0C75" w:rsidP="00AD0C75">
      <w:pPr>
        <w:jc w:val="right"/>
        <w:rPr>
          <w:b/>
          <w:smallCaps/>
          <w:sz w:val="28"/>
        </w:rPr>
      </w:pPr>
      <w:r>
        <w:rPr>
          <w:b/>
          <w:smallCaps/>
          <w:sz w:val="28"/>
        </w:rPr>
        <w:t>Volume 2</w:t>
      </w:r>
    </w:p>
    <w:p w14:paraId="1846B808" w14:textId="3A86F2C5" w:rsidR="00894D0B" w:rsidRDefault="00894D0B" w:rsidP="00894D0B">
      <w:pPr>
        <w:spacing w:after="0"/>
        <w:jc w:val="right"/>
        <w:rPr>
          <w:b/>
          <w:bCs/>
          <w:smallCaps/>
          <w:sz w:val="28"/>
        </w:rPr>
      </w:pPr>
      <w:r w:rsidRPr="00894D0B">
        <w:rPr>
          <w:b/>
          <w:bCs/>
          <w:smallCaps/>
          <w:sz w:val="28"/>
        </w:rPr>
        <w:t xml:space="preserve">Decision XXIX/4 </w:t>
      </w:r>
      <w:r w:rsidR="004F7205">
        <w:rPr>
          <w:b/>
          <w:bCs/>
          <w:smallCaps/>
          <w:sz w:val="28"/>
        </w:rPr>
        <w:t xml:space="preserve">TEAP </w:t>
      </w:r>
      <w:r w:rsidRPr="00894D0B">
        <w:rPr>
          <w:b/>
          <w:bCs/>
          <w:smallCaps/>
          <w:sz w:val="28"/>
        </w:rPr>
        <w:t>Task Force Report</w:t>
      </w:r>
      <w:r>
        <w:rPr>
          <w:b/>
          <w:bCs/>
          <w:smallCaps/>
          <w:sz w:val="28"/>
        </w:rPr>
        <w:t xml:space="preserve"> on</w:t>
      </w:r>
    </w:p>
    <w:p w14:paraId="6F162101" w14:textId="768CF2AC" w:rsidR="00AD4B2A" w:rsidRPr="00FD4EE9" w:rsidRDefault="00894D0B" w:rsidP="00AD0C75">
      <w:pPr>
        <w:jc w:val="right"/>
        <w:rPr>
          <w:b/>
          <w:smallCaps/>
          <w:sz w:val="28"/>
        </w:rPr>
      </w:pPr>
      <w:r w:rsidRPr="00894D0B">
        <w:rPr>
          <w:b/>
          <w:bCs/>
          <w:smallCaps/>
          <w:sz w:val="28"/>
        </w:rPr>
        <w:t>Destruction Technologies for Controlled Substances</w:t>
      </w:r>
    </w:p>
    <w:p w14:paraId="3EFD1435" w14:textId="77777777" w:rsidR="00AD4B2A" w:rsidRPr="00FD4EE9" w:rsidRDefault="00AD4B2A">
      <w:pPr>
        <w:spacing w:before="100" w:after="100"/>
        <w:rPr>
          <w:b/>
        </w:rPr>
        <w:sectPr w:rsidR="00AD4B2A" w:rsidRPr="00FD4EE9" w:rsidSect="007D7370">
          <w:headerReference w:type="even" r:id="rId18"/>
          <w:headerReference w:type="default" r:id="rId19"/>
          <w:footerReference w:type="even" r:id="rId20"/>
          <w:footerReference w:type="default" r:id="rId21"/>
          <w:headerReference w:type="first" r:id="rId22"/>
          <w:footnotePr>
            <w:numRestart w:val="eachSect"/>
          </w:footnotePr>
          <w:type w:val="oddPage"/>
          <w:pgSz w:w="11907" w:h="16839" w:code="9"/>
          <w:pgMar w:top="1440" w:right="1800" w:bottom="1526" w:left="1800" w:header="720" w:footer="792" w:gutter="0"/>
          <w:pgNumType w:fmt="lowerRoman"/>
          <w:cols w:space="720"/>
          <w:docGrid w:linePitch="299"/>
        </w:sectPr>
      </w:pPr>
    </w:p>
    <w:p w14:paraId="0DFCFE03" w14:textId="77777777" w:rsidR="00AD4B2A" w:rsidRPr="00FD4EE9" w:rsidRDefault="00591AA8">
      <w:pPr>
        <w:spacing w:before="240" w:after="100"/>
        <w:rPr>
          <w:b/>
          <w:sz w:val="24"/>
        </w:rPr>
      </w:pPr>
      <w:r w:rsidRPr="00FD4EE9">
        <w:rPr>
          <w:b/>
          <w:sz w:val="24"/>
        </w:rPr>
        <w:lastRenderedPageBreak/>
        <w:t>Montreal Protocol</w:t>
      </w:r>
      <w:r w:rsidRPr="00FD4EE9">
        <w:rPr>
          <w:b/>
          <w:sz w:val="24"/>
        </w:rPr>
        <w:br/>
        <w:t>On Substances that Deplete the Ozone Layer</w:t>
      </w:r>
    </w:p>
    <w:p w14:paraId="3DA97AE1" w14:textId="77777777" w:rsidR="00AD4B2A" w:rsidRPr="00DF4704" w:rsidRDefault="00591AA8">
      <w:pPr>
        <w:spacing w:before="100" w:after="100"/>
        <w:outlineLvl w:val="0"/>
        <w:rPr>
          <w:sz w:val="24"/>
          <w:szCs w:val="24"/>
        </w:rPr>
      </w:pPr>
      <w:r w:rsidRPr="00DF4704">
        <w:rPr>
          <w:sz w:val="24"/>
          <w:szCs w:val="24"/>
        </w:rPr>
        <w:t>Report of the</w:t>
      </w:r>
      <w:r w:rsidRPr="00DF4704">
        <w:rPr>
          <w:sz w:val="24"/>
          <w:szCs w:val="24"/>
        </w:rPr>
        <w:br/>
        <w:t>UNEP Technology and Economic Assessment Panel</w:t>
      </w:r>
    </w:p>
    <w:p w14:paraId="29DBCFA6" w14:textId="370A6056" w:rsidR="00AD4B2A" w:rsidRPr="00DF4704" w:rsidRDefault="00010163">
      <w:pPr>
        <w:spacing w:before="100" w:after="100"/>
        <w:outlineLvl w:val="0"/>
        <w:rPr>
          <w:sz w:val="24"/>
          <w:szCs w:val="24"/>
        </w:rPr>
      </w:pPr>
      <w:r w:rsidRPr="00DF4704">
        <w:rPr>
          <w:sz w:val="24"/>
          <w:szCs w:val="24"/>
        </w:rPr>
        <w:t>April</w:t>
      </w:r>
      <w:r w:rsidR="00260C5C" w:rsidRPr="00DF4704">
        <w:rPr>
          <w:sz w:val="24"/>
          <w:szCs w:val="24"/>
        </w:rPr>
        <w:t xml:space="preserve"> </w:t>
      </w:r>
      <w:r w:rsidR="00312589" w:rsidRPr="00DF4704">
        <w:rPr>
          <w:sz w:val="24"/>
          <w:szCs w:val="24"/>
        </w:rPr>
        <w:t>201</w:t>
      </w:r>
      <w:r w:rsidR="00AD0C75" w:rsidRPr="00DF4704">
        <w:rPr>
          <w:sz w:val="24"/>
          <w:szCs w:val="24"/>
        </w:rPr>
        <w:t>8</w:t>
      </w:r>
    </w:p>
    <w:p w14:paraId="70B9D8D6" w14:textId="77777777" w:rsidR="00AD4B2A" w:rsidRPr="00DF4704" w:rsidRDefault="00AD0C75">
      <w:pPr>
        <w:spacing w:before="100" w:after="100"/>
        <w:outlineLvl w:val="0"/>
        <w:rPr>
          <w:b/>
          <w:smallCaps/>
          <w:sz w:val="24"/>
          <w:szCs w:val="24"/>
        </w:rPr>
      </w:pPr>
      <w:r w:rsidRPr="00DF4704">
        <w:rPr>
          <w:b/>
          <w:smallCaps/>
          <w:sz w:val="24"/>
          <w:szCs w:val="24"/>
        </w:rPr>
        <w:t>Volume 2</w:t>
      </w:r>
    </w:p>
    <w:p w14:paraId="24C0792A" w14:textId="213C3614" w:rsidR="00AD4B2A" w:rsidRPr="00FD4EE9" w:rsidRDefault="00DD1D9B">
      <w:pPr>
        <w:spacing w:before="100" w:after="100"/>
        <w:outlineLvl w:val="0"/>
        <w:rPr>
          <w:b/>
          <w:smallCaps/>
          <w:sz w:val="32"/>
        </w:rPr>
      </w:pPr>
      <w:r w:rsidRPr="00DD1D9B">
        <w:rPr>
          <w:b/>
          <w:bCs/>
          <w:smallCaps/>
          <w:sz w:val="32"/>
        </w:rPr>
        <w:t>Decision XXIX/4 TEAP Task Force Report on Destruction Technologies for Controlled Substances</w:t>
      </w:r>
    </w:p>
    <w:p w14:paraId="06F4F7A2" w14:textId="77777777" w:rsidR="00AD4B2A" w:rsidRPr="00FD4EE9" w:rsidRDefault="00AD4B2A">
      <w:pPr>
        <w:spacing w:before="100" w:after="100"/>
      </w:pPr>
    </w:p>
    <w:p w14:paraId="7ECCBE3E" w14:textId="77777777" w:rsidR="00AD4B2A" w:rsidRPr="00FD4EE9" w:rsidRDefault="00591AA8">
      <w:pPr>
        <w:spacing w:before="100" w:after="100"/>
      </w:pPr>
      <w:r w:rsidRPr="00FD4EE9">
        <w:t>The text of this report is composed in Times New Roman.</w:t>
      </w:r>
    </w:p>
    <w:p w14:paraId="0FAB39CD" w14:textId="77777777" w:rsidR="00AD4B2A" w:rsidRPr="00FD4EE9" w:rsidRDefault="00591AA8">
      <w:pPr>
        <w:tabs>
          <w:tab w:val="left" w:pos="3870"/>
        </w:tabs>
        <w:spacing w:before="100" w:after="100"/>
        <w:outlineLvl w:val="0"/>
        <w:rPr>
          <w:b/>
        </w:rPr>
      </w:pPr>
      <w:r w:rsidRPr="00FD4EE9">
        <w:t>Co-ordination:</w:t>
      </w:r>
      <w:r w:rsidRPr="00FD4EE9">
        <w:tab/>
      </w:r>
      <w:r w:rsidRPr="00FD4EE9">
        <w:rPr>
          <w:b/>
        </w:rPr>
        <w:t>Technology and Economic Assessment Panel</w:t>
      </w:r>
    </w:p>
    <w:p w14:paraId="36D528E4" w14:textId="5C8B63BE" w:rsidR="00AD4B2A" w:rsidRPr="00FD4EE9" w:rsidRDefault="00591AA8">
      <w:pPr>
        <w:tabs>
          <w:tab w:val="left" w:pos="3870"/>
        </w:tabs>
        <w:spacing w:before="100" w:after="100"/>
      </w:pPr>
      <w:r w:rsidRPr="00FD4EE9">
        <w:t>Composition of the report:</w:t>
      </w:r>
      <w:r w:rsidRPr="00FD4EE9">
        <w:tab/>
      </w:r>
      <w:r w:rsidR="00787EA1">
        <w:t>Helen Tope,</w:t>
      </w:r>
      <w:r w:rsidR="00D04FAC">
        <w:t xml:space="preserve"> Helen Walter-</w:t>
      </w:r>
      <w:proofErr w:type="spellStart"/>
      <w:r w:rsidR="00D04FAC">
        <w:t>Terrinoni</w:t>
      </w:r>
      <w:proofErr w:type="spellEnd"/>
    </w:p>
    <w:p w14:paraId="2A8E8E3E" w14:textId="6A7E4896" w:rsidR="00AD4B2A" w:rsidRPr="00FD4EE9" w:rsidRDefault="00591AA8">
      <w:pPr>
        <w:tabs>
          <w:tab w:val="left" w:pos="3870"/>
        </w:tabs>
        <w:spacing w:before="100" w:after="100"/>
        <w:ind w:left="2160" w:hanging="2160"/>
      </w:pPr>
      <w:r w:rsidRPr="00FD4EE9">
        <w:t>Layout and formatting:</w:t>
      </w:r>
      <w:r w:rsidRPr="00FD4EE9">
        <w:tab/>
      </w:r>
      <w:r w:rsidRPr="00FD4EE9">
        <w:tab/>
      </w:r>
      <w:r w:rsidR="00894D0B">
        <w:t xml:space="preserve">Marta </w:t>
      </w:r>
      <w:proofErr w:type="spellStart"/>
      <w:r w:rsidR="00894D0B">
        <w:t>Pizano</w:t>
      </w:r>
      <w:proofErr w:type="spellEnd"/>
      <w:r w:rsidR="00894D0B">
        <w:t xml:space="preserve">, </w:t>
      </w:r>
      <w:r w:rsidR="00787EA1">
        <w:t>Helen Tope</w:t>
      </w:r>
      <w:r w:rsidR="00A12A40" w:rsidRPr="00FD4EE9">
        <w:t xml:space="preserve"> (UNEP TEAP)</w:t>
      </w:r>
      <w:r w:rsidRPr="00FD4EE9">
        <w:t xml:space="preserve"> </w:t>
      </w:r>
      <w:r w:rsidRPr="00FD4EE9">
        <w:tab/>
      </w:r>
    </w:p>
    <w:p w14:paraId="39F3AB14" w14:textId="30A1438B" w:rsidR="00AD4B2A" w:rsidRPr="00FD4EE9" w:rsidRDefault="00591AA8">
      <w:pPr>
        <w:tabs>
          <w:tab w:val="left" w:pos="3870"/>
        </w:tabs>
        <w:spacing w:before="100" w:after="100"/>
      </w:pPr>
      <w:r w:rsidRPr="00FD4EE9">
        <w:t>Date:</w:t>
      </w:r>
      <w:r w:rsidRPr="00FD4EE9">
        <w:tab/>
      </w:r>
      <w:r w:rsidR="00010163">
        <w:t>April</w:t>
      </w:r>
      <w:r w:rsidR="00312589" w:rsidRPr="00FD4EE9">
        <w:t xml:space="preserve"> 201</w:t>
      </w:r>
      <w:r w:rsidR="00AD0C75">
        <w:t>8</w:t>
      </w:r>
    </w:p>
    <w:p w14:paraId="53F6EDD7" w14:textId="77777777" w:rsidR="00AD4B2A" w:rsidRPr="00FD4EE9" w:rsidRDefault="00AD4B2A">
      <w:pPr>
        <w:spacing w:before="100" w:after="100"/>
      </w:pPr>
    </w:p>
    <w:p w14:paraId="430F2733" w14:textId="77777777" w:rsidR="00AD4B2A" w:rsidRPr="00FD4EE9" w:rsidRDefault="00591AA8">
      <w:pPr>
        <w:spacing w:before="100" w:after="100"/>
      </w:pPr>
      <w:r w:rsidRPr="00FD4EE9">
        <w:t>Under certain conditions, printed copies of this report are available from:</w:t>
      </w:r>
    </w:p>
    <w:p w14:paraId="375F9E0E" w14:textId="77777777" w:rsidR="00AD4B2A" w:rsidRPr="00FD4EE9" w:rsidRDefault="00591AA8">
      <w:pPr>
        <w:spacing w:before="100" w:after="100"/>
      </w:pPr>
      <w:r w:rsidRPr="00FD4EE9">
        <w:t>UNITED NATIONS ENVIRONMENT PROGRAMME</w:t>
      </w:r>
      <w:r w:rsidRPr="00FD4EE9">
        <w:br/>
        <w:t>Ozone Secretariat, P.O. Box 30552, Nairobi, Kenya</w:t>
      </w:r>
    </w:p>
    <w:p w14:paraId="6A3F4059" w14:textId="77777777" w:rsidR="00AD4B2A" w:rsidRPr="00FD4EE9" w:rsidRDefault="00AD4B2A">
      <w:pPr>
        <w:spacing w:before="100" w:after="100"/>
        <w:outlineLvl w:val="0"/>
      </w:pPr>
    </w:p>
    <w:p w14:paraId="17947831" w14:textId="77777777" w:rsidR="00AD4B2A" w:rsidRPr="00FD4EE9" w:rsidRDefault="00AD4B2A">
      <w:pPr>
        <w:spacing w:before="100" w:after="100"/>
        <w:outlineLvl w:val="0"/>
      </w:pPr>
    </w:p>
    <w:p w14:paraId="35D3ABD2" w14:textId="77777777" w:rsidR="00AD4B2A" w:rsidRPr="00FD4EE9" w:rsidRDefault="00591AA8">
      <w:pPr>
        <w:spacing w:before="100" w:after="100"/>
        <w:outlineLvl w:val="0"/>
      </w:pPr>
      <w:r w:rsidRPr="00FD4EE9">
        <w:t>This document is also available in portable document format from the UNEP Ozone Secretariat's website:</w:t>
      </w:r>
    </w:p>
    <w:p w14:paraId="14735DBA" w14:textId="77777777" w:rsidR="00AD4B2A" w:rsidRPr="00FD4EE9" w:rsidRDefault="00591AA8">
      <w:pPr>
        <w:spacing w:before="100" w:after="100"/>
        <w:jc w:val="center"/>
        <w:rPr>
          <w:b/>
          <w:sz w:val="16"/>
        </w:rPr>
      </w:pPr>
      <w:r w:rsidRPr="00FD4EE9">
        <w:rPr>
          <w:b/>
        </w:rPr>
        <w:t>http://ozone.unep.org/</w:t>
      </w:r>
      <w:r w:rsidR="00547D5B" w:rsidRPr="00FD4EE9">
        <w:rPr>
          <w:b/>
        </w:rPr>
        <w:t>en/assessment-panels/technology-and-economic-assessment-panel</w:t>
      </w:r>
    </w:p>
    <w:p w14:paraId="28DF5228" w14:textId="77777777" w:rsidR="00547D5B" w:rsidRPr="00FD4EE9" w:rsidRDefault="00547D5B">
      <w:pPr>
        <w:spacing w:before="100" w:after="100"/>
      </w:pPr>
    </w:p>
    <w:p w14:paraId="1A5F9B1B" w14:textId="7A168A4F" w:rsidR="00AD4B2A" w:rsidRPr="00FD4EE9" w:rsidRDefault="00591AA8">
      <w:pPr>
        <w:spacing w:before="100" w:after="100"/>
      </w:pPr>
      <w:r w:rsidRPr="00FD4EE9">
        <w:t>No copyright involved.</w:t>
      </w:r>
      <w:r w:rsidR="00514300">
        <w:t xml:space="preserve"> </w:t>
      </w:r>
      <w:r w:rsidRPr="00FD4EE9">
        <w:t>This publication may be freely copied, abstracted and cited, with acknowledgement of the source of the material.</w:t>
      </w:r>
    </w:p>
    <w:p w14:paraId="60CE14BA" w14:textId="77777777" w:rsidR="00547D5B" w:rsidRPr="00FD4EE9" w:rsidRDefault="00547D5B">
      <w:pPr>
        <w:spacing w:before="100" w:after="100"/>
      </w:pPr>
    </w:p>
    <w:p w14:paraId="5CFE0D11" w14:textId="09D78C75" w:rsidR="00AD4B2A" w:rsidRPr="00FD4EE9" w:rsidRDefault="00591AA8" w:rsidP="00C271CA">
      <w:pPr>
        <w:autoSpaceDE w:val="0"/>
        <w:autoSpaceDN w:val="0"/>
        <w:adjustRightInd w:val="0"/>
        <w:spacing w:before="100" w:after="100"/>
        <w:rPr>
          <w:b/>
          <w:highlight w:val="yellow"/>
        </w:rPr>
        <w:sectPr w:rsidR="00AD4B2A" w:rsidRPr="00FD4EE9" w:rsidSect="007D7370">
          <w:headerReference w:type="even" r:id="rId23"/>
          <w:headerReference w:type="default" r:id="rId24"/>
          <w:footerReference w:type="default" r:id="rId25"/>
          <w:headerReference w:type="first" r:id="rId26"/>
          <w:footnotePr>
            <w:numRestart w:val="eachSect"/>
          </w:footnotePr>
          <w:type w:val="nextColumn"/>
          <w:pgSz w:w="11907" w:h="16839" w:code="9"/>
          <w:pgMar w:top="1440" w:right="1800" w:bottom="1526" w:left="1800" w:header="720" w:footer="792" w:gutter="0"/>
          <w:pgNumType w:fmt="lowerRoman"/>
          <w:cols w:space="720"/>
          <w:docGrid w:linePitch="299"/>
        </w:sectPr>
      </w:pPr>
      <w:r w:rsidRPr="00C271CA">
        <w:rPr>
          <w:b/>
        </w:rPr>
        <w:t>ISBN:</w:t>
      </w:r>
      <w:r w:rsidR="0062585A">
        <w:rPr>
          <w:b/>
        </w:rPr>
        <w:t xml:space="preserve"> </w:t>
      </w:r>
      <w:r w:rsidRPr="00FD4EE9">
        <w:rPr>
          <w:b/>
        </w:rPr>
        <w:tab/>
      </w:r>
      <w:r w:rsidR="0062585A" w:rsidRPr="0062585A">
        <w:rPr>
          <w:b/>
        </w:rPr>
        <w:t>978-9966-076-38-0</w:t>
      </w:r>
    </w:p>
    <w:p w14:paraId="19483BCA" w14:textId="77777777" w:rsidR="00AD4B2A" w:rsidRPr="00FD4EE9" w:rsidRDefault="00591AA8" w:rsidP="00A140B1">
      <w:pPr>
        <w:outlineLvl w:val="0"/>
        <w:rPr>
          <w:b/>
        </w:rPr>
      </w:pPr>
      <w:r w:rsidRPr="00FD4EE9">
        <w:rPr>
          <w:b/>
        </w:rPr>
        <w:lastRenderedPageBreak/>
        <w:t>Disclaimer</w:t>
      </w:r>
    </w:p>
    <w:p w14:paraId="032A7C78" w14:textId="2D763949" w:rsidR="00AD4B2A" w:rsidRPr="00FD4EE9" w:rsidRDefault="00591AA8" w:rsidP="00A140B1">
      <w:pPr>
        <w:rPr>
          <w:sz w:val="20"/>
        </w:rPr>
      </w:pPr>
      <w:r w:rsidRPr="00FD4EE9">
        <w:rPr>
          <w:sz w:val="20"/>
        </w:rPr>
        <w:t>The United Nations Environment Programme (UNEP), the Technology and Economic Assessment Panel (TEAP) Co-chairs and members, the Technical Options Committees Co-chairs and members, the TEAP Task Forces Co-chairs and members, and the companies and organisations that employ them do not endorse the performance, worker safety, or environmental acceptability of any of the technical options discussed.</w:t>
      </w:r>
      <w:r w:rsidR="00514300">
        <w:rPr>
          <w:sz w:val="20"/>
        </w:rPr>
        <w:t xml:space="preserve"> </w:t>
      </w:r>
      <w:r w:rsidRPr="00FD4EE9">
        <w:rPr>
          <w:sz w:val="20"/>
        </w:rPr>
        <w:t>Every industrial operation requires consideration of worker safety and proper disposal of contaminants and waste products.</w:t>
      </w:r>
      <w:r w:rsidR="00514300">
        <w:rPr>
          <w:sz w:val="20"/>
        </w:rPr>
        <w:t xml:space="preserve"> </w:t>
      </w:r>
      <w:r w:rsidRPr="00FD4EE9">
        <w:rPr>
          <w:sz w:val="20"/>
        </w:rPr>
        <w:t>Moreover, as work continues - including additional toxicity evaluation - more information on health, environmental and safety effects of alternatives and replacements will become available for use in selecting among the options discussed in this document.</w:t>
      </w:r>
    </w:p>
    <w:p w14:paraId="0FF5B108" w14:textId="77777777" w:rsidR="00AD4B2A" w:rsidRPr="00FD4EE9" w:rsidRDefault="00591AA8" w:rsidP="00A140B1">
      <w:pPr>
        <w:pStyle w:val="MainTextNon-indent"/>
        <w:widowControl/>
        <w:spacing w:after="240" w:line="240" w:lineRule="auto"/>
        <w:rPr>
          <w:rFonts w:ascii="Times New Roman" w:hAnsi="Times New Roman"/>
          <w:lang w:val="en-GB"/>
        </w:rPr>
      </w:pPr>
      <w:r w:rsidRPr="00FD4EE9">
        <w:rPr>
          <w:rFonts w:ascii="Times New Roman" w:hAnsi="Times New Roman"/>
          <w:lang w:val="en-GB"/>
        </w:rPr>
        <w:t>UNEP, the TEAP Co-chairs and members, the Technical Options Committees Co-chairs and members, and the TEAP Task Forces Co-chairs and members, in furnishing or distributing this information, do not make any warranty or representation, either express or implied, with respect to the accuracy, completeness, or utility; nor do they assume any liability of any kind whatsoever resulting from the use or reliance upon any information, material, or procedure contained herein, including but not limited to any claims regarding health, safety, environmental effect or fate, efficacy, or performance, made by the source of information.</w:t>
      </w:r>
    </w:p>
    <w:p w14:paraId="5F95448B" w14:textId="77777777" w:rsidR="00AD4B2A" w:rsidRPr="00FD4EE9" w:rsidRDefault="00591AA8" w:rsidP="00A140B1">
      <w:pPr>
        <w:rPr>
          <w:sz w:val="20"/>
        </w:rPr>
      </w:pPr>
      <w:r w:rsidRPr="00FD4EE9">
        <w:rPr>
          <w:sz w:val="20"/>
        </w:rPr>
        <w:t>Mention of any company, association, or product in this document is for information purposes only and does not constitute a recommendation of any such company, association, or product, either express or implied by UNEP, the Technology and Economic Assessment Panel Co-chairs or members, the Technical and Economic Options Committee Co-chairs or members, the TEAP Task Forces Co-chairs or members or the companies or organisations that employ them.</w:t>
      </w:r>
    </w:p>
    <w:p w14:paraId="7C7361A8" w14:textId="77777777" w:rsidR="00AD4B2A" w:rsidRPr="00FD4EE9" w:rsidRDefault="00AD4B2A">
      <w:pPr>
        <w:keepNext/>
        <w:suppressAutoHyphens/>
        <w:spacing w:before="120"/>
        <w:ind w:right="244"/>
        <w:jc w:val="both"/>
        <w:rPr>
          <w:b/>
        </w:rPr>
      </w:pPr>
    </w:p>
    <w:p w14:paraId="71767013" w14:textId="77777777" w:rsidR="00AD4B2A" w:rsidRPr="00FD4EE9" w:rsidRDefault="00AD4B2A">
      <w:pPr>
        <w:keepNext/>
        <w:suppressAutoHyphens/>
        <w:spacing w:before="120"/>
        <w:ind w:right="244"/>
        <w:jc w:val="both"/>
        <w:rPr>
          <w:b/>
        </w:rPr>
      </w:pPr>
    </w:p>
    <w:p w14:paraId="67B68774" w14:textId="77777777" w:rsidR="00AD4B2A" w:rsidRPr="00FD4EE9" w:rsidRDefault="00AD4B2A">
      <w:pPr>
        <w:keepNext/>
        <w:suppressAutoHyphens/>
        <w:spacing w:before="120"/>
        <w:ind w:right="244"/>
        <w:jc w:val="both"/>
        <w:rPr>
          <w:b/>
        </w:rPr>
      </w:pPr>
    </w:p>
    <w:p w14:paraId="60776566" w14:textId="77777777" w:rsidR="00AD4B2A" w:rsidRPr="00FD4EE9" w:rsidRDefault="00AD4B2A">
      <w:pPr>
        <w:keepNext/>
        <w:suppressAutoHyphens/>
        <w:spacing w:before="120"/>
        <w:ind w:right="244"/>
        <w:jc w:val="both"/>
        <w:rPr>
          <w:b/>
        </w:rPr>
      </w:pPr>
    </w:p>
    <w:p w14:paraId="5F79E859" w14:textId="77777777" w:rsidR="00AD4B2A" w:rsidRPr="00FD4EE9" w:rsidRDefault="00AD4B2A">
      <w:pPr>
        <w:keepNext/>
        <w:suppressAutoHyphens/>
        <w:spacing w:before="120"/>
        <w:ind w:right="244"/>
        <w:jc w:val="both"/>
        <w:rPr>
          <w:b/>
        </w:rPr>
      </w:pPr>
    </w:p>
    <w:p w14:paraId="62D3868E" w14:textId="77777777" w:rsidR="00AD4B2A" w:rsidRPr="00FD4EE9" w:rsidRDefault="00AD4B2A">
      <w:pPr>
        <w:keepNext/>
        <w:suppressAutoHyphens/>
        <w:spacing w:before="120"/>
        <w:ind w:right="244"/>
        <w:jc w:val="both"/>
        <w:rPr>
          <w:b/>
        </w:rPr>
      </w:pPr>
    </w:p>
    <w:p w14:paraId="67DDE8D3" w14:textId="77777777" w:rsidR="00AD4B2A" w:rsidRPr="00FD4EE9" w:rsidRDefault="00591AA8">
      <w:pPr>
        <w:keepNext/>
        <w:suppressAutoHyphens/>
        <w:spacing w:before="120"/>
        <w:ind w:right="244"/>
        <w:jc w:val="both"/>
        <w:rPr>
          <w:b/>
        </w:rPr>
      </w:pPr>
      <w:r w:rsidRPr="00FD4EE9">
        <w:rPr>
          <w:b/>
        </w:rPr>
        <w:t>Acknowledgements</w:t>
      </w:r>
    </w:p>
    <w:p w14:paraId="4739CE6E" w14:textId="0A2E2DE1" w:rsidR="00AD4B2A" w:rsidRPr="00FD4EE9" w:rsidRDefault="00591AA8" w:rsidP="00A140B1">
      <w:pPr>
        <w:rPr>
          <w:sz w:val="20"/>
        </w:rPr>
      </w:pPr>
      <w:r w:rsidRPr="00FD4EE9">
        <w:rPr>
          <w:sz w:val="20"/>
        </w:rPr>
        <w:t xml:space="preserve">The Technology and Economic Assessment Panel, its Technical Options Committees and the </w:t>
      </w:r>
      <w:r w:rsidR="00AB5433" w:rsidRPr="00FD4EE9">
        <w:rPr>
          <w:sz w:val="20"/>
        </w:rPr>
        <w:t xml:space="preserve">TEAP </w:t>
      </w:r>
      <w:r w:rsidRPr="00FD4EE9">
        <w:rPr>
          <w:sz w:val="20"/>
        </w:rPr>
        <w:t xml:space="preserve">Task Force Co-chairs and members acknowledges with thanks the outstanding contributions from all of the individuals and organisations that provided support to </w:t>
      </w:r>
      <w:r w:rsidR="00F0286C">
        <w:rPr>
          <w:sz w:val="20"/>
        </w:rPr>
        <w:t xml:space="preserve">the </w:t>
      </w:r>
      <w:r w:rsidRPr="00FD4EE9">
        <w:rPr>
          <w:sz w:val="20"/>
        </w:rPr>
        <w:t xml:space="preserve">Panel, Committees and </w:t>
      </w:r>
      <w:r w:rsidR="00AB5433" w:rsidRPr="00FD4EE9">
        <w:rPr>
          <w:sz w:val="20"/>
        </w:rPr>
        <w:t xml:space="preserve">TEAP </w:t>
      </w:r>
      <w:r w:rsidRPr="00FD4EE9">
        <w:rPr>
          <w:sz w:val="20"/>
        </w:rPr>
        <w:t>Task Force Co-chairs and members.</w:t>
      </w:r>
      <w:r w:rsidR="00514300">
        <w:rPr>
          <w:sz w:val="20"/>
        </w:rPr>
        <w:t xml:space="preserve"> </w:t>
      </w:r>
      <w:r w:rsidRPr="00FD4EE9">
        <w:rPr>
          <w:sz w:val="20"/>
        </w:rPr>
        <w:t xml:space="preserve">The opinions expressed are those of the Panel, the Committees and </w:t>
      </w:r>
      <w:r w:rsidR="00AB5433" w:rsidRPr="00FD4EE9">
        <w:rPr>
          <w:sz w:val="20"/>
        </w:rPr>
        <w:t xml:space="preserve">TEAP </w:t>
      </w:r>
      <w:r w:rsidRPr="00FD4EE9">
        <w:rPr>
          <w:sz w:val="20"/>
        </w:rPr>
        <w:t>Task Forces and do not necessarily reflect the reviews of any sponsoring or supporting organisation.</w:t>
      </w:r>
    </w:p>
    <w:p w14:paraId="0FB11B65" w14:textId="77777777" w:rsidR="00A8345B" w:rsidRPr="00FD4EE9" w:rsidRDefault="00A8345B" w:rsidP="00A140B1">
      <w:pPr>
        <w:spacing w:after="0"/>
        <w:rPr>
          <w:sz w:val="20"/>
        </w:rPr>
      </w:pPr>
      <w:r w:rsidRPr="00FD4EE9">
        <w:rPr>
          <w:sz w:val="20"/>
        </w:rPr>
        <w:br w:type="page"/>
      </w:r>
    </w:p>
    <w:p w14:paraId="1874A578" w14:textId="77777777" w:rsidR="00A8345B" w:rsidRPr="00FD4EE9" w:rsidRDefault="00A8345B">
      <w:pPr>
        <w:rPr>
          <w:sz w:val="20"/>
        </w:rPr>
      </w:pPr>
    </w:p>
    <w:p w14:paraId="4DFCB3C6" w14:textId="77777777" w:rsidR="00AD4B2A" w:rsidRPr="00FD4EE9" w:rsidRDefault="00591AA8" w:rsidP="009427BE">
      <w:pPr>
        <w:pStyle w:val="Tablenote"/>
        <w:rPr>
          <w:rStyle w:val="Heading1Char2"/>
          <w:rFonts w:ascii="Times New Roman" w:hAnsi="Times New Roman"/>
        </w:rPr>
      </w:pPr>
      <w:bookmarkStart w:id="5" w:name="_Toc354570759"/>
      <w:bookmarkStart w:id="6" w:name="_Toc388648326"/>
      <w:bookmarkStart w:id="7" w:name="_Toc295406110"/>
      <w:bookmarkStart w:id="8" w:name="_Toc326507336"/>
      <w:r w:rsidRPr="00FD4EE9">
        <w:rPr>
          <w:rStyle w:val="Heading1Char2"/>
          <w:rFonts w:ascii="Times New Roman" w:hAnsi="Times New Roman"/>
        </w:rPr>
        <w:t>Foreword</w:t>
      </w:r>
      <w:bookmarkEnd w:id="5"/>
      <w:bookmarkEnd w:id="6"/>
      <w:bookmarkEnd w:id="7"/>
      <w:bookmarkEnd w:id="8"/>
    </w:p>
    <w:p w14:paraId="7289A232" w14:textId="77777777" w:rsidR="00787EA1" w:rsidRPr="00FD4EE9" w:rsidRDefault="00787EA1" w:rsidP="00787EA1">
      <w:pPr>
        <w:pStyle w:val="BodyText"/>
        <w:spacing w:line="240" w:lineRule="auto"/>
        <w:rPr>
          <w:b/>
        </w:rPr>
      </w:pPr>
      <w:r w:rsidRPr="00FD4EE9">
        <w:rPr>
          <w:b/>
        </w:rPr>
        <w:t xml:space="preserve">The </w:t>
      </w:r>
      <w:r>
        <w:rPr>
          <w:b/>
        </w:rPr>
        <w:t>2018</w:t>
      </w:r>
      <w:r w:rsidRPr="00FD4EE9">
        <w:rPr>
          <w:b/>
        </w:rPr>
        <w:t xml:space="preserve"> TEAP Report</w:t>
      </w:r>
    </w:p>
    <w:p w14:paraId="55CBC3E7" w14:textId="77777777" w:rsidR="00894D0B" w:rsidRPr="00FD4EE9" w:rsidRDefault="00894D0B" w:rsidP="00894D0B">
      <w:pPr>
        <w:pStyle w:val="refs"/>
        <w:rPr>
          <w:i w:val="0"/>
          <w:sz w:val="22"/>
          <w:szCs w:val="22"/>
        </w:rPr>
      </w:pPr>
      <w:r w:rsidRPr="00FD4EE9">
        <w:rPr>
          <w:i w:val="0"/>
          <w:sz w:val="22"/>
          <w:szCs w:val="22"/>
        </w:rPr>
        <w:t xml:space="preserve">The </w:t>
      </w:r>
      <w:r>
        <w:rPr>
          <w:i w:val="0"/>
          <w:sz w:val="22"/>
          <w:szCs w:val="22"/>
        </w:rPr>
        <w:t>2018</w:t>
      </w:r>
      <w:r w:rsidRPr="00FD4EE9">
        <w:rPr>
          <w:i w:val="0"/>
          <w:sz w:val="22"/>
          <w:szCs w:val="22"/>
        </w:rPr>
        <w:t xml:space="preserve"> TEAP Report consists of </w:t>
      </w:r>
      <w:r>
        <w:rPr>
          <w:i w:val="0"/>
          <w:sz w:val="22"/>
          <w:szCs w:val="22"/>
        </w:rPr>
        <w:t xml:space="preserve">five </w:t>
      </w:r>
      <w:r w:rsidRPr="00FD4EE9">
        <w:rPr>
          <w:i w:val="0"/>
          <w:sz w:val="22"/>
          <w:szCs w:val="22"/>
        </w:rPr>
        <w:t>volumes:</w:t>
      </w:r>
    </w:p>
    <w:p w14:paraId="05275F3F" w14:textId="2E7FDD71" w:rsidR="00894D0B" w:rsidRPr="00FD4EE9" w:rsidRDefault="00894D0B" w:rsidP="00894D0B">
      <w:pPr>
        <w:pStyle w:val="refs"/>
        <w:rPr>
          <w:sz w:val="22"/>
          <w:szCs w:val="22"/>
        </w:rPr>
      </w:pPr>
      <w:r w:rsidRPr="00FD4EE9">
        <w:rPr>
          <w:b/>
          <w:sz w:val="22"/>
          <w:szCs w:val="22"/>
        </w:rPr>
        <w:t>Volume 1</w:t>
      </w:r>
      <w:r w:rsidRPr="00FD4EE9">
        <w:rPr>
          <w:sz w:val="22"/>
          <w:szCs w:val="22"/>
        </w:rPr>
        <w:t xml:space="preserve">: </w:t>
      </w:r>
      <w:r>
        <w:rPr>
          <w:sz w:val="22"/>
          <w:szCs w:val="22"/>
        </w:rPr>
        <w:t xml:space="preserve">Decision XXIX/9 Working Group Report on </w:t>
      </w:r>
      <w:proofErr w:type="spellStart"/>
      <w:r>
        <w:rPr>
          <w:sz w:val="22"/>
          <w:szCs w:val="22"/>
        </w:rPr>
        <w:t>hydrochlorofluorocarbons</w:t>
      </w:r>
      <w:proofErr w:type="spellEnd"/>
      <w:r>
        <w:rPr>
          <w:sz w:val="22"/>
          <w:szCs w:val="22"/>
        </w:rPr>
        <w:t xml:space="preserve"> and decision XXVII/5</w:t>
      </w:r>
    </w:p>
    <w:p w14:paraId="527D9DB2" w14:textId="4875E9FD" w:rsidR="00894D0B" w:rsidRDefault="00894D0B" w:rsidP="00894D0B">
      <w:pPr>
        <w:pStyle w:val="refs"/>
        <w:rPr>
          <w:sz w:val="22"/>
          <w:szCs w:val="22"/>
        </w:rPr>
      </w:pPr>
      <w:r w:rsidRPr="00FD4EE9">
        <w:rPr>
          <w:b/>
          <w:sz w:val="22"/>
          <w:szCs w:val="22"/>
        </w:rPr>
        <w:t>Volume 2</w:t>
      </w:r>
      <w:r w:rsidRPr="00FD4EE9">
        <w:rPr>
          <w:sz w:val="22"/>
          <w:szCs w:val="22"/>
        </w:rPr>
        <w:t xml:space="preserve">: </w:t>
      </w:r>
      <w:r w:rsidRPr="00AD0C75">
        <w:rPr>
          <w:sz w:val="22"/>
          <w:szCs w:val="22"/>
        </w:rPr>
        <w:t>Decision XXIX/4</w:t>
      </w:r>
      <w:r>
        <w:rPr>
          <w:sz w:val="22"/>
          <w:szCs w:val="22"/>
        </w:rPr>
        <w:t xml:space="preserve"> </w:t>
      </w:r>
      <w:r w:rsidR="00587D2E">
        <w:rPr>
          <w:sz w:val="22"/>
          <w:szCs w:val="22"/>
        </w:rPr>
        <w:t xml:space="preserve">TEAP </w:t>
      </w:r>
      <w:r>
        <w:rPr>
          <w:sz w:val="22"/>
          <w:szCs w:val="22"/>
        </w:rPr>
        <w:t>Task Force Report on</w:t>
      </w:r>
      <w:r w:rsidRPr="00AD0C75">
        <w:rPr>
          <w:sz w:val="22"/>
          <w:szCs w:val="22"/>
        </w:rPr>
        <w:t xml:space="preserve"> </w:t>
      </w:r>
      <w:r>
        <w:rPr>
          <w:sz w:val="22"/>
          <w:szCs w:val="22"/>
        </w:rPr>
        <w:t>d</w:t>
      </w:r>
      <w:r w:rsidRPr="00AD0C75">
        <w:rPr>
          <w:sz w:val="22"/>
          <w:szCs w:val="22"/>
        </w:rPr>
        <w:t>estruction technologies for controlled substances</w:t>
      </w:r>
    </w:p>
    <w:p w14:paraId="38179D24" w14:textId="77777777" w:rsidR="00894D0B" w:rsidRDefault="00894D0B" w:rsidP="00894D0B">
      <w:pPr>
        <w:pStyle w:val="refs"/>
        <w:rPr>
          <w:bCs/>
          <w:iCs/>
          <w:color w:val="000000"/>
          <w:sz w:val="22"/>
          <w:szCs w:val="22"/>
        </w:rPr>
      </w:pPr>
      <w:r>
        <w:rPr>
          <w:b/>
          <w:bCs/>
          <w:iCs/>
          <w:color w:val="000000"/>
          <w:sz w:val="22"/>
          <w:szCs w:val="22"/>
        </w:rPr>
        <w:t xml:space="preserve">Volume 3: </w:t>
      </w:r>
      <w:r w:rsidRPr="00BD5AE8">
        <w:rPr>
          <w:bCs/>
          <w:iCs/>
          <w:color w:val="000000"/>
          <w:sz w:val="22"/>
          <w:szCs w:val="22"/>
        </w:rPr>
        <w:t>T</w:t>
      </w:r>
      <w:r>
        <w:rPr>
          <w:bCs/>
          <w:iCs/>
          <w:color w:val="000000"/>
          <w:sz w:val="22"/>
          <w:szCs w:val="22"/>
        </w:rPr>
        <w:t xml:space="preserve">EAP 2018 Progress report </w:t>
      </w:r>
    </w:p>
    <w:p w14:paraId="7CF441FF" w14:textId="77777777" w:rsidR="00894D0B" w:rsidRDefault="00894D0B" w:rsidP="00894D0B">
      <w:pPr>
        <w:pStyle w:val="refs"/>
        <w:rPr>
          <w:bCs/>
          <w:iCs/>
          <w:color w:val="000000"/>
          <w:sz w:val="22"/>
          <w:szCs w:val="22"/>
        </w:rPr>
      </w:pPr>
      <w:r w:rsidRPr="00BD5AE8">
        <w:rPr>
          <w:b/>
          <w:bCs/>
          <w:iCs/>
          <w:color w:val="000000"/>
          <w:sz w:val="22"/>
          <w:szCs w:val="22"/>
        </w:rPr>
        <w:t>Volume 4:</w:t>
      </w:r>
      <w:r>
        <w:rPr>
          <w:b/>
          <w:bCs/>
          <w:iCs/>
          <w:color w:val="000000"/>
          <w:sz w:val="22"/>
          <w:szCs w:val="22"/>
        </w:rPr>
        <w:t xml:space="preserve"> </w:t>
      </w:r>
      <w:r>
        <w:rPr>
          <w:bCs/>
          <w:iCs/>
          <w:color w:val="000000"/>
          <w:sz w:val="22"/>
          <w:szCs w:val="22"/>
        </w:rPr>
        <w:t>MBTOC interim CUN assessment report</w:t>
      </w:r>
    </w:p>
    <w:p w14:paraId="6AF31E76" w14:textId="4A36864C" w:rsidR="00787EA1" w:rsidRDefault="00894D0B" w:rsidP="00894D0B">
      <w:pPr>
        <w:pStyle w:val="refs"/>
        <w:rPr>
          <w:bCs/>
          <w:iCs/>
          <w:color w:val="000000"/>
          <w:sz w:val="22"/>
          <w:szCs w:val="22"/>
        </w:rPr>
      </w:pPr>
      <w:r w:rsidRPr="00BD5AE8">
        <w:rPr>
          <w:b/>
          <w:bCs/>
          <w:iCs/>
          <w:color w:val="000000"/>
          <w:sz w:val="22"/>
          <w:szCs w:val="22"/>
        </w:rPr>
        <w:t>Volume 5:</w:t>
      </w:r>
      <w:r>
        <w:rPr>
          <w:b/>
          <w:bCs/>
          <w:iCs/>
          <w:color w:val="000000"/>
          <w:sz w:val="22"/>
          <w:szCs w:val="22"/>
        </w:rPr>
        <w:t xml:space="preserve"> </w:t>
      </w:r>
      <w:r>
        <w:rPr>
          <w:bCs/>
          <w:iCs/>
          <w:color w:val="000000"/>
          <w:sz w:val="22"/>
          <w:szCs w:val="22"/>
        </w:rPr>
        <w:t xml:space="preserve">Decision XXIX/10 Task Force Report on issues related to energy efficiency while phasing down hydrofluorocarbons </w:t>
      </w:r>
    </w:p>
    <w:p w14:paraId="28CADF29" w14:textId="77777777" w:rsidR="00894D0B" w:rsidRPr="00894D0B" w:rsidRDefault="00894D0B" w:rsidP="00894D0B">
      <w:pPr>
        <w:pStyle w:val="refs"/>
        <w:rPr>
          <w:sz w:val="22"/>
          <w:szCs w:val="22"/>
        </w:rPr>
      </w:pPr>
    </w:p>
    <w:p w14:paraId="0BE48EB4" w14:textId="77777777" w:rsidR="00787EA1" w:rsidRPr="00034252" w:rsidRDefault="00787EA1" w:rsidP="00787EA1">
      <w:pPr>
        <w:rPr>
          <w:b/>
        </w:rPr>
      </w:pPr>
      <w:r w:rsidRPr="00034252">
        <w:rPr>
          <w:b/>
        </w:rPr>
        <w:t>The UNEP Technology and Economic Assessment Panel (TEAP):</w:t>
      </w:r>
    </w:p>
    <w:tbl>
      <w:tblPr>
        <w:tblW w:w="0" w:type="auto"/>
        <w:tblInd w:w="108" w:type="dxa"/>
        <w:tblLayout w:type="fixed"/>
        <w:tblLook w:val="0000" w:firstRow="0" w:lastRow="0" w:firstColumn="0" w:lastColumn="0" w:noHBand="0" w:noVBand="0"/>
      </w:tblPr>
      <w:tblGrid>
        <w:gridCol w:w="3544"/>
        <w:gridCol w:w="850"/>
        <w:gridCol w:w="2446"/>
        <w:gridCol w:w="1524"/>
      </w:tblGrid>
      <w:tr w:rsidR="00787EA1" w:rsidRPr="00FD4EE9" w14:paraId="24FCA65C" w14:textId="77777777" w:rsidTr="00653B89">
        <w:tc>
          <w:tcPr>
            <w:tcW w:w="3544" w:type="dxa"/>
            <w:vAlign w:val="center"/>
          </w:tcPr>
          <w:p w14:paraId="5A43505A" w14:textId="77777777" w:rsidR="00787EA1" w:rsidRPr="00FD4EE9" w:rsidRDefault="00787EA1" w:rsidP="00653B89">
            <w:pPr>
              <w:pStyle w:val="BodyText"/>
              <w:spacing w:before="20" w:after="0" w:line="240" w:lineRule="auto"/>
            </w:pPr>
            <w:r w:rsidRPr="00FD4EE9">
              <w:t xml:space="preserve">Bella </w:t>
            </w:r>
            <w:proofErr w:type="spellStart"/>
            <w:r w:rsidRPr="00FD4EE9">
              <w:t>Maranion</w:t>
            </w:r>
            <w:proofErr w:type="spellEnd"/>
            <w:r w:rsidRPr="00FD4EE9">
              <w:t>, co-chair</w:t>
            </w:r>
          </w:p>
        </w:tc>
        <w:tc>
          <w:tcPr>
            <w:tcW w:w="850" w:type="dxa"/>
            <w:vAlign w:val="center"/>
          </w:tcPr>
          <w:p w14:paraId="636E790A" w14:textId="77777777" w:rsidR="00787EA1" w:rsidRPr="00FD4EE9" w:rsidRDefault="00787EA1" w:rsidP="00653B89">
            <w:pPr>
              <w:pStyle w:val="BodyText"/>
              <w:spacing w:before="20" w:after="0" w:line="240" w:lineRule="auto"/>
              <w:ind w:right="33"/>
              <w:jc w:val="both"/>
            </w:pPr>
            <w:r>
              <w:t>US</w:t>
            </w:r>
          </w:p>
        </w:tc>
        <w:tc>
          <w:tcPr>
            <w:tcW w:w="2446" w:type="dxa"/>
            <w:vAlign w:val="center"/>
          </w:tcPr>
          <w:p w14:paraId="20266780" w14:textId="77777777" w:rsidR="00787EA1" w:rsidRPr="00FD4EE9" w:rsidRDefault="00787EA1" w:rsidP="00653B89">
            <w:pPr>
              <w:pStyle w:val="BodyText"/>
              <w:spacing w:before="20" w:after="0" w:line="240" w:lineRule="auto"/>
            </w:pPr>
            <w:r w:rsidRPr="00FD4EE9">
              <w:t xml:space="preserve">Fabio </w:t>
            </w:r>
            <w:proofErr w:type="spellStart"/>
            <w:r w:rsidRPr="00FD4EE9">
              <w:t>Polonara</w:t>
            </w:r>
            <w:proofErr w:type="spellEnd"/>
          </w:p>
        </w:tc>
        <w:tc>
          <w:tcPr>
            <w:tcW w:w="1524" w:type="dxa"/>
            <w:vAlign w:val="center"/>
          </w:tcPr>
          <w:p w14:paraId="7C5D5E6E" w14:textId="77777777" w:rsidR="00787EA1" w:rsidRPr="00FD4EE9" w:rsidRDefault="00787EA1" w:rsidP="00653B89">
            <w:pPr>
              <w:pStyle w:val="BodyText"/>
              <w:spacing w:before="20" w:after="0" w:line="240" w:lineRule="auto"/>
              <w:ind w:left="72" w:right="33"/>
            </w:pPr>
            <w:r w:rsidRPr="00FD4EE9">
              <w:t>IT</w:t>
            </w:r>
          </w:p>
        </w:tc>
      </w:tr>
      <w:tr w:rsidR="00787EA1" w:rsidRPr="00FD4EE9" w14:paraId="61E06804" w14:textId="77777777" w:rsidTr="00653B89">
        <w:tc>
          <w:tcPr>
            <w:tcW w:w="3544" w:type="dxa"/>
            <w:vAlign w:val="center"/>
          </w:tcPr>
          <w:p w14:paraId="0B86EFC4" w14:textId="77777777" w:rsidR="00787EA1" w:rsidRPr="00FD4EE9" w:rsidRDefault="00787EA1" w:rsidP="00653B89">
            <w:pPr>
              <w:pStyle w:val="BodyText"/>
              <w:tabs>
                <w:tab w:val="left" w:pos="3010"/>
              </w:tabs>
              <w:spacing w:before="20" w:after="0" w:line="240" w:lineRule="auto"/>
              <w:ind w:right="-108"/>
            </w:pPr>
            <w:r w:rsidRPr="00FD4EE9">
              <w:t xml:space="preserve">Marta </w:t>
            </w:r>
            <w:proofErr w:type="spellStart"/>
            <w:r w:rsidRPr="00FD4EE9">
              <w:t>Pizano</w:t>
            </w:r>
            <w:proofErr w:type="spellEnd"/>
            <w:r w:rsidRPr="00FD4EE9">
              <w:t>, co-chair</w:t>
            </w:r>
          </w:p>
        </w:tc>
        <w:tc>
          <w:tcPr>
            <w:tcW w:w="850" w:type="dxa"/>
            <w:vAlign w:val="center"/>
          </w:tcPr>
          <w:p w14:paraId="52A8EB99" w14:textId="77777777" w:rsidR="00787EA1" w:rsidRPr="00FD4EE9" w:rsidRDefault="00787EA1" w:rsidP="00653B89">
            <w:pPr>
              <w:pStyle w:val="BodyText"/>
              <w:tabs>
                <w:tab w:val="left" w:pos="3010"/>
              </w:tabs>
              <w:spacing w:before="20" w:after="0" w:line="240" w:lineRule="auto"/>
              <w:ind w:right="33"/>
              <w:jc w:val="both"/>
            </w:pPr>
            <w:r w:rsidRPr="00FD4EE9">
              <w:t>COL</w:t>
            </w:r>
          </w:p>
        </w:tc>
        <w:tc>
          <w:tcPr>
            <w:tcW w:w="2446" w:type="dxa"/>
            <w:vAlign w:val="center"/>
          </w:tcPr>
          <w:p w14:paraId="35632BAB" w14:textId="77777777" w:rsidR="00787EA1" w:rsidRPr="00FD4EE9" w:rsidRDefault="00787EA1" w:rsidP="00653B89">
            <w:pPr>
              <w:pStyle w:val="BodyText"/>
              <w:spacing w:before="20" w:after="0" w:line="240" w:lineRule="auto"/>
            </w:pPr>
            <w:r w:rsidRPr="00FD4EE9">
              <w:t xml:space="preserve">Roberto </w:t>
            </w:r>
            <w:proofErr w:type="spellStart"/>
            <w:r w:rsidRPr="00FD4EE9">
              <w:t>Peixoto</w:t>
            </w:r>
            <w:proofErr w:type="spellEnd"/>
          </w:p>
        </w:tc>
        <w:tc>
          <w:tcPr>
            <w:tcW w:w="1524" w:type="dxa"/>
            <w:vAlign w:val="center"/>
          </w:tcPr>
          <w:p w14:paraId="388F05DB" w14:textId="77777777" w:rsidR="00787EA1" w:rsidRPr="00FD4EE9" w:rsidRDefault="00787EA1" w:rsidP="00653B89">
            <w:pPr>
              <w:pStyle w:val="BodyText"/>
              <w:spacing w:before="20" w:after="0" w:line="240" w:lineRule="auto"/>
              <w:ind w:left="72" w:right="33"/>
            </w:pPr>
            <w:r w:rsidRPr="00FD4EE9">
              <w:t>BRA</w:t>
            </w:r>
          </w:p>
        </w:tc>
      </w:tr>
      <w:tr w:rsidR="00787EA1" w:rsidRPr="00FD4EE9" w14:paraId="4A7D5AC6" w14:textId="77777777" w:rsidTr="00653B89">
        <w:trPr>
          <w:trHeight w:val="90"/>
        </w:trPr>
        <w:tc>
          <w:tcPr>
            <w:tcW w:w="3544" w:type="dxa"/>
            <w:vAlign w:val="center"/>
          </w:tcPr>
          <w:p w14:paraId="790349E6" w14:textId="77777777" w:rsidR="00787EA1" w:rsidRPr="00FD4EE9" w:rsidRDefault="00787EA1" w:rsidP="00653B89">
            <w:pPr>
              <w:pStyle w:val="BodyText"/>
              <w:spacing w:before="20" w:after="0" w:line="240" w:lineRule="auto"/>
            </w:pPr>
            <w:r w:rsidRPr="00FD4EE9">
              <w:t xml:space="preserve">Ashley Woodcock, co-chair </w:t>
            </w:r>
          </w:p>
        </w:tc>
        <w:tc>
          <w:tcPr>
            <w:tcW w:w="850" w:type="dxa"/>
            <w:vAlign w:val="center"/>
          </w:tcPr>
          <w:p w14:paraId="0E3704B4" w14:textId="77777777" w:rsidR="00787EA1" w:rsidRPr="00FD4EE9" w:rsidRDefault="00787EA1" w:rsidP="00653B89">
            <w:pPr>
              <w:pStyle w:val="BodyText"/>
              <w:spacing w:before="20" w:after="0" w:line="240" w:lineRule="auto"/>
              <w:ind w:right="33"/>
              <w:jc w:val="both"/>
            </w:pPr>
            <w:r w:rsidRPr="00FD4EE9">
              <w:t>UK</w:t>
            </w:r>
          </w:p>
        </w:tc>
        <w:tc>
          <w:tcPr>
            <w:tcW w:w="2446" w:type="dxa"/>
            <w:vAlign w:val="center"/>
          </w:tcPr>
          <w:p w14:paraId="6FBC2283" w14:textId="77777777" w:rsidR="00787EA1" w:rsidRPr="00FD4EE9" w:rsidRDefault="00787EA1" w:rsidP="00653B89">
            <w:pPr>
              <w:pStyle w:val="BodyText"/>
              <w:spacing w:before="20" w:after="0" w:line="240" w:lineRule="auto"/>
            </w:pPr>
            <w:r w:rsidRPr="00FD4EE9">
              <w:t>Ian Porter</w:t>
            </w:r>
          </w:p>
        </w:tc>
        <w:tc>
          <w:tcPr>
            <w:tcW w:w="1524" w:type="dxa"/>
            <w:vAlign w:val="center"/>
          </w:tcPr>
          <w:p w14:paraId="1F84F37A" w14:textId="77777777" w:rsidR="00787EA1" w:rsidRPr="00FD4EE9" w:rsidRDefault="00787EA1" w:rsidP="00653B89">
            <w:pPr>
              <w:pStyle w:val="BodyText"/>
              <w:spacing w:before="20" w:after="0" w:line="240" w:lineRule="auto"/>
              <w:ind w:left="72" w:right="33"/>
            </w:pPr>
            <w:r w:rsidRPr="00FD4EE9">
              <w:t>AUS</w:t>
            </w:r>
          </w:p>
        </w:tc>
      </w:tr>
      <w:tr w:rsidR="00787EA1" w:rsidRPr="00FD4EE9" w14:paraId="02DC3DEE" w14:textId="77777777" w:rsidTr="00653B89">
        <w:tc>
          <w:tcPr>
            <w:tcW w:w="3544" w:type="dxa"/>
            <w:vAlign w:val="center"/>
          </w:tcPr>
          <w:p w14:paraId="46103466" w14:textId="77777777" w:rsidR="00787EA1" w:rsidRPr="00FD4EE9" w:rsidRDefault="00787EA1" w:rsidP="00653B89">
            <w:pPr>
              <w:pStyle w:val="BodyText"/>
              <w:spacing w:before="20" w:after="0" w:line="240" w:lineRule="auto"/>
            </w:pPr>
            <w:r>
              <w:t xml:space="preserve">Paulo </w:t>
            </w:r>
            <w:proofErr w:type="spellStart"/>
            <w:r>
              <w:t>Altoé</w:t>
            </w:r>
            <w:proofErr w:type="spellEnd"/>
          </w:p>
        </w:tc>
        <w:tc>
          <w:tcPr>
            <w:tcW w:w="850" w:type="dxa"/>
            <w:vAlign w:val="center"/>
          </w:tcPr>
          <w:p w14:paraId="76B6F80E" w14:textId="77777777" w:rsidR="00787EA1" w:rsidRPr="00FD4EE9" w:rsidRDefault="00787EA1" w:rsidP="00653B89">
            <w:pPr>
              <w:pStyle w:val="BodyText"/>
              <w:spacing w:before="20" w:after="0" w:line="240" w:lineRule="auto"/>
              <w:ind w:right="33"/>
              <w:jc w:val="both"/>
            </w:pPr>
            <w:r>
              <w:t>BRA</w:t>
            </w:r>
          </w:p>
        </w:tc>
        <w:tc>
          <w:tcPr>
            <w:tcW w:w="2446" w:type="dxa"/>
            <w:vAlign w:val="center"/>
          </w:tcPr>
          <w:p w14:paraId="64572A78" w14:textId="77777777" w:rsidR="00787EA1" w:rsidRPr="00FD4EE9" w:rsidRDefault="00787EA1" w:rsidP="00653B89">
            <w:pPr>
              <w:pStyle w:val="BodyText"/>
              <w:spacing w:before="20" w:after="0" w:line="240" w:lineRule="auto"/>
            </w:pPr>
            <w:r w:rsidRPr="00FD4EE9">
              <w:t>Helen Tope</w:t>
            </w:r>
          </w:p>
        </w:tc>
        <w:tc>
          <w:tcPr>
            <w:tcW w:w="1524" w:type="dxa"/>
            <w:vAlign w:val="center"/>
          </w:tcPr>
          <w:p w14:paraId="7F052152" w14:textId="77777777" w:rsidR="00787EA1" w:rsidRPr="00FD4EE9" w:rsidRDefault="00787EA1" w:rsidP="00653B89">
            <w:pPr>
              <w:pStyle w:val="BodyText"/>
              <w:spacing w:before="20" w:after="0" w:line="240" w:lineRule="auto"/>
              <w:ind w:left="72" w:right="33"/>
            </w:pPr>
            <w:r w:rsidRPr="00FD4EE9">
              <w:t>AUS</w:t>
            </w:r>
          </w:p>
        </w:tc>
      </w:tr>
      <w:tr w:rsidR="00787EA1" w:rsidRPr="00FD4EE9" w14:paraId="196D41A6" w14:textId="77777777" w:rsidTr="00653B89">
        <w:tc>
          <w:tcPr>
            <w:tcW w:w="3544" w:type="dxa"/>
            <w:vAlign w:val="center"/>
          </w:tcPr>
          <w:p w14:paraId="56407FBE" w14:textId="77777777" w:rsidR="00787EA1" w:rsidRPr="00FD4EE9" w:rsidRDefault="00787EA1" w:rsidP="00653B89">
            <w:pPr>
              <w:pStyle w:val="BodyText"/>
              <w:spacing w:before="20" w:after="0" w:line="240" w:lineRule="auto"/>
            </w:pPr>
            <w:r w:rsidRPr="00FD4EE9">
              <w:t xml:space="preserve">Mohamed </w:t>
            </w:r>
            <w:proofErr w:type="spellStart"/>
            <w:r w:rsidRPr="00FD4EE9">
              <w:t>Besri</w:t>
            </w:r>
            <w:proofErr w:type="spellEnd"/>
          </w:p>
        </w:tc>
        <w:tc>
          <w:tcPr>
            <w:tcW w:w="850" w:type="dxa"/>
            <w:vAlign w:val="center"/>
          </w:tcPr>
          <w:p w14:paraId="03718348" w14:textId="77777777" w:rsidR="00787EA1" w:rsidRPr="00FD4EE9" w:rsidRDefault="00787EA1" w:rsidP="00653B89">
            <w:pPr>
              <w:pStyle w:val="BodyText"/>
              <w:spacing w:before="20" w:after="0" w:line="240" w:lineRule="auto"/>
              <w:ind w:right="33"/>
              <w:jc w:val="both"/>
            </w:pPr>
            <w:r w:rsidRPr="00FD4EE9">
              <w:t>MOR</w:t>
            </w:r>
          </w:p>
        </w:tc>
        <w:tc>
          <w:tcPr>
            <w:tcW w:w="2446" w:type="dxa"/>
            <w:vAlign w:val="center"/>
          </w:tcPr>
          <w:p w14:paraId="34C610D0" w14:textId="77777777" w:rsidR="00787EA1" w:rsidRPr="00FD4EE9" w:rsidRDefault="00787EA1" w:rsidP="00653B89">
            <w:pPr>
              <w:pStyle w:val="BodyText"/>
              <w:spacing w:before="20" w:after="0" w:line="240" w:lineRule="auto"/>
            </w:pPr>
            <w:proofErr w:type="spellStart"/>
            <w:r>
              <w:t>Sidi</w:t>
            </w:r>
            <w:proofErr w:type="spellEnd"/>
            <w:r>
              <w:t xml:space="preserve"> </w:t>
            </w:r>
            <w:proofErr w:type="spellStart"/>
            <w:r>
              <w:t>Menad</w:t>
            </w:r>
            <w:proofErr w:type="spellEnd"/>
            <w:r>
              <w:t xml:space="preserve"> Si-Ahmed</w:t>
            </w:r>
          </w:p>
        </w:tc>
        <w:tc>
          <w:tcPr>
            <w:tcW w:w="1524" w:type="dxa"/>
            <w:vAlign w:val="center"/>
          </w:tcPr>
          <w:p w14:paraId="2D7FC31F" w14:textId="77777777" w:rsidR="00787EA1" w:rsidRPr="00FD4EE9" w:rsidRDefault="00787EA1" w:rsidP="00653B89">
            <w:pPr>
              <w:pStyle w:val="BodyText"/>
              <w:spacing w:before="20" w:after="0" w:line="240" w:lineRule="auto"/>
              <w:ind w:left="72" w:right="33"/>
            </w:pPr>
            <w:r>
              <w:t>ALG</w:t>
            </w:r>
          </w:p>
        </w:tc>
      </w:tr>
      <w:tr w:rsidR="00787EA1" w:rsidRPr="00FD4EE9" w14:paraId="1D6E69C5" w14:textId="77777777" w:rsidTr="00653B89">
        <w:tc>
          <w:tcPr>
            <w:tcW w:w="3544" w:type="dxa"/>
            <w:vAlign w:val="center"/>
          </w:tcPr>
          <w:p w14:paraId="0F7C386D" w14:textId="77777777" w:rsidR="00787EA1" w:rsidRPr="00FD4EE9" w:rsidRDefault="00787EA1" w:rsidP="00653B89">
            <w:pPr>
              <w:pStyle w:val="BodyText"/>
              <w:spacing w:before="20" w:after="0" w:line="240" w:lineRule="auto"/>
            </w:pPr>
            <w:proofErr w:type="spellStart"/>
            <w:r w:rsidRPr="00FD4EE9">
              <w:t>Suely</w:t>
            </w:r>
            <w:proofErr w:type="spellEnd"/>
            <w:r w:rsidRPr="00FD4EE9">
              <w:t xml:space="preserve"> Machado </w:t>
            </w:r>
            <w:proofErr w:type="spellStart"/>
            <w:r w:rsidRPr="00FD4EE9">
              <w:t>Carvalho</w:t>
            </w:r>
            <w:proofErr w:type="spellEnd"/>
          </w:p>
        </w:tc>
        <w:tc>
          <w:tcPr>
            <w:tcW w:w="850" w:type="dxa"/>
            <w:vAlign w:val="center"/>
          </w:tcPr>
          <w:p w14:paraId="2B8D6D23" w14:textId="77777777" w:rsidR="00787EA1" w:rsidRPr="00FD4EE9" w:rsidRDefault="00787EA1" w:rsidP="00653B89">
            <w:pPr>
              <w:pStyle w:val="BodyText"/>
              <w:spacing w:before="20" w:after="0" w:line="240" w:lineRule="auto"/>
              <w:ind w:right="33"/>
              <w:jc w:val="both"/>
            </w:pPr>
            <w:r w:rsidRPr="00FD4EE9">
              <w:t>BRA</w:t>
            </w:r>
          </w:p>
        </w:tc>
        <w:tc>
          <w:tcPr>
            <w:tcW w:w="2446" w:type="dxa"/>
            <w:vAlign w:val="center"/>
          </w:tcPr>
          <w:p w14:paraId="6BA0B2C0" w14:textId="77777777" w:rsidR="00787EA1" w:rsidRPr="00FD4EE9" w:rsidRDefault="00787EA1" w:rsidP="00653B89">
            <w:pPr>
              <w:pStyle w:val="BodyText"/>
              <w:spacing w:before="20" w:after="0" w:line="240" w:lineRule="auto"/>
            </w:pPr>
            <w:proofErr w:type="spellStart"/>
            <w:r>
              <w:t>Rajendra</w:t>
            </w:r>
            <w:proofErr w:type="spellEnd"/>
            <w:r>
              <w:t xml:space="preserve"> </w:t>
            </w:r>
            <w:proofErr w:type="spellStart"/>
            <w:r>
              <w:t>Shende</w:t>
            </w:r>
            <w:proofErr w:type="spellEnd"/>
          </w:p>
        </w:tc>
        <w:tc>
          <w:tcPr>
            <w:tcW w:w="1524" w:type="dxa"/>
            <w:vAlign w:val="center"/>
          </w:tcPr>
          <w:p w14:paraId="0EF66431" w14:textId="77777777" w:rsidR="00787EA1" w:rsidRPr="00FD4EE9" w:rsidRDefault="00787EA1" w:rsidP="00653B89">
            <w:pPr>
              <w:pStyle w:val="BodyText"/>
              <w:spacing w:before="20" w:after="0" w:line="240" w:lineRule="auto"/>
              <w:ind w:left="72" w:right="33"/>
            </w:pPr>
            <w:r>
              <w:t>IN</w:t>
            </w:r>
          </w:p>
        </w:tc>
      </w:tr>
      <w:tr w:rsidR="00787EA1" w:rsidRPr="00FD4EE9" w14:paraId="0BB0E4A4" w14:textId="77777777" w:rsidTr="00653B89">
        <w:tc>
          <w:tcPr>
            <w:tcW w:w="3544" w:type="dxa"/>
            <w:vAlign w:val="center"/>
          </w:tcPr>
          <w:p w14:paraId="2FDC665C" w14:textId="77777777" w:rsidR="00787EA1" w:rsidRPr="00FD4EE9" w:rsidRDefault="00787EA1" w:rsidP="00653B89">
            <w:pPr>
              <w:pStyle w:val="BodyText"/>
              <w:spacing w:before="20" w:after="0" w:line="240" w:lineRule="auto"/>
            </w:pPr>
            <w:r>
              <w:t xml:space="preserve">Adam </w:t>
            </w:r>
            <w:proofErr w:type="spellStart"/>
            <w:r>
              <w:t>Chattaway</w:t>
            </w:r>
            <w:proofErr w:type="spellEnd"/>
            <w:r w:rsidRPr="00FD4EE9">
              <w:t xml:space="preserve"> </w:t>
            </w:r>
          </w:p>
        </w:tc>
        <w:tc>
          <w:tcPr>
            <w:tcW w:w="850" w:type="dxa"/>
            <w:vAlign w:val="center"/>
          </w:tcPr>
          <w:p w14:paraId="354FAF50" w14:textId="77777777" w:rsidR="00787EA1" w:rsidRPr="00FD4EE9" w:rsidRDefault="00787EA1" w:rsidP="00653B89">
            <w:pPr>
              <w:pStyle w:val="BodyText"/>
              <w:spacing w:before="20" w:after="0" w:line="240" w:lineRule="auto"/>
              <w:ind w:right="33"/>
              <w:jc w:val="both"/>
            </w:pPr>
            <w:r w:rsidRPr="00FD4EE9">
              <w:t>UK</w:t>
            </w:r>
          </w:p>
        </w:tc>
        <w:tc>
          <w:tcPr>
            <w:tcW w:w="2446" w:type="dxa"/>
            <w:vAlign w:val="center"/>
          </w:tcPr>
          <w:p w14:paraId="4D056C60" w14:textId="77777777" w:rsidR="00787EA1" w:rsidRPr="00FD4EE9" w:rsidRDefault="00787EA1" w:rsidP="00653B89">
            <w:pPr>
              <w:pStyle w:val="BodyText"/>
              <w:spacing w:before="20" w:after="0" w:line="240" w:lineRule="auto"/>
            </w:pPr>
            <w:r w:rsidRPr="00FD4EE9">
              <w:t xml:space="preserve">Dan </w:t>
            </w:r>
            <w:proofErr w:type="spellStart"/>
            <w:r w:rsidRPr="00FD4EE9">
              <w:t>Verdonik</w:t>
            </w:r>
            <w:proofErr w:type="spellEnd"/>
          </w:p>
        </w:tc>
        <w:tc>
          <w:tcPr>
            <w:tcW w:w="1524" w:type="dxa"/>
            <w:vAlign w:val="center"/>
          </w:tcPr>
          <w:p w14:paraId="641B7052" w14:textId="77777777" w:rsidR="00787EA1" w:rsidRPr="00FD4EE9" w:rsidRDefault="00787EA1" w:rsidP="00653B89">
            <w:pPr>
              <w:pStyle w:val="BodyText"/>
              <w:spacing w:before="20" w:after="0" w:line="240" w:lineRule="auto"/>
              <w:ind w:left="72" w:right="33"/>
            </w:pPr>
            <w:r>
              <w:t>US</w:t>
            </w:r>
          </w:p>
        </w:tc>
      </w:tr>
      <w:tr w:rsidR="00787EA1" w:rsidRPr="00FD4EE9" w14:paraId="769570D1" w14:textId="77777777" w:rsidTr="00653B89">
        <w:tc>
          <w:tcPr>
            <w:tcW w:w="3544" w:type="dxa"/>
            <w:vAlign w:val="center"/>
          </w:tcPr>
          <w:p w14:paraId="1C401BCE" w14:textId="77777777" w:rsidR="00787EA1" w:rsidRPr="00FD4EE9" w:rsidRDefault="00787EA1" w:rsidP="00653B89">
            <w:pPr>
              <w:pStyle w:val="BodyText"/>
              <w:spacing w:before="20" w:after="0" w:line="240" w:lineRule="auto"/>
            </w:pPr>
            <w:r w:rsidRPr="00FD4EE9">
              <w:t>Marco Gonzalez</w:t>
            </w:r>
          </w:p>
        </w:tc>
        <w:tc>
          <w:tcPr>
            <w:tcW w:w="850" w:type="dxa"/>
            <w:vAlign w:val="center"/>
          </w:tcPr>
          <w:p w14:paraId="62777876" w14:textId="77777777" w:rsidR="00787EA1" w:rsidRPr="00FD4EE9" w:rsidRDefault="00787EA1" w:rsidP="00653B89">
            <w:pPr>
              <w:pStyle w:val="BodyText"/>
              <w:spacing w:before="20" w:after="0" w:line="240" w:lineRule="auto"/>
              <w:ind w:right="33"/>
              <w:jc w:val="both"/>
            </w:pPr>
            <w:r w:rsidRPr="00FD4EE9">
              <w:t>CR</w:t>
            </w:r>
          </w:p>
        </w:tc>
        <w:tc>
          <w:tcPr>
            <w:tcW w:w="2446" w:type="dxa"/>
            <w:vAlign w:val="center"/>
          </w:tcPr>
          <w:p w14:paraId="1C5543C6" w14:textId="77777777" w:rsidR="00787EA1" w:rsidRPr="00FD4EE9" w:rsidRDefault="00787EA1" w:rsidP="00653B89">
            <w:pPr>
              <w:pStyle w:val="BodyText"/>
              <w:spacing w:before="20" w:after="0" w:line="240" w:lineRule="auto"/>
            </w:pPr>
            <w:r>
              <w:t>Helen Walter-</w:t>
            </w:r>
            <w:proofErr w:type="spellStart"/>
            <w:r>
              <w:t>Terrinoni</w:t>
            </w:r>
            <w:proofErr w:type="spellEnd"/>
          </w:p>
        </w:tc>
        <w:tc>
          <w:tcPr>
            <w:tcW w:w="1524" w:type="dxa"/>
            <w:vAlign w:val="center"/>
          </w:tcPr>
          <w:p w14:paraId="0E15D4E8" w14:textId="77777777" w:rsidR="00787EA1" w:rsidRPr="00FD4EE9" w:rsidRDefault="00787EA1" w:rsidP="00653B89">
            <w:pPr>
              <w:pStyle w:val="BodyText"/>
              <w:spacing w:before="20" w:after="0" w:line="240" w:lineRule="auto"/>
              <w:ind w:left="72" w:right="33"/>
            </w:pPr>
            <w:r>
              <w:t>US</w:t>
            </w:r>
          </w:p>
        </w:tc>
      </w:tr>
      <w:tr w:rsidR="00787EA1" w:rsidRPr="00FD4EE9" w14:paraId="022BD745" w14:textId="77777777" w:rsidTr="00653B89">
        <w:tc>
          <w:tcPr>
            <w:tcW w:w="3544" w:type="dxa"/>
            <w:vAlign w:val="center"/>
          </w:tcPr>
          <w:p w14:paraId="5E15E607" w14:textId="77777777" w:rsidR="00787EA1" w:rsidRPr="00FD4EE9" w:rsidRDefault="00787EA1" w:rsidP="00653B89">
            <w:pPr>
              <w:pStyle w:val="BodyText"/>
              <w:spacing w:before="20" w:after="0" w:line="240" w:lineRule="auto"/>
            </w:pPr>
            <w:r w:rsidRPr="00FD4EE9">
              <w:t xml:space="preserve">Sergey </w:t>
            </w:r>
            <w:proofErr w:type="spellStart"/>
            <w:r w:rsidRPr="00FD4EE9">
              <w:t>Kopylov</w:t>
            </w:r>
            <w:proofErr w:type="spellEnd"/>
          </w:p>
        </w:tc>
        <w:tc>
          <w:tcPr>
            <w:tcW w:w="850" w:type="dxa"/>
            <w:vAlign w:val="center"/>
          </w:tcPr>
          <w:p w14:paraId="09268E29" w14:textId="77777777" w:rsidR="00787EA1" w:rsidRPr="00FD4EE9" w:rsidRDefault="00787EA1" w:rsidP="00653B89">
            <w:pPr>
              <w:pStyle w:val="BodyText"/>
              <w:spacing w:before="20" w:after="0" w:line="240" w:lineRule="auto"/>
              <w:ind w:right="33"/>
              <w:jc w:val="both"/>
            </w:pPr>
            <w:r w:rsidRPr="00FD4EE9">
              <w:t>RF</w:t>
            </w:r>
          </w:p>
        </w:tc>
        <w:tc>
          <w:tcPr>
            <w:tcW w:w="2446" w:type="dxa"/>
            <w:vAlign w:val="center"/>
          </w:tcPr>
          <w:p w14:paraId="272878CA" w14:textId="77777777" w:rsidR="00787EA1" w:rsidRPr="00FD4EE9" w:rsidRDefault="00787EA1" w:rsidP="00653B89">
            <w:pPr>
              <w:pStyle w:val="BodyText"/>
              <w:spacing w:before="20" w:after="0" w:line="240" w:lineRule="auto"/>
            </w:pPr>
            <w:proofErr w:type="spellStart"/>
            <w:r w:rsidRPr="00FD4EE9">
              <w:t>Shiqiu</w:t>
            </w:r>
            <w:proofErr w:type="spellEnd"/>
            <w:r w:rsidRPr="00FD4EE9">
              <w:t xml:space="preserve"> Zhang</w:t>
            </w:r>
          </w:p>
        </w:tc>
        <w:tc>
          <w:tcPr>
            <w:tcW w:w="1524" w:type="dxa"/>
            <w:vAlign w:val="center"/>
          </w:tcPr>
          <w:p w14:paraId="56AE9235" w14:textId="77777777" w:rsidR="00787EA1" w:rsidRPr="00FD4EE9" w:rsidRDefault="00787EA1" w:rsidP="00653B89">
            <w:pPr>
              <w:pStyle w:val="BodyText"/>
              <w:spacing w:before="20" w:after="0" w:line="240" w:lineRule="auto"/>
              <w:ind w:left="72" w:right="33"/>
            </w:pPr>
            <w:r w:rsidRPr="00FD4EE9">
              <w:t>PRC</w:t>
            </w:r>
          </w:p>
        </w:tc>
      </w:tr>
      <w:tr w:rsidR="00787EA1" w:rsidRPr="00FD4EE9" w14:paraId="70C46CF1" w14:textId="77777777" w:rsidTr="00653B89">
        <w:trPr>
          <w:trHeight w:val="212"/>
        </w:trPr>
        <w:tc>
          <w:tcPr>
            <w:tcW w:w="3544" w:type="dxa"/>
            <w:vAlign w:val="center"/>
          </w:tcPr>
          <w:p w14:paraId="66EE27A3" w14:textId="77777777" w:rsidR="00787EA1" w:rsidRPr="00FD4EE9" w:rsidRDefault="00787EA1" w:rsidP="00653B89">
            <w:pPr>
              <w:pStyle w:val="BodyText"/>
              <w:spacing w:before="20" w:after="0" w:line="240" w:lineRule="auto"/>
            </w:pPr>
            <w:r w:rsidRPr="00FD4EE9">
              <w:t>Kei-</w:t>
            </w:r>
            <w:proofErr w:type="spellStart"/>
            <w:r w:rsidRPr="00FD4EE9">
              <w:t>ichi</w:t>
            </w:r>
            <w:proofErr w:type="spellEnd"/>
            <w:r w:rsidRPr="00FD4EE9">
              <w:t xml:space="preserve"> Ohnishi</w:t>
            </w:r>
          </w:p>
        </w:tc>
        <w:tc>
          <w:tcPr>
            <w:tcW w:w="850" w:type="dxa"/>
            <w:vAlign w:val="center"/>
          </w:tcPr>
          <w:p w14:paraId="5973938C" w14:textId="77777777" w:rsidR="00787EA1" w:rsidRPr="00FD4EE9" w:rsidRDefault="00787EA1" w:rsidP="00653B89">
            <w:pPr>
              <w:pStyle w:val="BodyText"/>
              <w:spacing w:before="20" w:after="0" w:line="240" w:lineRule="auto"/>
              <w:ind w:left="72" w:right="33"/>
            </w:pPr>
            <w:r w:rsidRPr="00FD4EE9">
              <w:t>J</w:t>
            </w:r>
          </w:p>
        </w:tc>
        <w:tc>
          <w:tcPr>
            <w:tcW w:w="2446" w:type="dxa"/>
            <w:vAlign w:val="center"/>
          </w:tcPr>
          <w:p w14:paraId="41F051F4" w14:textId="77777777" w:rsidR="00787EA1" w:rsidRPr="00FD4EE9" w:rsidRDefault="00787EA1" w:rsidP="00653B89">
            <w:pPr>
              <w:pStyle w:val="BodyText"/>
              <w:spacing w:before="20" w:after="0" w:line="240" w:lineRule="auto"/>
            </w:pPr>
            <w:proofErr w:type="spellStart"/>
            <w:r w:rsidRPr="00FD4EE9">
              <w:t>Jianjun</w:t>
            </w:r>
            <w:proofErr w:type="spellEnd"/>
            <w:r w:rsidRPr="00FD4EE9">
              <w:t xml:space="preserve"> Zhang</w:t>
            </w:r>
          </w:p>
        </w:tc>
        <w:tc>
          <w:tcPr>
            <w:tcW w:w="1524" w:type="dxa"/>
            <w:vAlign w:val="center"/>
          </w:tcPr>
          <w:p w14:paraId="3B84CD4A" w14:textId="77777777" w:rsidR="00787EA1" w:rsidRPr="00FD4EE9" w:rsidRDefault="00787EA1" w:rsidP="00653B89">
            <w:pPr>
              <w:pStyle w:val="BodyText"/>
              <w:spacing w:before="20" w:after="0" w:line="240" w:lineRule="auto"/>
              <w:ind w:left="72" w:right="33"/>
            </w:pPr>
            <w:r w:rsidRPr="00FD4EE9">
              <w:t>PRC</w:t>
            </w:r>
          </w:p>
        </w:tc>
      </w:tr>
    </w:tbl>
    <w:p w14:paraId="4DC5CA3C" w14:textId="77777777" w:rsidR="00AD4B2A" w:rsidRPr="00FD4EE9" w:rsidRDefault="00AD4B2A">
      <w:pPr>
        <w:spacing w:after="0"/>
        <w:jc w:val="right"/>
        <w:rPr>
          <w:b/>
          <w:smallCaps/>
          <w:sz w:val="28"/>
        </w:rPr>
      </w:pPr>
    </w:p>
    <w:p w14:paraId="09F30BB2" w14:textId="43559A9C" w:rsidR="00894D0B" w:rsidRPr="00FD4EE9" w:rsidRDefault="00591AA8" w:rsidP="00894D0B">
      <w:pPr>
        <w:spacing w:after="0"/>
        <w:jc w:val="right"/>
        <w:rPr>
          <w:b/>
          <w:smallCaps/>
          <w:sz w:val="28"/>
        </w:rPr>
      </w:pPr>
      <w:r w:rsidRPr="00FD4EE9">
        <w:rPr>
          <w:b/>
          <w:smallCaps/>
          <w:sz w:val="28"/>
        </w:rPr>
        <w:br w:type="page"/>
      </w:r>
      <w:r w:rsidR="00894D0B" w:rsidRPr="00FD4EE9">
        <w:rPr>
          <w:b/>
          <w:smallCaps/>
          <w:sz w:val="28"/>
        </w:rPr>
        <w:lastRenderedPageBreak/>
        <w:t>UNEP</w:t>
      </w:r>
      <w:r w:rsidR="00894D0B" w:rsidRPr="00FD4EE9">
        <w:rPr>
          <w:b/>
          <w:smallCaps/>
          <w:sz w:val="28"/>
        </w:rPr>
        <w:br/>
      </w:r>
      <w:r w:rsidR="00010163">
        <w:rPr>
          <w:b/>
          <w:smallCaps/>
          <w:sz w:val="28"/>
        </w:rPr>
        <w:t>April</w:t>
      </w:r>
      <w:r w:rsidR="00894D0B">
        <w:rPr>
          <w:b/>
          <w:smallCaps/>
          <w:sz w:val="28"/>
        </w:rPr>
        <w:t xml:space="preserve"> 2018</w:t>
      </w:r>
      <w:r w:rsidR="00894D0B" w:rsidRPr="00FD4EE9">
        <w:rPr>
          <w:b/>
          <w:smallCaps/>
          <w:sz w:val="28"/>
        </w:rPr>
        <w:t xml:space="preserve"> </w:t>
      </w:r>
      <w:r w:rsidR="00894D0B">
        <w:rPr>
          <w:b/>
          <w:smallCaps/>
          <w:sz w:val="28"/>
        </w:rPr>
        <w:t>TEAP Report</w:t>
      </w:r>
    </w:p>
    <w:p w14:paraId="4C146369" w14:textId="77777777" w:rsidR="00894D0B" w:rsidRDefault="00894D0B" w:rsidP="00894D0B">
      <w:pPr>
        <w:jc w:val="right"/>
        <w:rPr>
          <w:b/>
          <w:smallCaps/>
          <w:sz w:val="28"/>
        </w:rPr>
      </w:pPr>
      <w:r>
        <w:rPr>
          <w:b/>
          <w:smallCaps/>
          <w:sz w:val="28"/>
        </w:rPr>
        <w:t>Volume 2</w:t>
      </w:r>
    </w:p>
    <w:p w14:paraId="45369261" w14:textId="2DFE02D3" w:rsidR="00894D0B" w:rsidRDefault="00894D0B" w:rsidP="00894D0B">
      <w:pPr>
        <w:spacing w:after="0"/>
        <w:jc w:val="right"/>
        <w:rPr>
          <w:b/>
          <w:bCs/>
          <w:smallCaps/>
          <w:sz w:val="28"/>
        </w:rPr>
      </w:pPr>
      <w:r w:rsidRPr="00894D0B">
        <w:rPr>
          <w:b/>
          <w:bCs/>
          <w:smallCaps/>
          <w:sz w:val="28"/>
        </w:rPr>
        <w:t xml:space="preserve">Decision XXIX/4 </w:t>
      </w:r>
      <w:r w:rsidR="00587D2E">
        <w:rPr>
          <w:b/>
          <w:bCs/>
          <w:smallCaps/>
          <w:sz w:val="28"/>
        </w:rPr>
        <w:t xml:space="preserve">TEAP </w:t>
      </w:r>
      <w:r w:rsidRPr="00894D0B">
        <w:rPr>
          <w:b/>
          <w:bCs/>
          <w:smallCaps/>
          <w:sz w:val="28"/>
        </w:rPr>
        <w:t>Task Force Report</w:t>
      </w:r>
      <w:r>
        <w:rPr>
          <w:b/>
          <w:bCs/>
          <w:smallCaps/>
          <w:sz w:val="28"/>
        </w:rPr>
        <w:t xml:space="preserve"> on</w:t>
      </w:r>
    </w:p>
    <w:p w14:paraId="599A67E8" w14:textId="77777777" w:rsidR="00894D0B" w:rsidRPr="00FD4EE9" w:rsidRDefault="00894D0B" w:rsidP="00894D0B">
      <w:pPr>
        <w:jc w:val="right"/>
        <w:rPr>
          <w:b/>
          <w:smallCaps/>
          <w:sz w:val="28"/>
        </w:rPr>
      </w:pPr>
      <w:r w:rsidRPr="00894D0B">
        <w:rPr>
          <w:b/>
          <w:bCs/>
          <w:smallCaps/>
          <w:sz w:val="28"/>
        </w:rPr>
        <w:t>Destruction Technologies for Controlled Substances</w:t>
      </w:r>
    </w:p>
    <w:p w14:paraId="2BB6DA9D" w14:textId="27232299" w:rsidR="00D77F44" w:rsidRDefault="00D77F44" w:rsidP="00894D0B">
      <w:pPr>
        <w:spacing w:after="0"/>
        <w:jc w:val="right"/>
        <w:rPr>
          <w:b/>
          <w:smallCaps/>
          <w:sz w:val="28"/>
        </w:rPr>
      </w:pPr>
    </w:p>
    <w:p w14:paraId="20ED73C8" w14:textId="77777777" w:rsidR="006E13B3" w:rsidRPr="006E13B3" w:rsidRDefault="006E13B3" w:rsidP="006E13B3">
      <w:pPr>
        <w:jc w:val="center"/>
        <w:rPr>
          <w:b/>
          <w:smallCaps/>
          <w:sz w:val="28"/>
        </w:rPr>
      </w:pPr>
      <w:r>
        <w:rPr>
          <w:b/>
          <w:smallCaps/>
          <w:sz w:val="28"/>
        </w:rPr>
        <w:t>Table of Contents</w:t>
      </w:r>
    </w:p>
    <w:p w14:paraId="7AD4C8DD" w14:textId="7E38F86E" w:rsidR="00FC7374" w:rsidRPr="00C73234" w:rsidRDefault="003F378F" w:rsidP="00C73234">
      <w:pPr>
        <w:pStyle w:val="TOC1"/>
        <w:rPr>
          <w:rFonts w:ascii="Times New Roman" w:eastAsiaTheme="minorEastAsia" w:hAnsi="Times New Roman"/>
          <w:b w:val="0"/>
          <w:caps w:val="0"/>
          <w:noProof/>
          <w:color w:val="auto"/>
          <w:sz w:val="24"/>
          <w:szCs w:val="24"/>
          <w:lang w:val="en-AU" w:eastAsia="en-AU"/>
        </w:rPr>
      </w:pPr>
      <w:r w:rsidRPr="00C73234">
        <w:rPr>
          <w:rFonts w:ascii="Times New Roman" w:hAnsi="Times New Roman"/>
        </w:rPr>
        <w:fldChar w:fldCharType="begin"/>
      </w:r>
      <w:r w:rsidRPr="00C73234">
        <w:rPr>
          <w:rFonts w:ascii="Times New Roman" w:hAnsi="Times New Roman"/>
        </w:rPr>
        <w:instrText xml:space="preserve"> TOC \o "3-3" \t "Heading 1,1,Heading 2,2,Chapter Heading,1,Section heading,2,Sub title,2,Alt 2-Level Legal1,1,Alt 2-Level Legal2,2,Alt 2-Level Legal4,4,Alt 2-Level Legal5,5,Style3,1,Style4,2,Style Heading 2SubPara (a)Heading 2 Char1 CharSubPara (a) Char1 ...,2,Style8,4" </w:instrText>
      </w:r>
      <w:r w:rsidRPr="00C73234">
        <w:rPr>
          <w:rFonts w:ascii="Times New Roman" w:hAnsi="Times New Roman"/>
        </w:rPr>
        <w:fldChar w:fldCharType="separate"/>
      </w:r>
      <w:r w:rsidR="00FC7374" w:rsidRPr="00C73234">
        <w:rPr>
          <w:rFonts w:ascii="Times New Roman" w:hAnsi="Times New Roman"/>
          <w:noProof/>
        </w:rPr>
        <w:t>Executive Summary</w:t>
      </w:r>
      <w:r w:rsidR="00FC7374" w:rsidRPr="00C73234">
        <w:rPr>
          <w:rFonts w:ascii="Times New Roman" w:hAnsi="Times New Roman"/>
          <w:noProof/>
        </w:rPr>
        <w:tab/>
      </w:r>
      <w:r w:rsidR="00FC7374" w:rsidRPr="00C73234">
        <w:rPr>
          <w:rFonts w:ascii="Times New Roman" w:hAnsi="Times New Roman"/>
          <w:noProof/>
        </w:rPr>
        <w:fldChar w:fldCharType="begin"/>
      </w:r>
      <w:r w:rsidR="00FC7374" w:rsidRPr="00C73234">
        <w:rPr>
          <w:rFonts w:ascii="Times New Roman" w:hAnsi="Times New Roman"/>
          <w:noProof/>
        </w:rPr>
        <w:instrText xml:space="preserve"> PAGEREF _Toc510531438 \h </w:instrText>
      </w:r>
      <w:r w:rsidR="00FC7374" w:rsidRPr="00C73234">
        <w:rPr>
          <w:rFonts w:ascii="Times New Roman" w:hAnsi="Times New Roman"/>
          <w:noProof/>
        </w:rPr>
      </w:r>
      <w:r w:rsidR="00FC7374" w:rsidRPr="00C73234">
        <w:rPr>
          <w:rFonts w:ascii="Times New Roman" w:hAnsi="Times New Roman"/>
          <w:noProof/>
        </w:rPr>
        <w:fldChar w:fldCharType="separate"/>
      </w:r>
      <w:r w:rsidR="00E65509">
        <w:rPr>
          <w:rFonts w:ascii="Times New Roman" w:hAnsi="Times New Roman"/>
          <w:noProof/>
        </w:rPr>
        <w:t>1</w:t>
      </w:r>
      <w:r w:rsidR="00FC7374" w:rsidRPr="00C73234">
        <w:rPr>
          <w:rFonts w:ascii="Times New Roman" w:hAnsi="Times New Roman"/>
          <w:noProof/>
        </w:rPr>
        <w:fldChar w:fldCharType="end"/>
      </w:r>
    </w:p>
    <w:p w14:paraId="502AC716" w14:textId="05D32EB8" w:rsidR="00FC7374" w:rsidRPr="00C73234" w:rsidRDefault="00FC7374" w:rsidP="00C73234">
      <w:pPr>
        <w:pStyle w:val="TOC1"/>
        <w:rPr>
          <w:rFonts w:ascii="Times New Roman" w:eastAsiaTheme="minorEastAsia" w:hAnsi="Times New Roman"/>
          <w:b w:val="0"/>
          <w:caps w:val="0"/>
          <w:noProof/>
          <w:color w:val="auto"/>
          <w:sz w:val="24"/>
          <w:szCs w:val="24"/>
          <w:lang w:val="en-AU" w:eastAsia="en-AU"/>
        </w:rPr>
      </w:pPr>
      <w:r w:rsidRPr="00C73234">
        <w:rPr>
          <w:rFonts w:ascii="Times New Roman" w:hAnsi="Times New Roman"/>
          <w:noProof/>
        </w:rPr>
        <w:t>1</w:t>
      </w:r>
      <w:r w:rsidRPr="00C73234">
        <w:rPr>
          <w:rFonts w:ascii="Times New Roman" w:eastAsiaTheme="minorEastAsia" w:hAnsi="Times New Roman"/>
          <w:b w:val="0"/>
          <w:caps w:val="0"/>
          <w:noProof/>
          <w:color w:val="auto"/>
          <w:sz w:val="24"/>
          <w:szCs w:val="24"/>
          <w:lang w:val="en-AU" w:eastAsia="en-AU"/>
        </w:rPr>
        <w:tab/>
      </w:r>
      <w:r w:rsidRPr="00C73234">
        <w:rPr>
          <w:rFonts w:ascii="Times New Roman" w:hAnsi="Times New Roman"/>
          <w:noProof/>
        </w:rPr>
        <w:t>Introduction</w:t>
      </w:r>
      <w:r w:rsidRPr="00C73234">
        <w:rPr>
          <w:rFonts w:ascii="Times New Roman" w:hAnsi="Times New Roman"/>
          <w:noProof/>
        </w:rPr>
        <w:tab/>
      </w:r>
      <w:r w:rsidRPr="00C73234">
        <w:rPr>
          <w:rFonts w:ascii="Times New Roman" w:hAnsi="Times New Roman"/>
          <w:noProof/>
        </w:rPr>
        <w:fldChar w:fldCharType="begin"/>
      </w:r>
      <w:r w:rsidRPr="00C73234">
        <w:rPr>
          <w:rFonts w:ascii="Times New Roman" w:hAnsi="Times New Roman"/>
          <w:noProof/>
        </w:rPr>
        <w:instrText xml:space="preserve"> PAGEREF _Toc510531439 \h </w:instrText>
      </w:r>
      <w:r w:rsidRPr="00C73234">
        <w:rPr>
          <w:rFonts w:ascii="Times New Roman" w:hAnsi="Times New Roman"/>
          <w:noProof/>
        </w:rPr>
      </w:r>
      <w:r w:rsidRPr="00C73234">
        <w:rPr>
          <w:rFonts w:ascii="Times New Roman" w:hAnsi="Times New Roman"/>
          <w:noProof/>
        </w:rPr>
        <w:fldChar w:fldCharType="separate"/>
      </w:r>
      <w:r w:rsidR="00E65509">
        <w:rPr>
          <w:rFonts w:ascii="Times New Roman" w:hAnsi="Times New Roman"/>
          <w:noProof/>
        </w:rPr>
        <w:t>3</w:t>
      </w:r>
      <w:r w:rsidRPr="00C73234">
        <w:rPr>
          <w:rFonts w:ascii="Times New Roman" w:hAnsi="Times New Roman"/>
          <w:noProof/>
        </w:rPr>
        <w:fldChar w:fldCharType="end"/>
      </w:r>
    </w:p>
    <w:p w14:paraId="14247A20" w14:textId="3E5724D1" w:rsidR="00FC7374" w:rsidRPr="00C73234" w:rsidRDefault="00FC7374" w:rsidP="00C73234">
      <w:pPr>
        <w:pStyle w:val="TOC2"/>
        <w:tabs>
          <w:tab w:val="right" w:leader="dot" w:pos="8680"/>
        </w:tabs>
        <w:rPr>
          <w:rFonts w:ascii="Times New Roman" w:eastAsiaTheme="minorEastAsia" w:hAnsi="Times New Roman"/>
          <w:b w:val="0"/>
          <w:smallCaps w:val="0"/>
          <w:color w:val="auto"/>
          <w:sz w:val="24"/>
          <w:szCs w:val="24"/>
          <w:lang w:val="en-AU" w:eastAsia="en-AU"/>
        </w:rPr>
      </w:pPr>
      <w:r w:rsidRPr="00C73234">
        <w:rPr>
          <w:rFonts w:ascii="Times New Roman" w:hAnsi="Times New Roman"/>
        </w:rPr>
        <w:t>1.1</w:t>
      </w:r>
      <w:r w:rsidRPr="00C73234">
        <w:rPr>
          <w:rFonts w:ascii="Times New Roman" w:eastAsiaTheme="minorEastAsia" w:hAnsi="Times New Roman"/>
          <w:b w:val="0"/>
          <w:smallCaps w:val="0"/>
          <w:color w:val="auto"/>
          <w:sz w:val="24"/>
          <w:szCs w:val="24"/>
          <w:lang w:val="en-AU" w:eastAsia="en-AU"/>
        </w:rPr>
        <w:tab/>
      </w:r>
      <w:r w:rsidRPr="00C73234">
        <w:rPr>
          <w:rFonts w:ascii="Times New Roman" w:hAnsi="Times New Roman"/>
        </w:rPr>
        <w:t>Decision XXIX/4</w:t>
      </w:r>
      <w:r w:rsidRPr="00C73234">
        <w:rPr>
          <w:rFonts w:ascii="Times New Roman" w:hAnsi="Times New Roman"/>
        </w:rPr>
        <w:tab/>
      </w:r>
      <w:r w:rsidRPr="00C73234">
        <w:rPr>
          <w:rFonts w:ascii="Times New Roman" w:hAnsi="Times New Roman"/>
        </w:rPr>
        <w:fldChar w:fldCharType="begin"/>
      </w:r>
      <w:r w:rsidRPr="00C73234">
        <w:rPr>
          <w:rFonts w:ascii="Times New Roman" w:hAnsi="Times New Roman"/>
        </w:rPr>
        <w:instrText xml:space="preserve"> PAGEREF _Toc510531440 \h </w:instrText>
      </w:r>
      <w:r w:rsidRPr="00C73234">
        <w:rPr>
          <w:rFonts w:ascii="Times New Roman" w:hAnsi="Times New Roman"/>
        </w:rPr>
      </w:r>
      <w:r w:rsidRPr="00C73234">
        <w:rPr>
          <w:rFonts w:ascii="Times New Roman" w:hAnsi="Times New Roman"/>
        </w:rPr>
        <w:fldChar w:fldCharType="separate"/>
      </w:r>
      <w:r w:rsidR="00E65509">
        <w:rPr>
          <w:rFonts w:ascii="Times New Roman" w:hAnsi="Times New Roman"/>
        </w:rPr>
        <w:t>3</w:t>
      </w:r>
      <w:r w:rsidRPr="00C73234">
        <w:rPr>
          <w:rFonts w:ascii="Times New Roman" w:hAnsi="Times New Roman"/>
        </w:rPr>
        <w:fldChar w:fldCharType="end"/>
      </w:r>
    </w:p>
    <w:p w14:paraId="566DDD03" w14:textId="2EBC1B2D" w:rsidR="00FC7374" w:rsidRPr="00C73234" w:rsidRDefault="00FC7374" w:rsidP="00C73234">
      <w:pPr>
        <w:pStyle w:val="TOC2"/>
        <w:tabs>
          <w:tab w:val="right" w:leader="dot" w:pos="8680"/>
        </w:tabs>
        <w:rPr>
          <w:rFonts w:ascii="Times New Roman" w:eastAsiaTheme="minorEastAsia" w:hAnsi="Times New Roman"/>
          <w:b w:val="0"/>
          <w:smallCaps w:val="0"/>
          <w:color w:val="auto"/>
          <w:sz w:val="24"/>
          <w:szCs w:val="24"/>
          <w:lang w:val="en-AU" w:eastAsia="en-AU"/>
        </w:rPr>
      </w:pPr>
      <w:r w:rsidRPr="00C73234">
        <w:rPr>
          <w:rFonts w:ascii="Times New Roman" w:hAnsi="Times New Roman"/>
        </w:rPr>
        <w:t>1.2</w:t>
      </w:r>
      <w:r w:rsidRPr="00C73234">
        <w:rPr>
          <w:rFonts w:ascii="Times New Roman" w:eastAsiaTheme="minorEastAsia" w:hAnsi="Times New Roman"/>
          <w:b w:val="0"/>
          <w:smallCaps w:val="0"/>
          <w:color w:val="auto"/>
          <w:sz w:val="24"/>
          <w:szCs w:val="24"/>
          <w:lang w:val="en-AU" w:eastAsia="en-AU"/>
        </w:rPr>
        <w:tab/>
      </w:r>
      <w:r w:rsidRPr="00C73234">
        <w:rPr>
          <w:rFonts w:ascii="Times New Roman" w:hAnsi="Times New Roman"/>
        </w:rPr>
        <w:t>The Task Force (composition)</w:t>
      </w:r>
      <w:r w:rsidRPr="00C73234">
        <w:rPr>
          <w:rFonts w:ascii="Times New Roman" w:hAnsi="Times New Roman"/>
        </w:rPr>
        <w:tab/>
      </w:r>
      <w:r w:rsidRPr="00C73234">
        <w:rPr>
          <w:rFonts w:ascii="Times New Roman" w:hAnsi="Times New Roman"/>
        </w:rPr>
        <w:fldChar w:fldCharType="begin"/>
      </w:r>
      <w:r w:rsidRPr="00C73234">
        <w:rPr>
          <w:rFonts w:ascii="Times New Roman" w:hAnsi="Times New Roman"/>
        </w:rPr>
        <w:instrText xml:space="preserve"> PAGEREF _Toc510531441 \h </w:instrText>
      </w:r>
      <w:r w:rsidRPr="00C73234">
        <w:rPr>
          <w:rFonts w:ascii="Times New Roman" w:hAnsi="Times New Roman"/>
        </w:rPr>
      </w:r>
      <w:r w:rsidRPr="00C73234">
        <w:rPr>
          <w:rFonts w:ascii="Times New Roman" w:hAnsi="Times New Roman"/>
        </w:rPr>
        <w:fldChar w:fldCharType="separate"/>
      </w:r>
      <w:r w:rsidR="00E65509">
        <w:rPr>
          <w:rFonts w:ascii="Times New Roman" w:hAnsi="Times New Roman"/>
        </w:rPr>
        <w:t>3</w:t>
      </w:r>
      <w:r w:rsidRPr="00C73234">
        <w:rPr>
          <w:rFonts w:ascii="Times New Roman" w:hAnsi="Times New Roman"/>
        </w:rPr>
        <w:fldChar w:fldCharType="end"/>
      </w:r>
    </w:p>
    <w:p w14:paraId="4FC4AF8E" w14:textId="0D577129" w:rsidR="00FC7374" w:rsidRPr="00C73234" w:rsidRDefault="00FC7374" w:rsidP="00C73234">
      <w:pPr>
        <w:pStyle w:val="TOC2"/>
        <w:tabs>
          <w:tab w:val="right" w:leader="dot" w:pos="8680"/>
        </w:tabs>
        <w:rPr>
          <w:rFonts w:ascii="Times New Roman" w:eastAsiaTheme="minorEastAsia" w:hAnsi="Times New Roman"/>
          <w:b w:val="0"/>
          <w:smallCaps w:val="0"/>
          <w:color w:val="auto"/>
          <w:sz w:val="24"/>
          <w:szCs w:val="24"/>
          <w:lang w:val="en-AU" w:eastAsia="en-AU"/>
        </w:rPr>
      </w:pPr>
      <w:r w:rsidRPr="00C73234">
        <w:rPr>
          <w:rFonts w:ascii="Times New Roman" w:hAnsi="Times New Roman"/>
        </w:rPr>
        <w:t>1.3</w:t>
      </w:r>
      <w:r w:rsidRPr="00C73234">
        <w:rPr>
          <w:rFonts w:ascii="Times New Roman" w:eastAsiaTheme="minorEastAsia" w:hAnsi="Times New Roman"/>
          <w:b w:val="0"/>
          <w:smallCaps w:val="0"/>
          <w:color w:val="auto"/>
          <w:sz w:val="24"/>
          <w:szCs w:val="24"/>
          <w:lang w:val="en-AU" w:eastAsia="en-AU"/>
        </w:rPr>
        <w:tab/>
      </w:r>
      <w:r w:rsidRPr="00C73234">
        <w:rPr>
          <w:rFonts w:ascii="Times New Roman" w:hAnsi="Times New Roman"/>
        </w:rPr>
        <w:t>Background and previous assessments of destruction technologies</w:t>
      </w:r>
      <w:r w:rsidRPr="00C73234">
        <w:rPr>
          <w:rFonts w:ascii="Times New Roman" w:hAnsi="Times New Roman"/>
        </w:rPr>
        <w:tab/>
      </w:r>
      <w:r w:rsidRPr="00C73234">
        <w:rPr>
          <w:rFonts w:ascii="Times New Roman" w:hAnsi="Times New Roman"/>
        </w:rPr>
        <w:fldChar w:fldCharType="begin"/>
      </w:r>
      <w:r w:rsidRPr="00C73234">
        <w:rPr>
          <w:rFonts w:ascii="Times New Roman" w:hAnsi="Times New Roman"/>
        </w:rPr>
        <w:instrText xml:space="preserve"> PAGEREF _Toc510531442 \h </w:instrText>
      </w:r>
      <w:r w:rsidRPr="00C73234">
        <w:rPr>
          <w:rFonts w:ascii="Times New Roman" w:hAnsi="Times New Roman"/>
        </w:rPr>
      </w:r>
      <w:r w:rsidRPr="00C73234">
        <w:rPr>
          <w:rFonts w:ascii="Times New Roman" w:hAnsi="Times New Roman"/>
        </w:rPr>
        <w:fldChar w:fldCharType="separate"/>
      </w:r>
      <w:r w:rsidR="00E65509">
        <w:rPr>
          <w:rFonts w:ascii="Times New Roman" w:hAnsi="Times New Roman"/>
        </w:rPr>
        <w:t>4</w:t>
      </w:r>
      <w:r w:rsidRPr="00C73234">
        <w:rPr>
          <w:rFonts w:ascii="Times New Roman" w:hAnsi="Times New Roman"/>
        </w:rPr>
        <w:fldChar w:fldCharType="end"/>
      </w:r>
    </w:p>
    <w:p w14:paraId="478FB0E7" w14:textId="14AAE418" w:rsidR="00FC7374" w:rsidRPr="00C73234" w:rsidRDefault="00FC7374" w:rsidP="00C73234">
      <w:pPr>
        <w:pStyle w:val="TOC2"/>
        <w:tabs>
          <w:tab w:val="right" w:leader="dot" w:pos="8680"/>
        </w:tabs>
        <w:rPr>
          <w:rFonts w:ascii="Times New Roman" w:eastAsiaTheme="minorEastAsia" w:hAnsi="Times New Roman"/>
          <w:b w:val="0"/>
          <w:smallCaps w:val="0"/>
          <w:color w:val="auto"/>
          <w:sz w:val="24"/>
          <w:szCs w:val="24"/>
          <w:lang w:val="en-AU" w:eastAsia="en-AU"/>
        </w:rPr>
      </w:pPr>
      <w:r w:rsidRPr="00C73234">
        <w:rPr>
          <w:rFonts w:ascii="Times New Roman" w:hAnsi="Times New Roman"/>
        </w:rPr>
        <w:t>1.4</w:t>
      </w:r>
      <w:r w:rsidRPr="00C73234">
        <w:rPr>
          <w:rFonts w:ascii="Times New Roman" w:eastAsiaTheme="minorEastAsia" w:hAnsi="Times New Roman"/>
          <w:b w:val="0"/>
          <w:smallCaps w:val="0"/>
          <w:color w:val="auto"/>
          <w:sz w:val="24"/>
          <w:szCs w:val="24"/>
          <w:lang w:val="en-AU" w:eastAsia="en-AU"/>
        </w:rPr>
        <w:tab/>
      </w:r>
      <w:r w:rsidRPr="00C73234">
        <w:rPr>
          <w:rFonts w:ascii="Times New Roman" w:hAnsi="Times New Roman"/>
        </w:rPr>
        <w:t>Submissions received</w:t>
      </w:r>
      <w:r w:rsidRPr="00C73234">
        <w:rPr>
          <w:rFonts w:ascii="Times New Roman" w:hAnsi="Times New Roman"/>
        </w:rPr>
        <w:tab/>
      </w:r>
      <w:r w:rsidRPr="00C73234">
        <w:rPr>
          <w:rFonts w:ascii="Times New Roman" w:hAnsi="Times New Roman"/>
        </w:rPr>
        <w:fldChar w:fldCharType="begin"/>
      </w:r>
      <w:r w:rsidRPr="00C73234">
        <w:rPr>
          <w:rFonts w:ascii="Times New Roman" w:hAnsi="Times New Roman"/>
        </w:rPr>
        <w:instrText xml:space="preserve"> PAGEREF _Toc510531443 \h </w:instrText>
      </w:r>
      <w:r w:rsidRPr="00C73234">
        <w:rPr>
          <w:rFonts w:ascii="Times New Roman" w:hAnsi="Times New Roman"/>
        </w:rPr>
      </w:r>
      <w:r w:rsidRPr="00C73234">
        <w:rPr>
          <w:rFonts w:ascii="Times New Roman" w:hAnsi="Times New Roman"/>
        </w:rPr>
        <w:fldChar w:fldCharType="separate"/>
      </w:r>
      <w:r w:rsidR="00E65509">
        <w:rPr>
          <w:rFonts w:ascii="Times New Roman" w:hAnsi="Times New Roman"/>
        </w:rPr>
        <w:t>9</w:t>
      </w:r>
      <w:r w:rsidRPr="00C73234">
        <w:rPr>
          <w:rFonts w:ascii="Times New Roman" w:hAnsi="Times New Roman"/>
        </w:rPr>
        <w:fldChar w:fldCharType="end"/>
      </w:r>
    </w:p>
    <w:p w14:paraId="6E827158" w14:textId="5B2DB6D1" w:rsidR="00FC7374" w:rsidRPr="00C73234" w:rsidRDefault="00FC7374" w:rsidP="00C73234">
      <w:pPr>
        <w:pStyle w:val="TOC2"/>
        <w:tabs>
          <w:tab w:val="right" w:leader="dot" w:pos="8680"/>
        </w:tabs>
        <w:rPr>
          <w:rFonts w:ascii="Times New Roman" w:eastAsiaTheme="minorEastAsia" w:hAnsi="Times New Roman"/>
          <w:b w:val="0"/>
          <w:smallCaps w:val="0"/>
          <w:color w:val="auto"/>
          <w:sz w:val="24"/>
          <w:szCs w:val="24"/>
          <w:lang w:val="en-AU" w:eastAsia="en-AU"/>
        </w:rPr>
      </w:pPr>
      <w:r w:rsidRPr="00C73234">
        <w:rPr>
          <w:rFonts w:ascii="Times New Roman" w:hAnsi="Times New Roman"/>
        </w:rPr>
        <w:t>1.5</w:t>
      </w:r>
      <w:r w:rsidRPr="00C73234">
        <w:rPr>
          <w:rFonts w:ascii="Times New Roman" w:eastAsiaTheme="minorEastAsia" w:hAnsi="Times New Roman"/>
          <w:b w:val="0"/>
          <w:smallCaps w:val="0"/>
          <w:color w:val="auto"/>
          <w:sz w:val="24"/>
          <w:szCs w:val="24"/>
          <w:lang w:val="en-AU" w:eastAsia="en-AU"/>
        </w:rPr>
        <w:tab/>
      </w:r>
      <w:r w:rsidRPr="00C73234">
        <w:rPr>
          <w:rFonts w:ascii="Times New Roman" w:hAnsi="Times New Roman"/>
        </w:rPr>
        <w:t>This assessment</w:t>
      </w:r>
      <w:r w:rsidRPr="00C73234">
        <w:rPr>
          <w:rFonts w:ascii="Times New Roman" w:hAnsi="Times New Roman"/>
        </w:rPr>
        <w:tab/>
      </w:r>
      <w:r w:rsidRPr="00C73234">
        <w:rPr>
          <w:rFonts w:ascii="Times New Roman" w:hAnsi="Times New Roman"/>
        </w:rPr>
        <w:fldChar w:fldCharType="begin"/>
      </w:r>
      <w:r w:rsidRPr="00C73234">
        <w:rPr>
          <w:rFonts w:ascii="Times New Roman" w:hAnsi="Times New Roman"/>
        </w:rPr>
        <w:instrText xml:space="preserve"> PAGEREF _Toc510531444 \h </w:instrText>
      </w:r>
      <w:r w:rsidRPr="00C73234">
        <w:rPr>
          <w:rFonts w:ascii="Times New Roman" w:hAnsi="Times New Roman"/>
        </w:rPr>
      </w:r>
      <w:r w:rsidRPr="00C73234">
        <w:rPr>
          <w:rFonts w:ascii="Times New Roman" w:hAnsi="Times New Roman"/>
        </w:rPr>
        <w:fldChar w:fldCharType="separate"/>
      </w:r>
      <w:r w:rsidR="00E65509">
        <w:rPr>
          <w:rFonts w:ascii="Times New Roman" w:hAnsi="Times New Roman"/>
        </w:rPr>
        <w:t>9</w:t>
      </w:r>
      <w:r w:rsidRPr="00C73234">
        <w:rPr>
          <w:rFonts w:ascii="Times New Roman" w:hAnsi="Times New Roman"/>
        </w:rPr>
        <w:fldChar w:fldCharType="end"/>
      </w:r>
    </w:p>
    <w:p w14:paraId="1D433E99" w14:textId="2D6301A1" w:rsidR="00FC7374" w:rsidRPr="00C73234" w:rsidRDefault="00FC7374" w:rsidP="00C73234">
      <w:pPr>
        <w:pStyle w:val="TOC1"/>
        <w:rPr>
          <w:rFonts w:ascii="Times New Roman" w:eastAsiaTheme="minorEastAsia" w:hAnsi="Times New Roman"/>
          <w:b w:val="0"/>
          <w:caps w:val="0"/>
          <w:noProof/>
          <w:color w:val="auto"/>
          <w:sz w:val="24"/>
          <w:szCs w:val="24"/>
          <w:lang w:val="en-AU" w:eastAsia="en-AU"/>
        </w:rPr>
      </w:pPr>
      <w:r w:rsidRPr="00C73234">
        <w:rPr>
          <w:rFonts w:ascii="Times New Roman" w:hAnsi="Times New Roman"/>
          <w:noProof/>
        </w:rPr>
        <w:t>2</w:t>
      </w:r>
      <w:r w:rsidRPr="00C73234">
        <w:rPr>
          <w:rFonts w:ascii="Times New Roman" w:eastAsiaTheme="minorEastAsia" w:hAnsi="Times New Roman"/>
          <w:b w:val="0"/>
          <w:caps w:val="0"/>
          <w:noProof/>
          <w:color w:val="auto"/>
          <w:sz w:val="24"/>
          <w:szCs w:val="24"/>
          <w:lang w:val="en-AU" w:eastAsia="en-AU"/>
        </w:rPr>
        <w:tab/>
      </w:r>
      <w:r w:rsidRPr="00C73234">
        <w:rPr>
          <w:rFonts w:ascii="Times New Roman" w:hAnsi="Times New Roman"/>
          <w:noProof/>
        </w:rPr>
        <w:t>Assessment criteria</w:t>
      </w:r>
      <w:r w:rsidRPr="00C73234">
        <w:rPr>
          <w:rFonts w:ascii="Times New Roman" w:hAnsi="Times New Roman"/>
          <w:noProof/>
        </w:rPr>
        <w:tab/>
      </w:r>
      <w:r w:rsidRPr="00C73234">
        <w:rPr>
          <w:rFonts w:ascii="Times New Roman" w:hAnsi="Times New Roman"/>
          <w:noProof/>
        </w:rPr>
        <w:fldChar w:fldCharType="begin"/>
      </w:r>
      <w:r w:rsidRPr="00C73234">
        <w:rPr>
          <w:rFonts w:ascii="Times New Roman" w:hAnsi="Times New Roman"/>
          <w:noProof/>
        </w:rPr>
        <w:instrText xml:space="preserve"> PAGEREF _Toc510531445 \h </w:instrText>
      </w:r>
      <w:r w:rsidRPr="00C73234">
        <w:rPr>
          <w:rFonts w:ascii="Times New Roman" w:hAnsi="Times New Roman"/>
          <w:noProof/>
        </w:rPr>
      </w:r>
      <w:r w:rsidRPr="00C73234">
        <w:rPr>
          <w:rFonts w:ascii="Times New Roman" w:hAnsi="Times New Roman"/>
          <w:noProof/>
        </w:rPr>
        <w:fldChar w:fldCharType="separate"/>
      </w:r>
      <w:r w:rsidR="00E65509">
        <w:rPr>
          <w:rFonts w:ascii="Times New Roman" w:hAnsi="Times New Roman"/>
          <w:noProof/>
        </w:rPr>
        <w:t>11</w:t>
      </w:r>
      <w:r w:rsidRPr="00C73234">
        <w:rPr>
          <w:rFonts w:ascii="Times New Roman" w:hAnsi="Times New Roman"/>
          <w:noProof/>
        </w:rPr>
        <w:fldChar w:fldCharType="end"/>
      </w:r>
    </w:p>
    <w:p w14:paraId="37C5305A" w14:textId="6BC15E58" w:rsidR="00FC7374" w:rsidRPr="00C73234" w:rsidRDefault="00FC7374" w:rsidP="00C73234">
      <w:pPr>
        <w:pStyle w:val="TOC2"/>
        <w:tabs>
          <w:tab w:val="right" w:leader="dot" w:pos="8680"/>
        </w:tabs>
        <w:rPr>
          <w:rFonts w:ascii="Times New Roman" w:eastAsiaTheme="minorEastAsia" w:hAnsi="Times New Roman"/>
          <w:b w:val="0"/>
          <w:smallCaps w:val="0"/>
          <w:color w:val="auto"/>
          <w:sz w:val="24"/>
          <w:szCs w:val="24"/>
          <w:lang w:val="en-AU" w:eastAsia="en-AU"/>
        </w:rPr>
      </w:pPr>
      <w:r w:rsidRPr="00C73234">
        <w:rPr>
          <w:rFonts w:ascii="Times New Roman" w:hAnsi="Times New Roman"/>
        </w:rPr>
        <w:t>2.1</w:t>
      </w:r>
      <w:r w:rsidRPr="00C73234">
        <w:rPr>
          <w:rFonts w:ascii="Times New Roman" w:eastAsiaTheme="minorEastAsia" w:hAnsi="Times New Roman"/>
          <w:b w:val="0"/>
          <w:smallCaps w:val="0"/>
          <w:color w:val="auto"/>
          <w:sz w:val="24"/>
          <w:szCs w:val="24"/>
          <w:lang w:val="en-AU" w:eastAsia="en-AU"/>
        </w:rPr>
        <w:tab/>
      </w:r>
      <w:r w:rsidRPr="00C73234">
        <w:rPr>
          <w:rFonts w:ascii="Times New Roman" w:hAnsi="Times New Roman"/>
        </w:rPr>
        <w:t>Performance criteria</w:t>
      </w:r>
      <w:r w:rsidRPr="00C73234">
        <w:rPr>
          <w:rFonts w:ascii="Times New Roman" w:hAnsi="Times New Roman"/>
        </w:rPr>
        <w:tab/>
      </w:r>
      <w:r w:rsidRPr="00C73234">
        <w:rPr>
          <w:rFonts w:ascii="Times New Roman" w:hAnsi="Times New Roman"/>
        </w:rPr>
        <w:fldChar w:fldCharType="begin"/>
      </w:r>
      <w:r w:rsidRPr="00C73234">
        <w:rPr>
          <w:rFonts w:ascii="Times New Roman" w:hAnsi="Times New Roman"/>
        </w:rPr>
        <w:instrText xml:space="preserve"> PAGEREF _Toc510531446 \h </w:instrText>
      </w:r>
      <w:r w:rsidRPr="00C73234">
        <w:rPr>
          <w:rFonts w:ascii="Times New Roman" w:hAnsi="Times New Roman"/>
        </w:rPr>
      </w:r>
      <w:r w:rsidRPr="00C73234">
        <w:rPr>
          <w:rFonts w:ascii="Times New Roman" w:hAnsi="Times New Roman"/>
        </w:rPr>
        <w:fldChar w:fldCharType="separate"/>
      </w:r>
      <w:r w:rsidR="00E65509">
        <w:rPr>
          <w:rFonts w:ascii="Times New Roman" w:hAnsi="Times New Roman"/>
        </w:rPr>
        <w:t>11</w:t>
      </w:r>
      <w:r w:rsidRPr="00C73234">
        <w:rPr>
          <w:rFonts w:ascii="Times New Roman" w:hAnsi="Times New Roman"/>
        </w:rPr>
        <w:fldChar w:fldCharType="end"/>
      </w:r>
    </w:p>
    <w:p w14:paraId="22DCAC16" w14:textId="5354C5BC" w:rsidR="00FC7374" w:rsidRPr="00C73234" w:rsidRDefault="00FC7374" w:rsidP="00C73234">
      <w:pPr>
        <w:pStyle w:val="TOC3"/>
        <w:tabs>
          <w:tab w:val="right" w:leader="dot" w:pos="8680"/>
        </w:tabs>
        <w:rPr>
          <w:rFonts w:ascii="Times New Roman" w:eastAsiaTheme="minorEastAsia" w:hAnsi="Times New Roman"/>
          <w:i w:val="0"/>
          <w:noProof/>
          <w:color w:val="auto"/>
          <w:sz w:val="24"/>
          <w:szCs w:val="24"/>
          <w:lang w:val="en-AU" w:eastAsia="en-AU"/>
        </w:rPr>
      </w:pPr>
      <w:r w:rsidRPr="00C73234">
        <w:rPr>
          <w:rFonts w:ascii="Times New Roman" w:hAnsi="Times New Roman"/>
          <w:noProof/>
        </w:rPr>
        <w:t>2.1.1</w:t>
      </w:r>
      <w:r w:rsidRPr="00C73234">
        <w:rPr>
          <w:rFonts w:ascii="Times New Roman" w:eastAsiaTheme="minorEastAsia" w:hAnsi="Times New Roman"/>
          <w:i w:val="0"/>
          <w:noProof/>
          <w:color w:val="auto"/>
          <w:sz w:val="24"/>
          <w:szCs w:val="24"/>
          <w:lang w:val="en-AU" w:eastAsia="en-AU"/>
        </w:rPr>
        <w:tab/>
      </w:r>
      <w:r w:rsidRPr="00C73234">
        <w:rPr>
          <w:rFonts w:ascii="Times New Roman" w:hAnsi="Times New Roman"/>
          <w:noProof/>
        </w:rPr>
        <w:t>Chlorinated dioxins and furans</w:t>
      </w:r>
      <w:r w:rsidRPr="00C73234">
        <w:rPr>
          <w:rFonts w:ascii="Times New Roman" w:hAnsi="Times New Roman"/>
          <w:noProof/>
        </w:rPr>
        <w:tab/>
      </w:r>
      <w:r w:rsidRPr="00C73234">
        <w:rPr>
          <w:rFonts w:ascii="Times New Roman" w:hAnsi="Times New Roman"/>
          <w:noProof/>
        </w:rPr>
        <w:fldChar w:fldCharType="begin"/>
      </w:r>
      <w:r w:rsidRPr="00C73234">
        <w:rPr>
          <w:rFonts w:ascii="Times New Roman" w:hAnsi="Times New Roman"/>
          <w:noProof/>
        </w:rPr>
        <w:instrText xml:space="preserve"> PAGEREF _Toc510531447 \h </w:instrText>
      </w:r>
      <w:r w:rsidRPr="00C73234">
        <w:rPr>
          <w:rFonts w:ascii="Times New Roman" w:hAnsi="Times New Roman"/>
          <w:noProof/>
        </w:rPr>
      </w:r>
      <w:r w:rsidRPr="00C73234">
        <w:rPr>
          <w:rFonts w:ascii="Times New Roman" w:hAnsi="Times New Roman"/>
          <w:noProof/>
        </w:rPr>
        <w:fldChar w:fldCharType="separate"/>
      </w:r>
      <w:r w:rsidR="00E65509">
        <w:rPr>
          <w:rFonts w:ascii="Times New Roman" w:hAnsi="Times New Roman"/>
          <w:noProof/>
        </w:rPr>
        <w:t>12</w:t>
      </w:r>
      <w:r w:rsidRPr="00C73234">
        <w:rPr>
          <w:rFonts w:ascii="Times New Roman" w:hAnsi="Times New Roman"/>
          <w:noProof/>
        </w:rPr>
        <w:fldChar w:fldCharType="end"/>
      </w:r>
    </w:p>
    <w:p w14:paraId="06C29519" w14:textId="0E66E52F" w:rsidR="00FC7374" w:rsidRPr="00C73234" w:rsidRDefault="00FC7374" w:rsidP="00C73234">
      <w:pPr>
        <w:pStyle w:val="TOC3"/>
        <w:tabs>
          <w:tab w:val="right" w:leader="dot" w:pos="8680"/>
        </w:tabs>
        <w:rPr>
          <w:rFonts w:ascii="Times New Roman" w:eastAsiaTheme="minorEastAsia" w:hAnsi="Times New Roman"/>
          <w:i w:val="0"/>
          <w:noProof/>
          <w:color w:val="auto"/>
          <w:sz w:val="24"/>
          <w:szCs w:val="24"/>
          <w:lang w:val="en-AU" w:eastAsia="en-AU"/>
        </w:rPr>
      </w:pPr>
      <w:r w:rsidRPr="00C73234">
        <w:rPr>
          <w:rFonts w:ascii="Times New Roman" w:hAnsi="Times New Roman"/>
          <w:noProof/>
        </w:rPr>
        <w:t>2.1.2</w:t>
      </w:r>
      <w:r w:rsidRPr="00C73234">
        <w:rPr>
          <w:rFonts w:ascii="Times New Roman" w:eastAsiaTheme="minorEastAsia" w:hAnsi="Times New Roman"/>
          <w:i w:val="0"/>
          <w:noProof/>
          <w:color w:val="auto"/>
          <w:sz w:val="24"/>
          <w:szCs w:val="24"/>
          <w:lang w:val="en-AU" w:eastAsia="en-AU"/>
        </w:rPr>
        <w:tab/>
      </w:r>
      <w:r w:rsidRPr="00C73234">
        <w:rPr>
          <w:rFonts w:ascii="Times New Roman" w:hAnsi="Times New Roman"/>
          <w:noProof/>
        </w:rPr>
        <w:t>Brominated and mixed halogenated dioxins and furans</w:t>
      </w:r>
      <w:r w:rsidRPr="00C73234">
        <w:rPr>
          <w:rFonts w:ascii="Times New Roman" w:hAnsi="Times New Roman"/>
          <w:noProof/>
        </w:rPr>
        <w:tab/>
      </w:r>
      <w:r w:rsidRPr="00C73234">
        <w:rPr>
          <w:rFonts w:ascii="Times New Roman" w:hAnsi="Times New Roman"/>
          <w:noProof/>
        </w:rPr>
        <w:fldChar w:fldCharType="begin"/>
      </w:r>
      <w:r w:rsidRPr="00C73234">
        <w:rPr>
          <w:rFonts w:ascii="Times New Roman" w:hAnsi="Times New Roman"/>
          <w:noProof/>
        </w:rPr>
        <w:instrText xml:space="preserve"> PAGEREF _Toc510531448 \h </w:instrText>
      </w:r>
      <w:r w:rsidRPr="00C73234">
        <w:rPr>
          <w:rFonts w:ascii="Times New Roman" w:hAnsi="Times New Roman"/>
          <w:noProof/>
        </w:rPr>
      </w:r>
      <w:r w:rsidRPr="00C73234">
        <w:rPr>
          <w:rFonts w:ascii="Times New Roman" w:hAnsi="Times New Roman"/>
          <w:noProof/>
        </w:rPr>
        <w:fldChar w:fldCharType="separate"/>
      </w:r>
      <w:r w:rsidR="00E65509">
        <w:rPr>
          <w:rFonts w:ascii="Times New Roman" w:hAnsi="Times New Roman"/>
          <w:noProof/>
        </w:rPr>
        <w:t>14</w:t>
      </w:r>
      <w:r w:rsidRPr="00C73234">
        <w:rPr>
          <w:rFonts w:ascii="Times New Roman" w:hAnsi="Times New Roman"/>
          <w:noProof/>
        </w:rPr>
        <w:fldChar w:fldCharType="end"/>
      </w:r>
    </w:p>
    <w:p w14:paraId="71DE9009" w14:textId="7F6B50C1" w:rsidR="00FC7374" w:rsidRPr="00C73234" w:rsidRDefault="00FC7374" w:rsidP="00C73234">
      <w:pPr>
        <w:pStyle w:val="TOC2"/>
        <w:tabs>
          <w:tab w:val="right" w:leader="dot" w:pos="8680"/>
        </w:tabs>
        <w:rPr>
          <w:rFonts w:ascii="Times New Roman" w:eastAsiaTheme="minorEastAsia" w:hAnsi="Times New Roman"/>
          <w:b w:val="0"/>
          <w:smallCaps w:val="0"/>
          <w:color w:val="auto"/>
          <w:sz w:val="24"/>
          <w:szCs w:val="24"/>
          <w:lang w:val="en-AU" w:eastAsia="en-AU"/>
        </w:rPr>
      </w:pPr>
      <w:r w:rsidRPr="00C73234">
        <w:rPr>
          <w:rFonts w:ascii="Times New Roman" w:hAnsi="Times New Roman"/>
        </w:rPr>
        <w:t>2.2</w:t>
      </w:r>
      <w:r w:rsidRPr="00C73234">
        <w:rPr>
          <w:rFonts w:ascii="Times New Roman" w:eastAsiaTheme="minorEastAsia" w:hAnsi="Times New Roman"/>
          <w:b w:val="0"/>
          <w:smallCaps w:val="0"/>
          <w:color w:val="auto"/>
          <w:sz w:val="24"/>
          <w:szCs w:val="24"/>
          <w:lang w:val="en-AU" w:eastAsia="en-AU"/>
        </w:rPr>
        <w:tab/>
      </w:r>
      <w:r w:rsidRPr="00C73234">
        <w:rPr>
          <w:rFonts w:ascii="Times New Roman" w:hAnsi="Times New Roman"/>
        </w:rPr>
        <w:t>Considerations for performance criteria relevant to approved destruction technologies for their applicability to HFCs</w:t>
      </w:r>
      <w:r w:rsidRPr="00C73234">
        <w:rPr>
          <w:rFonts w:ascii="Times New Roman" w:hAnsi="Times New Roman"/>
        </w:rPr>
        <w:tab/>
      </w:r>
      <w:r w:rsidRPr="00C73234">
        <w:rPr>
          <w:rFonts w:ascii="Times New Roman" w:hAnsi="Times New Roman"/>
        </w:rPr>
        <w:fldChar w:fldCharType="begin"/>
      </w:r>
      <w:r w:rsidRPr="00C73234">
        <w:rPr>
          <w:rFonts w:ascii="Times New Roman" w:hAnsi="Times New Roman"/>
        </w:rPr>
        <w:instrText xml:space="preserve"> PAGEREF _Toc510531449 \h </w:instrText>
      </w:r>
      <w:r w:rsidRPr="00C73234">
        <w:rPr>
          <w:rFonts w:ascii="Times New Roman" w:hAnsi="Times New Roman"/>
        </w:rPr>
      </w:r>
      <w:r w:rsidRPr="00C73234">
        <w:rPr>
          <w:rFonts w:ascii="Times New Roman" w:hAnsi="Times New Roman"/>
        </w:rPr>
        <w:fldChar w:fldCharType="separate"/>
      </w:r>
      <w:r w:rsidR="00E65509">
        <w:rPr>
          <w:rFonts w:ascii="Times New Roman" w:hAnsi="Times New Roman"/>
        </w:rPr>
        <w:t>14</w:t>
      </w:r>
      <w:r w:rsidRPr="00C73234">
        <w:rPr>
          <w:rFonts w:ascii="Times New Roman" w:hAnsi="Times New Roman"/>
        </w:rPr>
        <w:fldChar w:fldCharType="end"/>
      </w:r>
    </w:p>
    <w:p w14:paraId="02488CB4" w14:textId="27BEC066" w:rsidR="00FC7374" w:rsidRPr="00C73234" w:rsidRDefault="00FC7374" w:rsidP="00C73234">
      <w:pPr>
        <w:pStyle w:val="TOC3"/>
        <w:tabs>
          <w:tab w:val="right" w:leader="dot" w:pos="8680"/>
        </w:tabs>
        <w:rPr>
          <w:rFonts w:ascii="Times New Roman" w:eastAsiaTheme="minorEastAsia" w:hAnsi="Times New Roman"/>
          <w:i w:val="0"/>
          <w:noProof/>
          <w:color w:val="auto"/>
          <w:sz w:val="24"/>
          <w:szCs w:val="24"/>
          <w:lang w:val="en-AU" w:eastAsia="en-AU"/>
        </w:rPr>
      </w:pPr>
      <w:r w:rsidRPr="00C73234">
        <w:rPr>
          <w:rFonts w:ascii="Times New Roman" w:hAnsi="Times New Roman"/>
          <w:noProof/>
        </w:rPr>
        <w:t>2.2.1</w:t>
      </w:r>
      <w:r w:rsidRPr="00C73234">
        <w:rPr>
          <w:rFonts w:ascii="Times New Roman" w:eastAsiaTheme="minorEastAsia" w:hAnsi="Times New Roman"/>
          <w:i w:val="0"/>
          <w:noProof/>
          <w:color w:val="auto"/>
          <w:sz w:val="24"/>
          <w:szCs w:val="24"/>
          <w:lang w:val="en-AU" w:eastAsia="en-AU"/>
        </w:rPr>
        <w:tab/>
      </w:r>
      <w:r w:rsidRPr="00C73234">
        <w:rPr>
          <w:rFonts w:ascii="Times New Roman" w:hAnsi="Times New Roman"/>
          <w:noProof/>
        </w:rPr>
        <w:t>DRE, emissions of other pollutants, and technical capability</w:t>
      </w:r>
      <w:r w:rsidRPr="00C73234">
        <w:rPr>
          <w:rFonts w:ascii="Times New Roman" w:hAnsi="Times New Roman"/>
          <w:noProof/>
        </w:rPr>
        <w:tab/>
      </w:r>
      <w:r w:rsidRPr="00C73234">
        <w:rPr>
          <w:rFonts w:ascii="Times New Roman" w:hAnsi="Times New Roman"/>
          <w:noProof/>
        </w:rPr>
        <w:fldChar w:fldCharType="begin"/>
      </w:r>
      <w:r w:rsidRPr="00C73234">
        <w:rPr>
          <w:rFonts w:ascii="Times New Roman" w:hAnsi="Times New Roman"/>
          <w:noProof/>
        </w:rPr>
        <w:instrText xml:space="preserve"> PAGEREF _Toc510531450 \h </w:instrText>
      </w:r>
      <w:r w:rsidRPr="00C73234">
        <w:rPr>
          <w:rFonts w:ascii="Times New Roman" w:hAnsi="Times New Roman"/>
          <w:noProof/>
        </w:rPr>
      </w:r>
      <w:r w:rsidRPr="00C73234">
        <w:rPr>
          <w:rFonts w:ascii="Times New Roman" w:hAnsi="Times New Roman"/>
          <w:noProof/>
        </w:rPr>
        <w:fldChar w:fldCharType="separate"/>
      </w:r>
      <w:r w:rsidR="00E65509">
        <w:rPr>
          <w:rFonts w:ascii="Times New Roman" w:hAnsi="Times New Roman"/>
          <w:noProof/>
        </w:rPr>
        <w:t>14</w:t>
      </w:r>
      <w:r w:rsidRPr="00C73234">
        <w:rPr>
          <w:rFonts w:ascii="Times New Roman" w:hAnsi="Times New Roman"/>
          <w:noProof/>
        </w:rPr>
        <w:fldChar w:fldCharType="end"/>
      </w:r>
    </w:p>
    <w:p w14:paraId="344A8A5E" w14:textId="673DBC4A" w:rsidR="00FC7374" w:rsidRPr="00C73234" w:rsidRDefault="00FC7374" w:rsidP="00C73234">
      <w:pPr>
        <w:pStyle w:val="TOC3"/>
        <w:tabs>
          <w:tab w:val="right" w:leader="dot" w:pos="8680"/>
        </w:tabs>
        <w:rPr>
          <w:rFonts w:ascii="Times New Roman" w:eastAsiaTheme="minorEastAsia" w:hAnsi="Times New Roman"/>
          <w:i w:val="0"/>
          <w:noProof/>
          <w:color w:val="auto"/>
          <w:sz w:val="24"/>
          <w:szCs w:val="24"/>
          <w:lang w:val="en-AU" w:eastAsia="en-AU"/>
        </w:rPr>
      </w:pPr>
      <w:r w:rsidRPr="00C73234">
        <w:rPr>
          <w:rFonts w:ascii="Times New Roman" w:hAnsi="Times New Roman"/>
          <w:noProof/>
        </w:rPr>
        <w:t>2.2.2</w:t>
      </w:r>
      <w:r w:rsidRPr="00C73234">
        <w:rPr>
          <w:rFonts w:ascii="Times New Roman" w:eastAsiaTheme="minorEastAsia" w:hAnsi="Times New Roman"/>
          <w:i w:val="0"/>
          <w:noProof/>
          <w:color w:val="auto"/>
          <w:sz w:val="24"/>
          <w:szCs w:val="24"/>
          <w:lang w:val="en-AU" w:eastAsia="en-AU"/>
        </w:rPr>
        <w:tab/>
      </w:r>
      <w:r w:rsidRPr="00C73234">
        <w:rPr>
          <w:rFonts w:ascii="Times New Roman" w:hAnsi="Times New Roman"/>
          <w:noProof/>
        </w:rPr>
        <w:t>Fluorinated dioxins and furans</w:t>
      </w:r>
      <w:r w:rsidRPr="00C73234">
        <w:rPr>
          <w:rFonts w:ascii="Times New Roman" w:hAnsi="Times New Roman"/>
          <w:noProof/>
        </w:rPr>
        <w:tab/>
      </w:r>
      <w:r w:rsidRPr="00C73234">
        <w:rPr>
          <w:rFonts w:ascii="Times New Roman" w:hAnsi="Times New Roman"/>
          <w:noProof/>
        </w:rPr>
        <w:fldChar w:fldCharType="begin"/>
      </w:r>
      <w:r w:rsidRPr="00C73234">
        <w:rPr>
          <w:rFonts w:ascii="Times New Roman" w:hAnsi="Times New Roman"/>
          <w:noProof/>
        </w:rPr>
        <w:instrText xml:space="preserve"> PAGEREF _Toc510531451 \h </w:instrText>
      </w:r>
      <w:r w:rsidRPr="00C73234">
        <w:rPr>
          <w:rFonts w:ascii="Times New Roman" w:hAnsi="Times New Roman"/>
          <w:noProof/>
        </w:rPr>
      </w:r>
      <w:r w:rsidRPr="00C73234">
        <w:rPr>
          <w:rFonts w:ascii="Times New Roman" w:hAnsi="Times New Roman"/>
          <w:noProof/>
        </w:rPr>
        <w:fldChar w:fldCharType="separate"/>
      </w:r>
      <w:r w:rsidR="00E65509">
        <w:rPr>
          <w:rFonts w:ascii="Times New Roman" w:hAnsi="Times New Roman"/>
          <w:noProof/>
        </w:rPr>
        <w:t>15</w:t>
      </w:r>
      <w:r w:rsidRPr="00C73234">
        <w:rPr>
          <w:rFonts w:ascii="Times New Roman" w:hAnsi="Times New Roman"/>
          <w:noProof/>
        </w:rPr>
        <w:fldChar w:fldCharType="end"/>
      </w:r>
    </w:p>
    <w:p w14:paraId="2AAAFBBD" w14:textId="684670CC" w:rsidR="00FC7374" w:rsidRPr="00C73234" w:rsidRDefault="00FC7374" w:rsidP="00C73234">
      <w:pPr>
        <w:pStyle w:val="TOC3"/>
        <w:tabs>
          <w:tab w:val="right" w:leader="dot" w:pos="8680"/>
        </w:tabs>
        <w:rPr>
          <w:rFonts w:ascii="Times New Roman" w:eastAsiaTheme="minorEastAsia" w:hAnsi="Times New Roman"/>
          <w:i w:val="0"/>
          <w:noProof/>
          <w:color w:val="auto"/>
          <w:sz w:val="24"/>
          <w:szCs w:val="24"/>
          <w:lang w:val="en-AU" w:eastAsia="en-AU"/>
        </w:rPr>
      </w:pPr>
      <w:r w:rsidRPr="00C73234">
        <w:rPr>
          <w:rFonts w:ascii="Times New Roman" w:hAnsi="Times New Roman"/>
          <w:noProof/>
        </w:rPr>
        <w:t>2.2.3</w:t>
      </w:r>
      <w:r w:rsidRPr="00C73234">
        <w:rPr>
          <w:rFonts w:ascii="Times New Roman" w:eastAsiaTheme="minorEastAsia" w:hAnsi="Times New Roman"/>
          <w:i w:val="0"/>
          <w:noProof/>
          <w:color w:val="auto"/>
          <w:sz w:val="24"/>
          <w:szCs w:val="24"/>
          <w:lang w:val="en-AU" w:eastAsia="en-AU"/>
        </w:rPr>
        <w:tab/>
      </w:r>
      <w:r w:rsidRPr="00C73234">
        <w:rPr>
          <w:rFonts w:ascii="Times New Roman" w:hAnsi="Times New Roman"/>
          <w:noProof/>
        </w:rPr>
        <w:t>Consideration of previous assessments of approved ODS destruction technologies</w:t>
      </w:r>
      <w:r w:rsidRPr="00C73234">
        <w:rPr>
          <w:rFonts w:ascii="Times New Roman" w:hAnsi="Times New Roman"/>
          <w:noProof/>
        </w:rPr>
        <w:tab/>
      </w:r>
      <w:r w:rsidRPr="00C73234">
        <w:rPr>
          <w:rFonts w:ascii="Times New Roman" w:hAnsi="Times New Roman"/>
          <w:noProof/>
        </w:rPr>
        <w:fldChar w:fldCharType="begin"/>
      </w:r>
      <w:r w:rsidRPr="00C73234">
        <w:rPr>
          <w:rFonts w:ascii="Times New Roman" w:hAnsi="Times New Roman"/>
          <w:noProof/>
        </w:rPr>
        <w:instrText xml:space="preserve"> PAGEREF _Toc510531452 \h </w:instrText>
      </w:r>
      <w:r w:rsidRPr="00C73234">
        <w:rPr>
          <w:rFonts w:ascii="Times New Roman" w:hAnsi="Times New Roman"/>
          <w:noProof/>
        </w:rPr>
      </w:r>
      <w:r w:rsidRPr="00C73234">
        <w:rPr>
          <w:rFonts w:ascii="Times New Roman" w:hAnsi="Times New Roman"/>
          <w:noProof/>
        </w:rPr>
        <w:fldChar w:fldCharType="separate"/>
      </w:r>
      <w:r w:rsidR="00E65509">
        <w:rPr>
          <w:rFonts w:ascii="Times New Roman" w:hAnsi="Times New Roman"/>
          <w:noProof/>
        </w:rPr>
        <w:t>16</w:t>
      </w:r>
      <w:r w:rsidRPr="00C73234">
        <w:rPr>
          <w:rFonts w:ascii="Times New Roman" w:hAnsi="Times New Roman"/>
          <w:noProof/>
        </w:rPr>
        <w:fldChar w:fldCharType="end"/>
      </w:r>
    </w:p>
    <w:p w14:paraId="7C8845FE" w14:textId="613DACBE" w:rsidR="00FC7374" w:rsidRPr="00C73234" w:rsidRDefault="00FC7374" w:rsidP="00C73234">
      <w:pPr>
        <w:pStyle w:val="TOC3"/>
        <w:tabs>
          <w:tab w:val="right" w:leader="dot" w:pos="8680"/>
        </w:tabs>
        <w:rPr>
          <w:rFonts w:ascii="Times New Roman" w:eastAsiaTheme="minorEastAsia" w:hAnsi="Times New Roman"/>
          <w:i w:val="0"/>
          <w:noProof/>
          <w:color w:val="auto"/>
          <w:sz w:val="24"/>
          <w:szCs w:val="24"/>
          <w:lang w:val="en-AU" w:eastAsia="en-AU"/>
        </w:rPr>
      </w:pPr>
      <w:r w:rsidRPr="00C73234">
        <w:rPr>
          <w:rFonts w:ascii="Times New Roman" w:hAnsi="Times New Roman"/>
          <w:noProof/>
        </w:rPr>
        <w:t>2.2.4</w:t>
      </w:r>
      <w:r w:rsidRPr="00C73234">
        <w:rPr>
          <w:rFonts w:ascii="Times New Roman" w:eastAsiaTheme="minorEastAsia" w:hAnsi="Times New Roman"/>
          <w:i w:val="0"/>
          <w:noProof/>
          <w:color w:val="auto"/>
          <w:sz w:val="24"/>
          <w:szCs w:val="24"/>
          <w:lang w:val="en-AU" w:eastAsia="en-AU"/>
        </w:rPr>
        <w:tab/>
      </w:r>
      <w:r w:rsidRPr="00C73234">
        <w:rPr>
          <w:rFonts w:ascii="Times New Roman" w:hAnsi="Times New Roman"/>
          <w:noProof/>
        </w:rPr>
        <w:t>Destruction of mixed streams of ODS and HFCs</w:t>
      </w:r>
      <w:r w:rsidRPr="00C73234">
        <w:rPr>
          <w:rFonts w:ascii="Times New Roman" w:hAnsi="Times New Roman"/>
          <w:noProof/>
        </w:rPr>
        <w:tab/>
      </w:r>
      <w:r w:rsidRPr="00C73234">
        <w:rPr>
          <w:rFonts w:ascii="Times New Roman" w:hAnsi="Times New Roman"/>
          <w:noProof/>
        </w:rPr>
        <w:fldChar w:fldCharType="begin"/>
      </w:r>
      <w:r w:rsidRPr="00C73234">
        <w:rPr>
          <w:rFonts w:ascii="Times New Roman" w:hAnsi="Times New Roman"/>
          <w:noProof/>
        </w:rPr>
        <w:instrText xml:space="preserve"> PAGEREF _Toc510531453 \h </w:instrText>
      </w:r>
      <w:r w:rsidRPr="00C73234">
        <w:rPr>
          <w:rFonts w:ascii="Times New Roman" w:hAnsi="Times New Roman"/>
          <w:noProof/>
        </w:rPr>
      </w:r>
      <w:r w:rsidRPr="00C73234">
        <w:rPr>
          <w:rFonts w:ascii="Times New Roman" w:hAnsi="Times New Roman"/>
          <w:noProof/>
        </w:rPr>
        <w:fldChar w:fldCharType="separate"/>
      </w:r>
      <w:r w:rsidR="00E65509">
        <w:rPr>
          <w:rFonts w:ascii="Times New Roman" w:hAnsi="Times New Roman"/>
          <w:noProof/>
        </w:rPr>
        <w:t>17</w:t>
      </w:r>
      <w:r w:rsidRPr="00C73234">
        <w:rPr>
          <w:rFonts w:ascii="Times New Roman" w:hAnsi="Times New Roman"/>
          <w:noProof/>
        </w:rPr>
        <w:fldChar w:fldCharType="end"/>
      </w:r>
    </w:p>
    <w:p w14:paraId="12F2144B" w14:textId="529C30BF" w:rsidR="00FC7374" w:rsidRPr="00C73234" w:rsidRDefault="00FC7374" w:rsidP="00C73234">
      <w:pPr>
        <w:pStyle w:val="TOC2"/>
        <w:tabs>
          <w:tab w:val="right" w:leader="dot" w:pos="8680"/>
        </w:tabs>
        <w:rPr>
          <w:rFonts w:ascii="Times New Roman" w:eastAsiaTheme="minorEastAsia" w:hAnsi="Times New Roman"/>
          <w:b w:val="0"/>
          <w:smallCaps w:val="0"/>
          <w:color w:val="auto"/>
          <w:sz w:val="24"/>
          <w:szCs w:val="24"/>
          <w:lang w:val="en-AU" w:eastAsia="en-AU"/>
        </w:rPr>
      </w:pPr>
      <w:r w:rsidRPr="00C73234">
        <w:rPr>
          <w:rFonts w:ascii="Times New Roman" w:hAnsi="Times New Roman"/>
        </w:rPr>
        <w:t>2.3</w:t>
      </w:r>
      <w:r w:rsidRPr="00C73234">
        <w:rPr>
          <w:rFonts w:ascii="Times New Roman" w:eastAsiaTheme="minorEastAsia" w:hAnsi="Times New Roman"/>
          <w:b w:val="0"/>
          <w:smallCaps w:val="0"/>
          <w:color w:val="auto"/>
          <w:sz w:val="24"/>
          <w:szCs w:val="24"/>
          <w:lang w:val="en-AU" w:eastAsia="en-AU"/>
        </w:rPr>
        <w:tab/>
      </w:r>
      <w:r w:rsidRPr="00C73234">
        <w:rPr>
          <w:rFonts w:ascii="Times New Roman" w:hAnsi="Times New Roman"/>
        </w:rPr>
        <w:t>Technical capability</w:t>
      </w:r>
      <w:r w:rsidRPr="00C73234">
        <w:rPr>
          <w:rFonts w:ascii="Times New Roman" w:hAnsi="Times New Roman"/>
        </w:rPr>
        <w:tab/>
      </w:r>
      <w:r w:rsidRPr="00C73234">
        <w:rPr>
          <w:rFonts w:ascii="Times New Roman" w:hAnsi="Times New Roman"/>
        </w:rPr>
        <w:fldChar w:fldCharType="begin"/>
      </w:r>
      <w:r w:rsidRPr="00C73234">
        <w:rPr>
          <w:rFonts w:ascii="Times New Roman" w:hAnsi="Times New Roman"/>
        </w:rPr>
        <w:instrText xml:space="preserve"> PAGEREF _Toc510531454 \h </w:instrText>
      </w:r>
      <w:r w:rsidRPr="00C73234">
        <w:rPr>
          <w:rFonts w:ascii="Times New Roman" w:hAnsi="Times New Roman"/>
        </w:rPr>
      </w:r>
      <w:r w:rsidRPr="00C73234">
        <w:rPr>
          <w:rFonts w:ascii="Times New Roman" w:hAnsi="Times New Roman"/>
        </w:rPr>
        <w:fldChar w:fldCharType="separate"/>
      </w:r>
      <w:r w:rsidR="00E65509">
        <w:rPr>
          <w:rFonts w:ascii="Times New Roman" w:hAnsi="Times New Roman"/>
        </w:rPr>
        <w:t>17</w:t>
      </w:r>
      <w:r w:rsidRPr="00C73234">
        <w:rPr>
          <w:rFonts w:ascii="Times New Roman" w:hAnsi="Times New Roman"/>
        </w:rPr>
        <w:fldChar w:fldCharType="end"/>
      </w:r>
    </w:p>
    <w:p w14:paraId="6C012DD3" w14:textId="1F504F2C" w:rsidR="00FC7374" w:rsidRPr="00C73234" w:rsidRDefault="00FC7374" w:rsidP="00C73234">
      <w:pPr>
        <w:pStyle w:val="TOC3"/>
        <w:tabs>
          <w:tab w:val="right" w:leader="dot" w:pos="8680"/>
        </w:tabs>
        <w:rPr>
          <w:rFonts w:ascii="Times New Roman" w:eastAsiaTheme="minorEastAsia" w:hAnsi="Times New Roman"/>
          <w:i w:val="0"/>
          <w:noProof/>
          <w:color w:val="auto"/>
          <w:sz w:val="24"/>
          <w:szCs w:val="24"/>
          <w:lang w:val="en-AU" w:eastAsia="en-AU"/>
        </w:rPr>
      </w:pPr>
      <w:r w:rsidRPr="00C73234">
        <w:rPr>
          <w:rFonts w:ascii="Times New Roman" w:hAnsi="Times New Roman"/>
          <w:noProof/>
        </w:rPr>
        <w:t>2.3.1</w:t>
      </w:r>
      <w:r w:rsidRPr="00C73234">
        <w:rPr>
          <w:rFonts w:ascii="Times New Roman" w:eastAsiaTheme="minorEastAsia" w:hAnsi="Times New Roman"/>
          <w:i w:val="0"/>
          <w:noProof/>
          <w:color w:val="auto"/>
          <w:sz w:val="24"/>
          <w:szCs w:val="24"/>
          <w:lang w:val="en-AU" w:eastAsia="en-AU"/>
        </w:rPr>
        <w:tab/>
      </w:r>
      <w:r w:rsidRPr="00C73234">
        <w:rPr>
          <w:rFonts w:ascii="Times New Roman" w:hAnsi="Times New Roman"/>
          <w:noProof/>
        </w:rPr>
        <w:t>Technical capability for ODS destruction</w:t>
      </w:r>
      <w:r w:rsidRPr="00C73234">
        <w:rPr>
          <w:rFonts w:ascii="Times New Roman" w:hAnsi="Times New Roman"/>
          <w:noProof/>
        </w:rPr>
        <w:tab/>
      </w:r>
      <w:r w:rsidRPr="00C73234">
        <w:rPr>
          <w:rFonts w:ascii="Times New Roman" w:hAnsi="Times New Roman"/>
          <w:noProof/>
        </w:rPr>
        <w:fldChar w:fldCharType="begin"/>
      </w:r>
      <w:r w:rsidRPr="00C73234">
        <w:rPr>
          <w:rFonts w:ascii="Times New Roman" w:hAnsi="Times New Roman"/>
          <w:noProof/>
        </w:rPr>
        <w:instrText xml:space="preserve"> PAGEREF _Toc510531455 \h </w:instrText>
      </w:r>
      <w:r w:rsidRPr="00C73234">
        <w:rPr>
          <w:rFonts w:ascii="Times New Roman" w:hAnsi="Times New Roman"/>
          <w:noProof/>
        </w:rPr>
      </w:r>
      <w:r w:rsidRPr="00C73234">
        <w:rPr>
          <w:rFonts w:ascii="Times New Roman" w:hAnsi="Times New Roman"/>
          <w:noProof/>
        </w:rPr>
        <w:fldChar w:fldCharType="separate"/>
      </w:r>
      <w:r w:rsidR="00E65509">
        <w:rPr>
          <w:rFonts w:ascii="Times New Roman" w:hAnsi="Times New Roman"/>
          <w:noProof/>
        </w:rPr>
        <w:t>17</w:t>
      </w:r>
      <w:r w:rsidRPr="00C73234">
        <w:rPr>
          <w:rFonts w:ascii="Times New Roman" w:hAnsi="Times New Roman"/>
          <w:noProof/>
        </w:rPr>
        <w:fldChar w:fldCharType="end"/>
      </w:r>
    </w:p>
    <w:p w14:paraId="0447FAC8" w14:textId="22F6A043" w:rsidR="00FC7374" w:rsidRPr="00C73234" w:rsidRDefault="00FC7374" w:rsidP="00C73234">
      <w:pPr>
        <w:pStyle w:val="TOC3"/>
        <w:tabs>
          <w:tab w:val="right" w:leader="dot" w:pos="8680"/>
        </w:tabs>
        <w:rPr>
          <w:rFonts w:ascii="Times New Roman" w:eastAsiaTheme="minorEastAsia" w:hAnsi="Times New Roman"/>
          <w:i w:val="0"/>
          <w:noProof/>
          <w:color w:val="auto"/>
          <w:sz w:val="24"/>
          <w:szCs w:val="24"/>
          <w:lang w:val="en-AU" w:eastAsia="en-AU"/>
        </w:rPr>
      </w:pPr>
      <w:r w:rsidRPr="00C73234">
        <w:rPr>
          <w:rFonts w:ascii="Times New Roman" w:hAnsi="Times New Roman"/>
          <w:noProof/>
        </w:rPr>
        <w:t>2.3.2</w:t>
      </w:r>
      <w:r w:rsidRPr="00C73234">
        <w:rPr>
          <w:rFonts w:ascii="Times New Roman" w:eastAsiaTheme="minorEastAsia" w:hAnsi="Times New Roman"/>
          <w:i w:val="0"/>
          <w:noProof/>
          <w:color w:val="auto"/>
          <w:sz w:val="24"/>
          <w:szCs w:val="24"/>
          <w:lang w:val="en-AU" w:eastAsia="en-AU"/>
        </w:rPr>
        <w:tab/>
      </w:r>
      <w:r w:rsidRPr="00C73234">
        <w:rPr>
          <w:rFonts w:ascii="Times New Roman" w:hAnsi="Times New Roman"/>
          <w:noProof/>
        </w:rPr>
        <w:t>Technical capability for HFC destruction</w:t>
      </w:r>
      <w:r w:rsidRPr="00C73234">
        <w:rPr>
          <w:rFonts w:ascii="Times New Roman" w:hAnsi="Times New Roman"/>
          <w:noProof/>
        </w:rPr>
        <w:tab/>
      </w:r>
      <w:r w:rsidRPr="00C73234">
        <w:rPr>
          <w:rFonts w:ascii="Times New Roman" w:hAnsi="Times New Roman"/>
          <w:noProof/>
        </w:rPr>
        <w:fldChar w:fldCharType="begin"/>
      </w:r>
      <w:r w:rsidRPr="00C73234">
        <w:rPr>
          <w:rFonts w:ascii="Times New Roman" w:hAnsi="Times New Roman"/>
          <w:noProof/>
        </w:rPr>
        <w:instrText xml:space="preserve"> PAGEREF _Toc510531456 \h </w:instrText>
      </w:r>
      <w:r w:rsidRPr="00C73234">
        <w:rPr>
          <w:rFonts w:ascii="Times New Roman" w:hAnsi="Times New Roman"/>
          <w:noProof/>
        </w:rPr>
      </w:r>
      <w:r w:rsidRPr="00C73234">
        <w:rPr>
          <w:rFonts w:ascii="Times New Roman" w:hAnsi="Times New Roman"/>
          <w:noProof/>
        </w:rPr>
        <w:fldChar w:fldCharType="separate"/>
      </w:r>
      <w:r w:rsidR="00E65509">
        <w:rPr>
          <w:rFonts w:ascii="Times New Roman" w:hAnsi="Times New Roman"/>
          <w:noProof/>
        </w:rPr>
        <w:t>18</w:t>
      </w:r>
      <w:r w:rsidRPr="00C73234">
        <w:rPr>
          <w:rFonts w:ascii="Times New Roman" w:hAnsi="Times New Roman"/>
          <w:noProof/>
        </w:rPr>
        <w:fldChar w:fldCharType="end"/>
      </w:r>
    </w:p>
    <w:p w14:paraId="586C7956" w14:textId="3B5A1FED" w:rsidR="00FC7374" w:rsidRPr="00C73234" w:rsidRDefault="00FC7374" w:rsidP="00C73234">
      <w:pPr>
        <w:pStyle w:val="TOC2"/>
        <w:tabs>
          <w:tab w:val="right" w:leader="dot" w:pos="8680"/>
        </w:tabs>
        <w:rPr>
          <w:rFonts w:ascii="Times New Roman" w:eastAsiaTheme="minorEastAsia" w:hAnsi="Times New Roman"/>
          <w:b w:val="0"/>
          <w:smallCaps w:val="0"/>
          <w:color w:val="auto"/>
          <w:sz w:val="24"/>
          <w:szCs w:val="24"/>
          <w:lang w:val="en-AU" w:eastAsia="en-AU"/>
        </w:rPr>
      </w:pPr>
      <w:r w:rsidRPr="00C73234">
        <w:rPr>
          <w:rFonts w:ascii="Times New Roman" w:hAnsi="Times New Roman"/>
        </w:rPr>
        <w:t>2.4</w:t>
      </w:r>
      <w:r w:rsidRPr="00C73234">
        <w:rPr>
          <w:rFonts w:ascii="Times New Roman" w:eastAsiaTheme="minorEastAsia" w:hAnsi="Times New Roman"/>
          <w:b w:val="0"/>
          <w:smallCaps w:val="0"/>
          <w:color w:val="auto"/>
          <w:sz w:val="24"/>
          <w:szCs w:val="24"/>
          <w:lang w:val="en-AU" w:eastAsia="en-AU"/>
        </w:rPr>
        <w:tab/>
      </w:r>
      <w:r w:rsidRPr="00C73234">
        <w:rPr>
          <w:rFonts w:ascii="Times New Roman" w:hAnsi="Times New Roman"/>
        </w:rPr>
        <w:t>Considerations for performance criteria relevant to methyl bromide destruction technologies</w:t>
      </w:r>
      <w:r w:rsidRPr="00C73234">
        <w:rPr>
          <w:rFonts w:ascii="Times New Roman" w:hAnsi="Times New Roman"/>
        </w:rPr>
        <w:tab/>
      </w:r>
      <w:r w:rsidRPr="00C73234">
        <w:rPr>
          <w:rFonts w:ascii="Times New Roman" w:hAnsi="Times New Roman"/>
        </w:rPr>
        <w:fldChar w:fldCharType="begin"/>
      </w:r>
      <w:r w:rsidRPr="00C73234">
        <w:rPr>
          <w:rFonts w:ascii="Times New Roman" w:hAnsi="Times New Roman"/>
        </w:rPr>
        <w:instrText xml:space="preserve"> PAGEREF _Toc510531457 \h </w:instrText>
      </w:r>
      <w:r w:rsidRPr="00C73234">
        <w:rPr>
          <w:rFonts w:ascii="Times New Roman" w:hAnsi="Times New Roman"/>
        </w:rPr>
      </w:r>
      <w:r w:rsidRPr="00C73234">
        <w:rPr>
          <w:rFonts w:ascii="Times New Roman" w:hAnsi="Times New Roman"/>
        </w:rPr>
        <w:fldChar w:fldCharType="separate"/>
      </w:r>
      <w:r w:rsidR="00E65509">
        <w:rPr>
          <w:rFonts w:ascii="Times New Roman" w:hAnsi="Times New Roman"/>
        </w:rPr>
        <w:t>20</w:t>
      </w:r>
      <w:r w:rsidRPr="00C73234">
        <w:rPr>
          <w:rFonts w:ascii="Times New Roman" w:hAnsi="Times New Roman"/>
        </w:rPr>
        <w:fldChar w:fldCharType="end"/>
      </w:r>
    </w:p>
    <w:p w14:paraId="5477B84D" w14:textId="6A1C8C8D" w:rsidR="00FC7374" w:rsidRPr="00C73234" w:rsidRDefault="00FC7374" w:rsidP="00C73234">
      <w:pPr>
        <w:pStyle w:val="TOC3"/>
        <w:tabs>
          <w:tab w:val="right" w:leader="dot" w:pos="8680"/>
        </w:tabs>
        <w:rPr>
          <w:rFonts w:ascii="Times New Roman" w:eastAsiaTheme="minorEastAsia" w:hAnsi="Times New Roman"/>
          <w:i w:val="0"/>
          <w:noProof/>
          <w:color w:val="auto"/>
          <w:sz w:val="24"/>
          <w:szCs w:val="24"/>
          <w:lang w:val="en-AU" w:eastAsia="en-AU"/>
        </w:rPr>
      </w:pPr>
      <w:r w:rsidRPr="00C73234">
        <w:rPr>
          <w:rFonts w:ascii="Times New Roman" w:hAnsi="Times New Roman"/>
          <w:noProof/>
        </w:rPr>
        <w:t>2.4.1</w:t>
      </w:r>
      <w:r w:rsidRPr="00C73234">
        <w:rPr>
          <w:rFonts w:ascii="Times New Roman" w:eastAsiaTheme="minorEastAsia" w:hAnsi="Times New Roman"/>
          <w:i w:val="0"/>
          <w:noProof/>
          <w:color w:val="auto"/>
          <w:sz w:val="24"/>
          <w:szCs w:val="24"/>
          <w:lang w:val="en-AU" w:eastAsia="en-AU"/>
        </w:rPr>
        <w:tab/>
      </w:r>
      <w:r w:rsidRPr="00C73234">
        <w:rPr>
          <w:rFonts w:ascii="Times New Roman" w:hAnsi="Times New Roman"/>
          <w:noProof/>
        </w:rPr>
        <w:t>Methyl Bromide Destruction</w:t>
      </w:r>
      <w:r w:rsidRPr="00C73234">
        <w:rPr>
          <w:rFonts w:ascii="Times New Roman" w:hAnsi="Times New Roman"/>
          <w:noProof/>
        </w:rPr>
        <w:tab/>
      </w:r>
      <w:r w:rsidRPr="00C73234">
        <w:rPr>
          <w:rFonts w:ascii="Times New Roman" w:hAnsi="Times New Roman"/>
          <w:noProof/>
        </w:rPr>
        <w:fldChar w:fldCharType="begin"/>
      </w:r>
      <w:r w:rsidRPr="00C73234">
        <w:rPr>
          <w:rFonts w:ascii="Times New Roman" w:hAnsi="Times New Roman"/>
          <w:noProof/>
        </w:rPr>
        <w:instrText xml:space="preserve"> PAGEREF _Toc510531458 \h </w:instrText>
      </w:r>
      <w:r w:rsidRPr="00C73234">
        <w:rPr>
          <w:rFonts w:ascii="Times New Roman" w:hAnsi="Times New Roman"/>
          <w:noProof/>
        </w:rPr>
      </w:r>
      <w:r w:rsidRPr="00C73234">
        <w:rPr>
          <w:rFonts w:ascii="Times New Roman" w:hAnsi="Times New Roman"/>
          <w:noProof/>
        </w:rPr>
        <w:fldChar w:fldCharType="separate"/>
      </w:r>
      <w:r w:rsidR="00E65509">
        <w:rPr>
          <w:rFonts w:ascii="Times New Roman" w:hAnsi="Times New Roman"/>
          <w:noProof/>
        </w:rPr>
        <w:t>20</w:t>
      </w:r>
      <w:r w:rsidRPr="00C73234">
        <w:rPr>
          <w:rFonts w:ascii="Times New Roman" w:hAnsi="Times New Roman"/>
          <w:noProof/>
        </w:rPr>
        <w:fldChar w:fldCharType="end"/>
      </w:r>
    </w:p>
    <w:p w14:paraId="0FE63692" w14:textId="5D186853" w:rsidR="00FC7374" w:rsidRPr="00C73234" w:rsidRDefault="00FC7374" w:rsidP="00C73234">
      <w:pPr>
        <w:pStyle w:val="TOC1"/>
        <w:rPr>
          <w:rFonts w:ascii="Times New Roman" w:eastAsiaTheme="minorEastAsia" w:hAnsi="Times New Roman"/>
          <w:b w:val="0"/>
          <w:caps w:val="0"/>
          <w:noProof/>
          <w:color w:val="auto"/>
          <w:sz w:val="24"/>
          <w:szCs w:val="24"/>
          <w:lang w:val="en-AU" w:eastAsia="en-AU"/>
        </w:rPr>
      </w:pPr>
      <w:r w:rsidRPr="00C73234">
        <w:rPr>
          <w:rFonts w:ascii="Times New Roman" w:hAnsi="Times New Roman"/>
          <w:noProof/>
        </w:rPr>
        <w:t>3</w:t>
      </w:r>
      <w:r w:rsidRPr="00C73234">
        <w:rPr>
          <w:rFonts w:ascii="Times New Roman" w:eastAsiaTheme="minorEastAsia" w:hAnsi="Times New Roman"/>
          <w:b w:val="0"/>
          <w:caps w:val="0"/>
          <w:noProof/>
          <w:color w:val="auto"/>
          <w:sz w:val="24"/>
          <w:szCs w:val="24"/>
          <w:lang w:val="en-AU" w:eastAsia="en-AU"/>
        </w:rPr>
        <w:tab/>
      </w:r>
      <w:r w:rsidRPr="00C73234">
        <w:rPr>
          <w:rFonts w:ascii="Times New Roman" w:hAnsi="Times New Roman"/>
          <w:noProof/>
        </w:rPr>
        <w:t>Assessment of approved destruction technologies to confirm their applicability to HFCs</w:t>
      </w:r>
      <w:r w:rsidRPr="00C73234">
        <w:rPr>
          <w:rFonts w:ascii="Times New Roman" w:hAnsi="Times New Roman"/>
          <w:noProof/>
        </w:rPr>
        <w:tab/>
      </w:r>
      <w:r w:rsidRPr="00C73234">
        <w:rPr>
          <w:rFonts w:ascii="Times New Roman" w:hAnsi="Times New Roman"/>
          <w:noProof/>
        </w:rPr>
        <w:fldChar w:fldCharType="begin"/>
      </w:r>
      <w:r w:rsidRPr="00C73234">
        <w:rPr>
          <w:rFonts w:ascii="Times New Roman" w:hAnsi="Times New Roman"/>
          <w:noProof/>
        </w:rPr>
        <w:instrText xml:space="preserve"> PAGEREF _Toc510531459 \h </w:instrText>
      </w:r>
      <w:r w:rsidRPr="00C73234">
        <w:rPr>
          <w:rFonts w:ascii="Times New Roman" w:hAnsi="Times New Roman"/>
          <w:noProof/>
        </w:rPr>
      </w:r>
      <w:r w:rsidRPr="00C73234">
        <w:rPr>
          <w:rFonts w:ascii="Times New Roman" w:hAnsi="Times New Roman"/>
          <w:noProof/>
        </w:rPr>
        <w:fldChar w:fldCharType="separate"/>
      </w:r>
      <w:r w:rsidR="00E65509">
        <w:rPr>
          <w:rFonts w:ascii="Times New Roman" w:hAnsi="Times New Roman"/>
          <w:noProof/>
        </w:rPr>
        <w:t>25</w:t>
      </w:r>
      <w:r w:rsidRPr="00C73234">
        <w:rPr>
          <w:rFonts w:ascii="Times New Roman" w:hAnsi="Times New Roman"/>
          <w:noProof/>
        </w:rPr>
        <w:fldChar w:fldCharType="end"/>
      </w:r>
    </w:p>
    <w:p w14:paraId="0DC8354A" w14:textId="68FC1103" w:rsidR="00FC7374" w:rsidRPr="00C73234" w:rsidRDefault="00FC7374" w:rsidP="00C73234">
      <w:pPr>
        <w:pStyle w:val="TOC2"/>
        <w:tabs>
          <w:tab w:val="right" w:leader="dot" w:pos="8680"/>
        </w:tabs>
        <w:rPr>
          <w:rFonts w:ascii="Times New Roman" w:eastAsiaTheme="minorEastAsia" w:hAnsi="Times New Roman"/>
          <w:b w:val="0"/>
          <w:smallCaps w:val="0"/>
          <w:color w:val="auto"/>
          <w:sz w:val="24"/>
          <w:szCs w:val="24"/>
          <w:lang w:val="en-AU" w:eastAsia="en-AU"/>
        </w:rPr>
      </w:pPr>
      <w:r w:rsidRPr="00C73234">
        <w:rPr>
          <w:rFonts w:ascii="Times New Roman" w:hAnsi="Times New Roman"/>
        </w:rPr>
        <w:t>3.1</w:t>
      </w:r>
      <w:r w:rsidRPr="00C73234">
        <w:rPr>
          <w:rFonts w:ascii="Times New Roman" w:eastAsiaTheme="minorEastAsia" w:hAnsi="Times New Roman"/>
          <w:b w:val="0"/>
          <w:smallCaps w:val="0"/>
          <w:color w:val="auto"/>
          <w:sz w:val="24"/>
          <w:szCs w:val="24"/>
          <w:lang w:val="en-AU" w:eastAsia="en-AU"/>
        </w:rPr>
        <w:tab/>
      </w:r>
      <w:r w:rsidRPr="00C73234">
        <w:rPr>
          <w:rFonts w:ascii="Times New Roman" w:hAnsi="Times New Roman"/>
        </w:rPr>
        <w:t>The assessment of approved destruction technologies</w:t>
      </w:r>
      <w:r w:rsidRPr="00C73234">
        <w:rPr>
          <w:rFonts w:ascii="Times New Roman" w:hAnsi="Times New Roman"/>
        </w:rPr>
        <w:tab/>
      </w:r>
      <w:r w:rsidRPr="00C73234">
        <w:rPr>
          <w:rFonts w:ascii="Times New Roman" w:hAnsi="Times New Roman"/>
        </w:rPr>
        <w:fldChar w:fldCharType="begin"/>
      </w:r>
      <w:r w:rsidRPr="00C73234">
        <w:rPr>
          <w:rFonts w:ascii="Times New Roman" w:hAnsi="Times New Roman"/>
        </w:rPr>
        <w:instrText xml:space="preserve"> PAGEREF _Toc510531460 \h </w:instrText>
      </w:r>
      <w:r w:rsidRPr="00C73234">
        <w:rPr>
          <w:rFonts w:ascii="Times New Roman" w:hAnsi="Times New Roman"/>
        </w:rPr>
      </w:r>
      <w:r w:rsidRPr="00C73234">
        <w:rPr>
          <w:rFonts w:ascii="Times New Roman" w:hAnsi="Times New Roman"/>
        </w:rPr>
        <w:fldChar w:fldCharType="separate"/>
      </w:r>
      <w:r w:rsidR="00E65509">
        <w:rPr>
          <w:rFonts w:ascii="Times New Roman" w:hAnsi="Times New Roman"/>
        </w:rPr>
        <w:t>25</w:t>
      </w:r>
      <w:r w:rsidRPr="00C73234">
        <w:rPr>
          <w:rFonts w:ascii="Times New Roman" w:hAnsi="Times New Roman"/>
        </w:rPr>
        <w:fldChar w:fldCharType="end"/>
      </w:r>
    </w:p>
    <w:p w14:paraId="54B11ED7" w14:textId="21D40252" w:rsidR="00FC7374" w:rsidRPr="00C73234" w:rsidRDefault="00FC7374" w:rsidP="00C73234">
      <w:pPr>
        <w:pStyle w:val="TOC2"/>
        <w:tabs>
          <w:tab w:val="right" w:leader="dot" w:pos="8680"/>
        </w:tabs>
        <w:rPr>
          <w:rFonts w:ascii="Times New Roman" w:eastAsiaTheme="minorEastAsia" w:hAnsi="Times New Roman"/>
          <w:b w:val="0"/>
          <w:smallCaps w:val="0"/>
          <w:color w:val="auto"/>
          <w:sz w:val="24"/>
          <w:szCs w:val="24"/>
          <w:lang w:val="en-AU" w:eastAsia="en-AU"/>
        </w:rPr>
      </w:pPr>
      <w:r w:rsidRPr="00C73234">
        <w:rPr>
          <w:rFonts w:ascii="Times New Roman" w:hAnsi="Times New Roman"/>
        </w:rPr>
        <w:t>3.2</w:t>
      </w:r>
      <w:r w:rsidRPr="00C73234">
        <w:rPr>
          <w:rFonts w:ascii="Times New Roman" w:eastAsiaTheme="minorEastAsia" w:hAnsi="Times New Roman"/>
          <w:b w:val="0"/>
          <w:smallCaps w:val="0"/>
          <w:color w:val="auto"/>
          <w:sz w:val="24"/>
          <w:szCs w:val="24"/>
          <w:lang w:val="en-AU" w:eastAsia="en-AU"/>
        </w:rPr>
        <w:tab/>
      </w:r>
      <w:r w:rsidRPr="00C73234">
        <w:rPr>
          <w:rFonts w:ascii="Times New Roman" w:hAnsi="Times New Roman"/>
        </w:rPr>
        <w:t>Thermal Oxidation</w:t>
      </w:r>
      <w:r w:rsidRPr="00C73234">
        <w:rPr>
          <w:rFonts w:ascii="Times New Roman" w:hAnsi="Times New Roman"/>
        </w:rPr>
        <w:tab/>
      </w:r>
      <w:r w:rsidRPr="00C73234">
        <w:rPr>
          <w:rFonts w:ascii="Times New Roman" w:hAnsi="Times New Roman"/>
        </w:rPr>
        <w:fldChar w:fldCharType="begin"/>
      </w:r>
      <w:r w:rsidRPr="00C73234">
        <w:rPr>
          <w:rFonts w:ascii="Times New Roman" w:hAnsi="Times New Roman"/>
        </w:rPr>
        <w:instrText xml:space="preserve"> PAGEREF _Toc510531461 \h </w:instrText>
      </w:r>
      <w:r w:rsidRPr="00C73234">
        <w:rPr>
          <w:rFonts w:ascii="Times New Roman" w:hAnsi="Times New Roman"/>
        </w:rPr>
      </w:r>
      <w:r w:rsidRPr="00C73234">
        <w:rPr>
          <w:rFonts w:ascii="Times New Roman" w:hAnsi="Times New Roman"/>
        </w:rPr>
        <w:fldChar w:fldCharType="separate"/>
      </w:r>
      <w:r w:rsidR="00E65509">
        <w:rPr>
          <w:rFonts w:ascii="Times New Roman" w:hAnsi="Times New Roman"/>
        </w:rPr>
        <w:t>25</w:t>
      </w:r>
      <w:r w:rsidRPr="00C73234">
        <w:rPr>
          <w:rFonts w:ascii="Times New Roman" w:hAnsi="Times New Roman"/>
        </w:rPr>
        <w:fldChar w:fldCharType="end"/>
      </w:r>
    </w:p>
    <w:p w14:paraId="29F8F878" w14:textId="3C3DF6A7" w:rsidR="00FC7374" w:rsidRPr="00C73234" w:rsidRDefault="00FC7374" w:rsidP="00C73234">
      <w:pPr>
        <w:pStyle w:val="TOC3"/>
        <w:tabs>
          <w:tab w:val="right" w:leader="dot" w:pos="8680"/>
        </w:tabs>
        <w:rPr>
          <w:rFonts w:ascii="Times New Roman" w:eastAsiaTheme="minorEastAsia" w:hAnsi="Times New Roman"/>
          <w:i w:val="0"/>
          <w:noProof/>
          <w:color w:val="auto"/>
          <w:sz w:val="24"/>
          <w:szCs w:val="24"/>
          <w:lang w:val="en-AU" w:eastAsia="en-AU"/>
        </w:rPr>
      </w:pPr>
      <w:r w:rsidRPr="00C73234">
        <w:rPr>
          <w:rFonts w:ascii="Times New Roman" w:hAnsi="Times New Roman"/>
          <w:noProof/>
        </w:rPr>
        <w:t>3.2.1</w:t>
      </w:r>
      <w:r w:rsidRPr="00C73234">
        <w:rPr>
          <w:rFonts w:ascii="Times New Roman" w:eastAsiaTheme="minorEastAsia" w:hAnsi="Times New Roman"/>
          <w:i w:val="0"/>
          <w:noProof/>
          <w:color w:val="auto"/>
          <w:sz w:val="24"/>
          <w:szCs w:val="24"/>
          <w:lang w:val="en-AU" w:eastAsia="en-AU"/>
        </w:rPr>
        <w:tab/>
      </w:r>
      <w:r w:rsidRPr="00C73234">
        <w:rPr>
          <w:rFonts w:ascii="Times New Roman" w:hAnsi="Times New Roman"/>
          <w:noProof/>
        </w:rPr>
        <w:t>Cement Kilns</w:t>
      </w:r>
      <w:r w:rsidRPr="00C73234">
        <w:rPr>
          <w:rFonts w:ascii="Times New Roman" w:hAnsi="Times New Roman"/>
          <w:noProof/>
        </w:rPr>
        <w:tab/>
      </w:r>
      <w:r w:rsidRPr="00C73234">
        <w:rPr>
          <w:rFonts w:ascii="Times New Roman" w:hAnsi="Times New Roman"/>
          <w:noProof/>
        </w:rPr>
        <w:fldChar w:fldCharType="begin"/>
      </w:r>
      <w:r w:rsidRPr="00C73234">
        <w:rPr>
          <w:rFonts w:ascii="Times New Roman" w:hAnsi="Times New Roman"/>
          <w:noProof/>
        </w:rPr>
        <w:instrText xml:space="preserve"> PAGEREF _Toc510531462 \h </w:instrText>
      </w:r>
      <w:r w:rsidRPr="00C73234">
        <w:rPr>
          <w:rFonts w:ascii="Times New Roman" w:hAnsi="Times New Roman"/>
          <w:noProof/>
        </w:rPr>
      </w:r>
      <w:r w:rsidRPr="00C73234">
        <w:rPr>
          <w:rFonts w:ascii="Times New Roman" w:hAnsi="Times New Roman"/>
          <w:noProof/>
        </w:rPr>
        <w:fldChar w:fldCharType="separate"/>
      </w:r>
      <w:r w:rsidR="00E65509">
        <w:rPr>
          <w:rFonts w:ascii="Times New Roman" w:hAnsi="Times New Roman"/>
          <w:noProof/>
        </w:rPr>
        <w:t>25</w:t>
      </w:r>
      <w:r w:rsidRPr="00C73234">
        <w:rPr>
          <w:rFonts w:ascii="Times New Roman" w:hAnsi="Times New Roman"/>
          <w:noProof/>
        </w:rPr>
        <w:fldChar w:fldCharType="end"/>
      </w:r>
    </w:p>
    <w:p w14:paraId="4F60EFAE" w14:textId="28F73A79" w:rsidR="00FC7374" w:rsidRPr="00C73234" w:rsidRDefault="00FC7374" w:rsidP="00C73234">
      <w:pPr>
        <w:pStyle w:val="TOC3"/>
        <w:tabs>
          <w:tab w:val="right" w:leader="dot" w:pos="8680"/>
        </w:tabs>
        <w:rPr>
          <w:rFonts w:ascii="Times New Roman" w:eastAsiaTheme="minorEastAsia" w:hAnsi="Times New Roman"/>
          <w:i w:val="0"/>
          <w:noProof/>
          <w:color w:val="auto"/>
          <w:sz w:val="24"/>
          <w:szCs w:val="24"/>
          <w:lang w:val="en-AU" w:eastAsia="en-AU"/>
        </w:rPr>
      </w:pPr>
      <w:r w:rsidRPr="00C73234">
        <w:rPr>
          <w:rFonts w:ascii="Times New Roman" w:hAnsi="Times New Roman"/>
          <w:noProof/>
        </w:rPr>
        <w:t>3.2.2</w:t>
      </w:r>
      <w:r w:rsidRPr="00C73234">
        <w:rPr>
          <w:rFonts w:ascii="Times New Roman" w:eastAsiaTheme="minorEastAsia" w:hAnsi="Times New Roman"/>
          <w:i w:val="0"/>
          <w:noProof/>
          <w:color w:val="auto"/>
          <w:sz w:val="24"/>
          <w:szCs w:val="24"/>
          <w:lang w:val="en-AU" w:eastAsia="en-AU"/>
        </w:rPr>
        <w:tab/>
      </w:r>
      <w:r w:rsidRPr="00C73234">
        <w:rPr>
          <w:rFonts w:ascii="Times New Roman" w:hAnsi="Times New Roman"/>
          <w:noProof/>
        </w:rPr>
        <w:t>Gaseous/Fume Oxidation</w:t>
      </w:r>
      <w:r w:rsidRPr="00C73234">
        <w:rPr>
          <w:rFonts w:ascii="Times New Roman" w:hAnsi="Times New Roman"/>
          <w:noProof/>
        </w:rPr>
        <w:tab/>
      </w:r>
      <w:r w:rsidRPr="00C73234">
        <w:rPr>
          <w:rFonts w:ascii="Times New Roman" w:hAnsi="Times New Roman"/>
          <w:noProof/>
        </w:rPr>
        <w:fldChar w:fldCharType="begin"/>
      </w:r>
      <w:r w:rsidRPr="00C73234">
        <w:rPr>
          <w:rFonts w:ascii="Times New Roman" w:hAnsi="Times New Roman"/>
          <w:noProof/>
        </w:rPr>
        <w:instrText xml:space="preserve"> PAGEREF _Toc510531463 \h </w:instrText>
      </w:r>
      <w:r w:rsidRPr="00C73234">
        <w:rPr>
          <w:rFonts w:ascii="Times New Roman" w:hAnsi="Times New Roman"/>
          <w:noProof/>
        </w:rPr>
      </w:r>
      <w:r w:rsidRPr="00C73234">
        <w:rPr>
          <w:rFonts w:ascii="Times New Roman" w:hAnsi="Times New Roman"/>
          <w:noProof/>
        </w:rPr>
        <w:fldChar w:fldCharType="separate"/>
      </w:r>
      <w:r w:rsidR="00E65509">
        <w:rPr>
          <w:rFonts w:ascii="Times New Roman" w:hAnsi="Times New Roman"/>
          <w:noProof/>
        </w:rPr>
        <w:t>26</w:t>
      </w:r>
      <w:r w:rsidRPr="00C73234">
        <w:rPr>
          <w:rFonts w:ascii="Times New Roman" w:hAnsi="Times New Roman"/>
          <w:noProof/>
        </w:rPr>
        <w:fldChar w:fldCharType="end"/>
      </w:r>
    </w:p>
    <w:p w14:paraId="54D7C91E" w14:textId="03CE2619" w:rsidR="00FC7374" w:rsidRPr="00C73234" w:rsidRDefault="00FC7374" w:rsidP="00C73234">
      <w:pPr>
        <w:pStyle w:val="TOC3"/>
        <w:tabs>
          <w:tab w:val="right" w:leader="dot" w:pos="8680"/>
        </w:tabs>
        <w:rPr>
          <w:rFonts w:ascii="Times New Roman" w:eastAsiaTheme="minorEastAsia" w:hAnsi="Times New Roman"/>
          <w:i w:val="0"/>
          <w:noProof/>
          <w:color w:val="auto"/>
          <w:sz w:val="24"/>
          <w:szCs w:val="24"/>
          <w:lang w:val="en-AU" w:eastAsia="en-AU"/>
        </w:rPr>
      </w:pPr>
      <w:r w:rsidRPr="00C73234">
        <w:rPr>
          <w:rFonts w:ascii="Times New Roman" w:hAnsi="Times New Roman"/>
          <w:noProof/>
        </w:rPr>
        <w:t>3.2.3</w:t>
      </w:r>
      <w:r w:rsidRPr="00C73234">
        <w:rPr>
          <w:rFonts w:ascii="Times New Roman" w:eastAsiaTheme="minorEastAsia" w:hAnsi="Times New Roman"/>
          <w:i w:val="0"/>
          <w:noProof/>
          <w:color w:val="auto"/>
          <w:sz w:val="24"/>
          <w:szCs w:val="24"/>
          <w:lang w:val="en-AU" w:eastAsia="en-AU"/>
        </w:rPr>
        <w:tab/>
      </w:r>
      <w:r w:rsidRPr="00C73234">
        <w:rPr>
          <w:rFonts w:ascii="Times New Roman" w:hAnsi="Times New Roman"/>
          <w:noProof/>
        </w:rPr>
        <w:t>Liquid Injection Incineration</w:t>
      </w:r>
      <w:r w:rsidRPr="00C73234">
        <w:rPr>
          <w:rFonts w:ascii="Times New Roman" w:hAnsi="Times New Roman"/>
          <w:noProof/>
        </w:rPr>
        <w:tab/>
      </w:r>
      <w:r w:rsidRPr="00C73234">
        <w:rPr>
          <w:rFonts w:ascii="Times New Roman" w:hAnsi="Times New Roman"/>
          <w:noProof/>
        </w:rPr>
        <w:fldChar w:fldCharType="begin"/>
      </w:r>
      <w:r w:rsidRPr="00C73234">
        <w:rPr>
          <w:rFonts w:ascii="Times New Roman" w:hAnsi="Times New Roman"/>
          <w:noProof/>
        </w:rPr>
        <w:instrText xml:space="preserve"> PAGEREF _Toc510531464 \h </w:instrText>
      </w:r>
      <w:r w:rsidRPr="00C73234">
        <w:rPr>
          <w:rFonts w:ascii="Times New Roman" w:hAnsi="Times New Roman"/>
          <w:noProof/>
        </w:rPr>
      </w:r>
      <w:r w:rsidRPr="00C73234">
        <w:rPr>
          <w:rFonts w:ascii="Times New Roman" w:hAnsi="Times New Roman"/>
          <w:noProof/>
        </w:rPr>
        <w:fldChar w:fldCharType="separate"/>
      </w:r>
      <w:r w:rsidR="00E65509">
        <w:rPr>
          <w:rFonts w:ascii="Times New Roman" w:hAnsi="Times New Roman"/>
          <w:noProof/>
        </w:rPr>
        <w:t>27</w:t>
      </w:r>
      <w:r w:rsidRPr="00C73234">
        <w:rPr>
          <w:rFonts w:ascii="Times New Roman" w:hAnsi="Times New Roman"/>
          <w:noProof/>
        </w:rPr>
        <w:fldChar w:fldCharType="end"/>
      </w:r>
    </w:p>
    <w:p w14:paraId="754B54BE" w14:textId="685951FC" w:rsidR="00FC7374" w:rsidRPr="00C73234" w:rsidRDefault="00FC7374" w:rsidP="00C73234">
      <w:pPr>
        <w:pStyle w:val="TOC3"/>
        <w:tabs>
          <w:tab w:val="right" w:leader="dot" w:pos="8680"/>
        </w:tabs>
        <w:rPr>
          <w:rFonts w:ascii="Times New Roman" w:eastAsiaTheme="minorEastAsia" w:hAnsi="Times New Roman"/>
          <w:i w:val="0"/>
          <w:noProof/>
          <w:color w:val="auto"/>
          <w:sz w:val="24"/>
          <w:szCs w:val="24"/>
          <w:lang w:val="en-AU" w:eastAsia="en-AU"/>
        </w:rPr>
      </w:pPr>
      <w:r w:rsidRPr="00C73234">
        <w:rPr>
          <w:rFonts w:ascii="Times New Roman" w:hAnsi="Times New Roman"/>
          <w:noProof/>
        </w:rPr>
        <w:t>3.2.4</w:t>
      </w:r>
      <w:r w:rsidRPr="00C73234">
        <w:rPr>
          <w:rFonts w:ascii="Times New Roman" w:eastAsiaTheme="minorEastAsia" w:hAnsi="Times New Roman"/>
          <w:i w:val="0"/>
          <w:noProof/>
          <w:color w:val="auto"/>
          <w:sz w:val="24"/>
          <w:szCs w:val="24"/>
          <w:lang w:val="en-AU" w:eastAsia="en-AU"/>
        </w:rPr>
        <w:tab/>
      </w:r>
      <w:r w:rsidRPr="00C73234">
        <w:rPr>
          <w:rFonts w:ascii="Times New Roman" w:hAnsi="Times New Roman"/>
          <w:noProof/>
        </w:rPr>
        <w:t>Municipal Solid Waste Incineration</w:t>
      </w:r>
      <w:r w:rsidRPr="00C73234">
        <w:rPr>
          <w:rFonts w:ascii="Times New Roman" w:hAnsi="Times New Roman"/>
          <w:noProof/>
        </w:rPr>
        <w:tab/>
      </w:r>
      <w:r w:rsidRPr="00C73234">
        <w:rPr>
          <w:rFonts w:ascii="Times New Roman" w:hAnsi="Times New Roman"/>
          <w:noProof/>
        </w:rPr>
        <w:fldChar w:fldCharType="begin"/>
      </w:r>
      <w:r w:rsidRPr="00C73234">
        <w:rPr>
          <w:rFonts w:ascii="Times New Roman" w:hAnsi="Times New Roman"/>
          <w:noProof/>
        </w:rPr>
        <w:instrText xml:space="preserve"> PAGEREF _Toc510531465 \h </w:instrText>
      </w:r>
      <w:r w:rsidRPr="00C73234">
        <w:rPr>
          <w:rFonts w:ascii="Times New Roman" w:hAnsi="Times New Roman"/>
          <w:noProof/>
        </w:rPr>
      </w:r>
      <w:r w:rsidRPr="00C73234">
        <w:rPr>
          <w:rFonts w:ascii="Times New Roman" w:hAnsi="Times New Roman"/>
          <w:noProof/>
        </w:rPr>
        <w:fldChar w:fldCharType="separate"/>
      </w:r>
      <w:r w:rsidR="00E65509">
        <w:rPr>
          <w:rFonts w:ascii="Times New Roman" w:hAnsi="Times New Roman"/>
          <w:noProof/>
        </w:rPr>
        <w:t>28</w:t>
      </w:r>
      <w:r w:rsidRPr="00C73234">
        <w:rPr>
          <w:rFonts w:ascii="Times New Roman" w:hAnsi="Times New Roman"/>
          <w:noProof/>
        </w:rPr>
        <w:fldChar w:fldCharType="end"/>
      </w:r>
    </w:p>
    <w:p w14:paraId="65FEFCD9" w14:textId="4F1EB99A" w:rsidR="00FC7374" w:rsidRPr="00C73234" w:rsidRDefault="00FC7374" w:rsidP="00C73234">
      <w:pPr>
        <w:pStyle w:val="TOC3"/>
        <w:tabs>
          <w:tab w:val="right" w:leader="dot" w:pos="8680"/>
        </w:tabs>
        <w:rPr>
          <w:rFonts w:ascii="Times New Roman" w:eastAsiaTheme="minorEastAsia" w:hAnsi="Times New Roman"/>
          <w:i w:val="0"/>
          <w:noProof/>
          <w:color w:val="auto"/>
          <w:sz w:val="24"/>
          <w:szCs w:val="24"/>
          <w:lang w:val="en-AU" w:eastAsia="en-AU"/>
        </w:rPr>
      </w:pPr>
      <w:r w:rsidRPr="00C73234">
        <w:rPr>
          <w:rFonts w:ascii="Times New Roman" w:hAnsi="Times New Roman"/>
          <w:noProof/>
        </w:rPr>
        <w:t>3.2.5</w:t>
      </w:r>
      <w:r w:rsidRPr="00C73234">
        <w:rPr>
          <w:rFonts w:ascii="Times New Roman" w:eastAsiaTheme="minorEastAsia" w:hAnsi="Times New Roman"/>
          <w:i w:val="0"/>
          <w:noProof/>
          <w:color w:val="auto"/>
          <w:sz w:val="24"/>
          <w:szCs w:val="24"/>
          <w:lang w:val="en-AU" w:eastAsia="en-AU"/>
        </w:rPr>
        <w:tab/>
      </w:r>
      <w:r w:rsidRPr="00C73234">
        <w:rPr>
          <w:rFonts w:ascii="Times New Roman" w:hAnsi="Times New Roman"/>
          <w:noProof/>
        </w:rPr>
        <w:t>Porous Thermal Reactor</w:t>
      </w:r>
      <w:r w:rsidRPr="00C73234">
        <w:rPr>
          <w:rFonts w:ascii="Times New Roman" w:hAnsi="Times New Roman"/>
          <w:noProof/>
        </w:rPr>
        <w:tab/>
      </w:r>
      <w:r w:rsidRPr="00C73234">
        <w:rPr>
          <w:rFonts w:ascii="Times New Roman" w:hAnsi="Times New Roman"/>
          <w:noProof/>
        </w:rPr>
        <w:fldChar w:fldCharType="begin"/>
      </w:r>
      <w:r w:rsidRPr="00C73234">
        <w:rPr>
          <w:rFonts w:ascii="Times New Roman" w:hAnsi="Times New Roman"/>
          <w:noProof/>
        </w:rPr>
        <w:instrText xml:space="preserve"> PAGEREF _Toc510531466 \h </w:instrText>
      </w:r>
      <w:r w:rsidRPr="00C73234">
        <w:rPr>
          <w:rFonts w:ascii="Times New Roman" w:hAnsi="Times New Roman"/>
          <w:noProof/>
        </w:rPr>
      </w:r>
      <w:r w:rsidRPr="00C73234">
        <w:rPr>
          <w:rFonts w:ascii="Times New Roman" w:hAnsi="Times New Roman"/>
          <w:noProof/>
        </w:rPr>
        <w:fldChar w:fldCharType="separate"/>
      </w:r>
      <w:r w:rsidR="00E65509">
        <w:rPr>
          <w:rFonts w:ascii="Times New Roman" w:hAnsi="Times New Roman"/>
          <w:noProof/>
        </w:rPr>
        <w:t>29</w:t>
      </w:r>
      <w:r w:rsidRPr="00C73234">
        <w:rPr>
          <w:rFonts w:ascii="Times New Roman" w:hAnsi="Times New Roman"/>
          <w:noProof/>
        </w:rPr>
        <w:fldChar w:fldCharType="end"/>
      </w:r>
    </w:p>
    <w:p w14:paraId="02370C8B" w14:textId="1F31A0AE" w:rsidR="00FC7374" w:rsidRPr="00C73234" w:rsidRDefault="00FC7374" w:rsidP="00C73234">
      <w:pPr>
        <w:pStyle w:val="TOC3"/>
        <w:tabs>
          <w:tab w:val="right" w:leader="dot" w:pos="8680"/>
        </w:tabs>
        <w:rPr>
          <w:rFonts w:ascii="Times New Roman" w:eastAsiaTheme="minorEastAsia" w:hAnsi="Times New Roman"/>
          <w:i w:val="0"/>
          <w:noProof/>
          <w:color w:val="auto"/>
          <w:sz w:val="24"/>
          <w:szCs w:val="24"/>
          <w:lang w:val="en-AU" w:eastAsia="en-AU"/>
        </w:rPr>
      </w:pPr>
      <w:r w:rsidRPr="00C73234">
        <w:rPr>
          <w:rFonts w:ascii="Times New Roman" w:hAnsi="Times New Roman"/>
          <w:noProof/>
        </w:rPr>
        <w:t>3.2.6</w:t>
      </w:r>
      <w:r w:rsidRPr="00C73234">
        <w:rPr>
          <w:rFonts w:ascii="Times New Roman" w:eastAsiaTheme="minorEastAsia" w:hAnsi="Times New Roman"/>
          <w:i w:val="0"/>
          <w:noProof/>
          <w:color w:val="auto"/>
          <w:sz w:val="24"/>
          <w:szCs w:val="24"/>
          <w:lang w:val="en-AU" w:eastAsia="en-AU"/>
        </w:rPr>
        <w:tab/>
      </w:r>
      <w:r w:rsidRPr="00C73234">
        <w:rPr>
          <w:rFonts w:ascii="Times New Roman" w:hAnsi="Times New Roman"/>
          <w:noProof/>
        </w:rPr>
        <w:t>Reactor Cracking</w:t>
      </w:r>
      <w:r w:rsidRPr="00C73234">
        <w:rPr>
          <w:rFonts w:ascii="Times New Roman" w:hAnsi="Times New Roman"/>
          <w:noProof/>
        </w:rPr>
        <w:tab/>
      </w:r>
      <w:r w:rsidRPr="00C73234">
        <w:rPr>
          <w:rFonts w:ascii="Times New Roman" w:hAnsi="Times New Roman"/>
          <w:noProof/>
        </w:rPr>
        <w:fldChar w:fldCharType="begin"/>
      </w:r>
      <w:r w:rsidRPr="00C73234">
        <w:rPr>
          <w:rFonts w:ascii="Times New Roman" w:hAnsi="Times New Roman"/>
          <w:noProof/>
        </w:rPr>
        <w:instrText xml:space="preserve"> PAGEREF _Toc510531467 \h </w:instrText>
      </w:r>
      <w:r w:rsidRPr="00C73234">
        <w:rPr>
          <w:rFonts w:ascii="Times New Roman" w:hAnsi="Times New Roman"/>
          <w:noProof/>
        </w:rPr>
      </w:r>
      <w:r w:rsidRPr="00C73234">
        <w:rPr>
          <w:rFonts w:ascii="Times New Roman" w:hAnsi="Times New Roman"/>
          <w:noProof/>
        </w:rPr>
        <w:fldChar w:fldCharType="separate"/>
      </w:r>
      <w:r w:rsidR="00E65509">
        <w:rPr>
          <w:rFonts w:ascii="Times New Roman" w:hAnsi="Times New Roman"/>
          <w:noProof/>
        </w:rPr>
        <w:t>30</w:t>
      </w:r>
      <w:r w:rsidRPr="00C73234">
        <w:rPr>
          <w:rFonts w:ascii="Times New Roman" w:hAnsi="Times New Roman"/>
          <w:noProof/>
        </w:rPr>
        <w:fldChar w:fldCharType="end"/>
      </w:r>
    </w:p>
    <w:p w14:paraId="14E8DFB4" w14:textId="3C27AF0E" w:rsidR="00FC7374" w:rsidRPr="00C73234" w:rsidRDefault="00FC7374" w:rsidP="00C73234">
      <w:pPr>
        <w:pStyle w:val="TOC3"/>
        <w:tabs>
          <w:tab w:val="right" w:leader="dot" w:pos="8680"/>
        </w:tabs>
        <w:rPr>
          <w:rFonts w:ascii="Times New Roman" w:eastAsiaTheme="minorEastAsia" w:hAnsi="Times New Roman"/>
          <w:i w:val="0"/>
          <w:noProof/>
          <w:color w:val="auto"/>
          <w:sz w:val="24"/>
          <w:szCs w:val="24"/>
          <w:lang w:val="en-AU" w:eastAsia="en-AU"/>
        </w:rPr>
      </w:pPr>
      <w:r w:rsidRPr="00C73234">
        <w:rPr>
          <w:rFonts w:ascii="Times New Roman" w:hAnsi="Times New Roman"/>
          <w:noProof/>
        </w:rPr>
        <w:t>3.2.7</w:t>
      </w:r>
      <w:r w:rsidRPr="00C73234">
        <w:rPr>
          <w:rFonts w:ascii="Times New Roman" w:eastAsiaTheme="minorEastAsia" w:hAnsi="Times New Roman"/>
          <w:i w:val="0"/>
          <w:noProof/>
          <w:color w:val="auto"/>
          <w:sz w:val="24"/>
          <w:szCs w:val="24"/>
          <w:lang w:val="en-AU" w:eastAsia="en-AU"/>
        </w:rPr>
        <w:tab/>
      </w:r>
      <w:r w:rsidRPr="00C73234">
        <w:rPr>
          <w:rFonts w:ascii="Times New Roman" w:hAnsi="Times New Roman"/>
          <w:noProof/>
        </w:rPr>
        <w:t>Rotary Kiln Incineration</w:t>
      </w:r>
      <w:r w:rsidRPr="00C73234">
        <w:rPr>
          <w:rFonts w:ascii="Times New Roman" w:hAnsi="Times New Roman"/>
          <w:noProof/>
        </w:rPr>
        <w:tab/>
      </w:r>
      <w:r w:rsidRPr="00C73234">
        <w:rPr>
          <w:rFonts w:ascii="Times New Roman" w:hAnsi="Times New Roman"/>
          <w:noProof/>
        </w:rPr>
        <w:fldChar w:fldCharType="begin"/>
      </w:r>
      <w:r w:rsidRPr="00C73234">
        <w:rPr>
          <w:rFonts w:ascii="Times New Roman" w:hAnsi="Times New Roman"/>
          <w:noProof/>
        </w:rPr>
        <w:instrText xml:space="preserve"> PAGEREF _Toc510531468 \h </w:instrText>
      </w:r>
      <w:r w:rsidRPr="00C73234">
        <w:rPr>
          <w:rFonts w:ascii="Times New Roman" w:hAnsi="Times New Roman"/>
          <w:noProof/>
        </w:rPr>
      </w:r>
      <w:r w:rsidRPr="00C73234">
        <w:rPr>
          <w:rFonts w:ascii="Times New Roman" w:hAnsi="Times New Roman"/>
          <w:noProof/>
        </w:rPr>
        <w:fldChar w:fldCharType="separate"/>
      </w:r>
      <w:r w:rsidR="00E65509">
        <w:rPr>
          <w:rFonts w:ascii="Times New Roman" w:hAnsi="Times New Roman"/>
          <w:noProof/>
        </w:rPr>
        <w:t>32</w:t>
      </w:r>
      <w:r w:rsidRPr="00C73234">
        <w:rPr>
          <w:rFonts w:ascii="Times New Roman" w:hAnsi="Times New Roman"/>
          <w:noProof/>
        </w:rPr>
        <w:fldChar w:fldCharType="end"/>
      </w:r>
    </w:p>
    <w:p w14:paraId="44DAC081" w14:textId="414456FE" w:rsidR="00FC7374" w:rsidRPr="00C73234" w:rsidRDefault="00FC7374" w:rsidP="00C73234">
      <w:pPr>
        <w:pStyle w:val="TOC2"/>
        <w:tabs>
          <w:tab w:val="right" w:leader="dot" w:pos="8680"/>
        </w:tabs>
        <w:rPr>
          <w:rFonts w:ascii="Times New Roman" w:eastAsiaTheme="minorEastAsia" w:hAnsi="Times New Roman"/>
          <w:b w:val="0"/>
          <w:smallCaps w:val="0"/>
          <w:color w:val="auto"/>
          <w:sz w:val="24"/>
          <w:szCs w:val="24"/>
          <w:lang w:val="en-AU" w:eastAsia="en-AU"/>
        </w:rPr>
      </w:pPr>
      <w:r w:rsidRPr="00C73234">
        <w:rPr>
          <w:rFonts w:ascii="Times New Roman" w:hAnsi="Times New Roman"/>
        </w:rPr>
        <w:t>3.3</w:t>
      </w:r>
      <w:r w:rsidRPr="00C73234">
        <w:rPr>
          <w:rFonts w:ascii="Times New Roman" w:eastAsiaTheme="minorEastAsia" w:hAnsi="Times New Roman"/>
          <w:b w:val="0"/>
          <w:smallCaps w:val="0"/>
          <w:color w:val="auto"/>
          <w:sz w:val="24"/>
          <w:szCs w:val="24"/>
          <w:lang w:val="en-AU" w:eastAsia="en-AU"/>
        </w:rPr>
        <w:tab/>
      </w:r>
      <w:r w:rsidRPr="00C73234">
        <w:rPr>
          <w:rFonts w:ascii="Times New Roman" w:hAnsi="Times New Roman"/>
        </w:rPr>
        <w:t>Plasma Technologies</w:t>
      </w:r>
      <w:r w:rsidRPr="00C73234">
        <w:rPr>
          <w:rFonts w:ascii="Times New Roman" w:hAnsi="Times New Roman"/>
        </w:rPr>
        <w:tab/>
      </w:r>
      <w:r w:rsidRPr="00C73234">
        <w:rPr>
          <w:rFonts w:ascii="Times New Roman" w:hAnsi="Times New Roman"/>
        </w:rPr>
        <w:fldChar w:fldCharType="begin"/>
      </w:r>
      <w:r w:rsidRPr="00C73234">
        <w:rPr>
          <w:rFonts w:ascii="Times New Roman" w:hAnsi="Times New Roman"/>
        </w:rPr>
        <w:instrText xml:space="preserve"> PAGEREF _Toc510531469 \h </w:instrText>
      </w:r>
      <w:r w:rsidRPr="00C73234">
        <w:rPr>
          <w:rFonts w:ascii="Times New Roman" w:hAnsi="Times New Roman"/>
        </w:rPr>
      </w:r>
      <w:r w:rsidRPr="00C73234">
        <w:rPr>
          <w:rFonts w:ascii="Times New Roman" w:hAnsi="Times New Roman"/>
        </w:rPr>
        <w:fldChar w:fldCharType="separate"/>
      </w:r>
      <w:r w:rsidR="00E65509">
        <w:rPr>
          <w:rFonts w:ascii="Times New Roman" w:hAnsi="Times New Roman"/>
        </w:rPr>
        <w:t>33</w:t>
      </w:r>
      <w:r w:rsidRPr="00C73234">
        <w:rPr>
          <w:rFonts w:ascii="Times New Roman" w:hAnsi="Times New Roman"/>
        </w:rPr>
        <w:fldChar w:fldCharType="end"/>
      </w:r>
    </w:p>
    <w:p w14:paraId="1717E39E" w14:textId="66C539F7" w:rsidR="00FC7374" w:rsidRPr="00C73234" w:rsidRDefault="00FC7374" w:rsidP="00C73234">
      <w:pPr>
        <w:pStyle w:val="TOC3"/>
        <w:tabs>
          <w:tab w:val="right" w:leader="dot" w:pos="8680"/>
        </w:tabs>
        <w:rPr>
          <w:rFonts w:ascii="Times New Roman" w:eastAsiaTheme="minorEastAsia" w:hAnsi="Times New Roman"/>
          <w:i w:val="0"/>
          <w:noProof/>
          <w:color w:val="auto"/>
          <w:sz w:val="24"/>
          <w:szCs w:val="24"/>
          <w:lang w:val="en-AU" w:eastAsia="en-AU"/>
        </w:rPr>
      </w:pPr>
      <w:r w:rsidRPr="00C73234">
        <w:rPr>
          <w:rFonts w:ascii="Times New Roman" w:hAnsi="Times New Roman"/>
          <w:noProof/>
        </w:rPr>
        <w:t>3.3.1</w:t>
      </w:r>
      <w:r w:rsidRPr="00C73234">
        <w:rPr>
          <w:rFonts w:ascii="Times New Roman" w:eastAsiaTheme="minorEastAsia" w:hAnsi="Times New Roman"/>
          <w:i w:val="0"/>
          <w:noProof/>
          <w:color w:val="auto"/>
          <w:sz w:val="24"/>
          <w:szCs w:val="24"/>
          <w:lang w:val="en-AU" w:eastAsia="en-AU"/>
        </w:rPr>
        <w:tab/>
      </w:r>
      <w:r w:rsidRPr="00C73234">
        <w:rPr>
          <w:rFonts w:ascii="Times New Roman" w:hAnsi="Times New Roman"/>
          <w:noProof/>
        </w:rPr>
        <w:t>Argon Plasma Arc</w:t>
      </w:r>
      <w:r w:rsidRPr="00C73234">
        <w:rPr>
          <w:rFonts w:ascii="Times New Roman" w:hAnsi="Times New Roman"/>
          <w:noProof/>
        </w:rPr>
        <w:tab/>
      </w:r>
      <w:r w:rsidRPr="00C73234">
        <w:rPr>
          <w:rFonts w:ascii="Times New Roman" w:hAnsi="Times New Roman"/>
          <w:noProof/>
        </w:rPr>
        <w:fldChar w:fldCharType="begin"/>
      </w:r>
      <w:r w:rsidRPr="00C73234">
        <w:rPr>
          <w:rFonts w:ascii="Times New Roman" w:hAnsi="Times New Roman"/>
          <w:noProof/>
        </w:rPr>
        <w:instrText xml:space="preserve"> PAGEREF _Toc510531470 \h </w:instrText>
      </w:r>
      <w:r w:rsidRPr="00C73234">
        <w:rPr>
          <w:rFonts w:ascii="Times New Roman" w:hAnsi="Times New Roman"/>
          <w:noProof/>
        </w:rPr>
      </w:r>
      <w:r w:rsidRPr="00C73234">
        <w:rPr>
          <w:rFonts w:ascii="Times New Roman" w:hAnsi="Times New Roman"/>
          <w:noProof/>
        </w:rPr>
        <w:fldChar w:fldCharType="separate"/>
      </w:r>
      <w:r w:rsidR="00E65509">
        <w:rPr>
          <w:rFonts w:ascii="Times New Roman" w:hAnsi="Times New Roman"/>
          <w:noProof/>
        </w:rPr>
        <w:t>33</w:t>
      </w:r>
      <w:r w:rsidRPr="00C73234">
        <w:rPr>
          <w:rFonts w:ascii="Times New Roman" w:hAnsi="Times New Roman"/>
          <w:noProof/>
        </w:rPr>
        <w:fldChar w:fldCharType="end"/>
      </w:r>
    </w:p>
    <w:p w14:paraId="0A83D435" w14:textId="38809FBE" w:rsidR="00FC7374" w:rsidRPr="00C73234" w:rsidRDefault="00FC7374" w:rsidP="00C73234">
      <w:pPr>
        <w:pStyle w:val="TOC3"/>
        <w:tabs>
          <w:tab w:val="right" w:leader="dot" w:pos="8680"/>
        </w:tabs>
        <w:rPr>
          <w:rFonts w:ascii="Times New Roman" w:eastAsiaTheme="minorEastAsia" w:hAnsi="Times New Roman"/>
          <w:i w:val="0"/>
          <w:noProof/>
          <w:color w:val="auto"/>
          <w:sz w:val="24"/>
          <w:szCs w:val="24"/>
          <w:lang w:val="en-AU" w:eastAsia="en-AU"/>
        </w:rPr>
      </w:pPr>
      <w:r w:rsidRPr="00C73234">
        <w:rPr>
          <w:rFonts w:ascii="Times New Roman" w:hAnsi="Times New Roman"/>
          <w:noProof/>
        </w:rPr>
        <w:t>3.3.2</w:t>
      </w:r>
      <w:r w:rsidRPr="00C73234">
        <w:rPr>
          <w:rFonts w:ascii="Times New Roman" w:eastAsiaTheme="minorEastAsia" w:hAnsi="Times New Roman"/>
          <w:i w:val="0"/>
          <w:noProof/>
          <w:color w:val="auto"/>
          <w:sz w:val="24"/>
          <w:szCs w:val="24"/>
          <w:lang w:val="en-AU" w:eastAsia="en-AU"/>
        </w:rPr>
        <w:tab/>
      </w:r>
      <w:r w:rsidRPr="00C73234">
        <w:rPr>
          <w:rFonts w:ascii="Times New Roman" w:hAnsi="Times New Roman"/>
          <w:noProof/>
        </w:rPr>
        <w:t>Inductively coupled radio frequency plasma</w:t>
      </w:r>
      <w:r w:rsidRPr="00C73234">
        <w:rPr>
          <w:rFonts w:ascii="Times New Roman" w:hAnsi="Times New Roman"/>
          <w:noProof/>
        </w:rPr>
        <w:tab/>
      </w:r>
      <w:r w:rsidRPr="00C73234">
        <w:rPr>
          <w:rFonts w:ascii="Times New Roman" w:hAnsi="Times New Roman"/>
          <w:noProof/>
        </w:rPr>
        <w:fldChar w:fldCharType="begin"/>
      </w:r>
      <w:r w:rsidRPr="00C73234">
        <w:rPr>
          <w:rFonts w:ascii="Times New Roman" w:hAnsi="Times New Roman"/>
          <w:noProof/>
        </w:rPr>
        <w:instrText xml:space="preserve"> PAGEREF _Toc510531471 \h </w:instrText>
      </w:r>
      <w:r w:rsidRPr="00C73234">
        <w:rPr>
          <w:rFonts w:ascii="Times New Roman" w:hAnsi="Times New Roman"/>
          <w:noProof/>
        </w:rPr>
      </w:r>
      <w:r w:rsidRPr="00C73234">
        <w:rPr>
          <w:rFonts w:ascii="Times New Roman" w:hAnsi="Times New Roman"/>
          <w:noProof/>
        </w:rPr>
        <w:fldChar w:fldCharType="separate"/>
      </w:r>
      <w:r w:rsidR="00E65509">
        <w:rPr>
          <w:rFonts w:ascii="Times New Roman" w:hAnsi="Times New Roman"/>
          <w:noProof/>
        </w:rPr>
        <w:t>35</w:t>
      </w:r>
      <w:r w:rsidRPr="00C73234">
        <w:rPr>
          <w:rFonts w:ascii="Times New Roman" w:hAnsi="Times New Roman"/>
          <w:noProof/>
        </w:rPr>
        <w:fldChar w:fldCharType="end"/>
      </w:r>
    </w:p>
    <w:p w14:paraId="7E70A461" w14:textId="0E4F55E0" w:rsidR="00FC7374" w:rsidRPr="00C73234" w:rsidRDefault="00FC7374" w:rsidP="00C73234">
      <w:pPr>
        <w:pStyle w:val="TOC3"/>
        <w:tabs>
          <w:tab w:val="right" w:leader="dot" w:pos="8680"/>
        </w:tabs>
        <w:rPr>
          <w:rFonts w:ascii="Times New Roman" w:eastAsiaTheme="minorEastAsia" w:hAnsi="Times New Roman"/>
          <w:i w:val="0"/>
          <w:noProof/>
          <w:color w:val="auto"/>
          <w:sz w:val="24"/>
          <w:szCs w:val="24"/>
          <w:lang w:val="en-AU" w:eastAsia="en-AU"/>
        </w:rPr>
      </w:pPr>
      <w:r w:rsidRPr="00C73234">
        <w:rPr>
          <w:rFonts w:ascii="Times New Roman" w:hAnsi="Times New Roman"/>
          <w:noProof/>
        </w:rPr>
        <w:t>3.3.3</w:t>
      </w:r>
      <w:r w:rsidRPr="00C73234">
        <w:rPr>
          <w:rFonts w:ascii="Times New Roman" w:eastAsiaTheme="minorEastAsia" w:hAnsi="Times New Roman"/>
          <w:i w:val="0"/>
          <w:noProof/>
          <w:color w:val="auto"/>
          <w:sz w:val="24"/>
          <w:szCs w:val="24"/>
          <w:lang w:val="en-AU" w:eastAsia="en-AU"/>
        </w:rPr>
        <w:tab/>
      </w:r>
      <w:r w:rsidRPr="00C73234">
        <w:rPr>
          <w:rFonts w:ascii="Times New Roman" w:hAnsi="Times New Roman"/>
          <w:noProof/>
        </w:rPr>
        <w:t>Microwave Plasma</w:t>
      </w:r>
      <w:r w:rsidRPr="00C73234">
        <w:rPr>
          <w:rFonts w:ascii="Times New Roman" w:hAnsi="Times New Roman"/>
          <w:noProof/>
        </w:rPr>
        <w:tab/>
      </w:r>
      <w:r w:rsidRPr="00C73234">
        <w:rPr>
          <w:rFonts w:ascii="Times New Roman" w:hAnsi="Times New Roman"/>
          <w:noProof/>
        </w:rPr>
        <w:fldChar w:fldCharType="begin"/>
      </w:r>
      <w:r w:rsidRPr="00C73234">
        <w:rPr>
          <w:rFonts w:ascii="Times New Roman" w:hAnsi="Times New Roman"/>
          <w:noProof/>
        </w:rPr>
        <w:instrText xml:space="preserve"> PAGEREF _Toc510531472 \h </w:instrText>
      </w:r>
      <w:r w:rsidRPr="00C73234">
        <w:rPr>
          <w:rFonts w:ascii="Times New Roman" w:hAnsi="Times New Roman"/>
          <w:noProof/>
        </w:rPr>
      </w:r>
      <w:r w:rsidRPr="00C73234">
        <w:rPr>
          <w:rFonts w:ascii="Times New Roman" w:hAnsi="Times New Roman"/>
          <w:noProof/>
        </w:rPr>
        <w:fldChar w:fldCharType="separate"/>
      </w:r>
      <w:r w:rsidR="00E65509">
        <w:rPr>
          <w:rFonts w:ascii="Times New Roman" w:hAnsi="Times New Roman"/>
          <w:noProof/>
        </w:rPr>
        <w:t>35</w:t>
      </w:r>
      <w:r w:rsidRPr="00C73234">
        <w:rPr>
          <w:rFonts w:ascii="Times New Roman" w:hAnsi="Times New Roman"/>
          <w:noProof/>
        </w:rPr>
        <w:fldChar w:fldCharType="end"/>
      </w:r>
    </w:p>
    <w:p w14:paraId="425F271B" w14:textId="12866937" w:rsidR="00FC7374" w:rsidRPr="00C73234" w:rsidRDefault="00FC7374" w:rsidP="00C73234">
      <w:pPr>
        <w:pStyle w:val="TOC3"/>
        <w:tabs>
          <w:tab w:val="right" w:leader="dot" w:pos="8680"/>
        </w:tabs>
        <w:rPr>
          <w:rFonts w:ascii="Times New Roman" w:eastAsiaTheme="minorEastAsia" w:hAnsi="Times New Roman"/>
          <w:i w:val="0"/>
          <w:noProof/>
          <w:color w:val="auto"/>
          <w:sz w:val="24"/>
          <w:szCs w:val="24"/>
          <w:lang w:val="en-AU" w:eastAsia="en-AU"/>
        </w:rPr>
      </w:pPr>
      <w:r w:rsidRPr="00C73234">
        <w:rPr>
          <w:rFonts w:ascii="Times New Roman" w:hAnsi="Times New Roman"/>
          <w:noProof/>
        </w:rPr>
        <w:t>3.3.4</w:t>
      </w:r>
      <w:r w:rsidRPr="00C73234">
        <w:rPr>
          <w:rFonts w:ascii="Times New Roman" w:eastAsiaTheme="minorEastAsia" w:hAnsi="Times New Roman"/>
          <w:i w:val="0"/>
          <w:noProof/>
          <w:color w:val="auto"/>
          <w:sz w:val="24"/>
          <w:szCs w:val="24"/>
          <w:lang w:val="en-AU" w:eastAsia="en-AU"/>
        </w:rPr>
        <w:tab/>
      </w:r>
      <w:r w:rsidRPr="00C73234">
        <w:rPr>
          <w:rFonts w:ascii="Times New Roman" w:hAnsi="Times New Roman"/>
          <w:noProof/>
        </w:rPr>
        <w:t>Nitrogen Plasma Arc</w:t>
      </w:r>
      <w:r w:rsidRPr="00C73234">
        <w:rPr>
          <w:rFonts w:ascii="Times New Roman" w:hAnsi="Times New Roman"/>
          <w:noProof/>
        </w:rPr>
        <w:tab/>
      </w:r>
      <w:r w:rsidRPr="00C73234">
        <w:rPr>
          <w:rFonts w:ascii="Times New Roman" w:hAnsi="Times New Roman"/>
          <w:noProof/>
        </w:rPr>
        <w:fldChar w:fldCharType="begin"/>
      </w:r>
      <w:r w:rsidRPr="00C73234">
        <w:rPr>
          <w:rFonts w:ascii="Times New Roman" w:hAnsi="Times New Roman"/>
          <w:noProof/>
        </w:rPr>
        <w:instrText xml:space="preserve"> PAGEREF _Toc510531473 \h </w:instrText>
      </w:r>
      <w:r w:rsidRPr="00C73234">
        <w:rPr>
          <w:rFonts w:ascii="Times New Roman" w:hAnsi="Times New Roman"/>
          <w:noProof/>
        </w:rPr>
      </w:r>
      <w:r w:rsidRPr="00C73234">
        <w:rPr>
          <w:rFonts w:ascii="Times New Roman" w:hAnsi="Times New Roman"/>
          <w:noProof/>
        </w:rPr>
        <w:fldChar w:fldCharType="separate"/>
      </w:r>
      <w:r w:rsidR="00E65509">
        <w:rPr>
          <w:rFonts w:ascii="Times New Roman" w:hAnsi="Times New Roman"/>
          <w:noProof/>
        </w:rPr>
        <w:t>36</w:t>
      </w:r>
      <w:r w:rsidRPr="00C73234">
        <w:rPr>
          <w:rFonts w:ascii="Times New Roman" w:hAnsi="Times New Roman"/>
          <w:noProof/>
        </w:rPr>
        <w:fldChar w:fldCharType="end"/>
      </w:r>
    </w:p>
    <w:p w14:paraId="576C190A" w14:textId="2C3F9029" w:rsidR="00FC7374" w:rsidRPr="00C73234" w:rsidRDefault="00FC7374" w:rsidP="00C73234">
      <w:pPr>
        <w:pStyle w:val="TOC3"/>
        <w:tabs>
          <w:tab w:val="right" w:leader="dot" w:pos="8680"/>
        </w:tabs>
        <w:rPr>
          <w:rFonts w:ascii="Times New Roman" w:eastAsiaTheme="minorEastAsia" w:hAnsi="Times New Roman"/>
          <w:i w:val="0"/>
          <w:noProof/>
          <w:color w:val="auto"/>
          <w:sz w:val="24"/>
          <w:szCs w:val="24"/>
          <w:lang w:val="en-AU" w:eastAsia="en-AU"/>
        </w:rPr>
      </w:pPr>
      <w:r w:rsidRPr="00C73234">
        <w:rPr>
          <w:rFonts w:ascii="Times New Roman" w:hAnsi="Times New Roman"/>
          <w:noProof/>
        </w:rPr>
        <w:t>3.3.5</w:t>
      </w:r>
      <w:r w:rsidRPr="00C73234">
        <w:rPr>
          <w:rFonts w:ascii="Times New Roman" w:eastAsiaTheme="minorEastAsia" w:hAnsi="Times New Roman"/>
          <w:i w:val="0"/>
          <w:noProof/>
          <w:color w:val="auto"/>
          <w:sz w:val="24"/>
          <w:szCs w:val="24"/>
          <w:lang w:val="en-AU" w:eastAsia="en-AU"/>
        </w:rPr>
        <w:tab/>
      </w:r>
      <w:r w:rsidRPr="00C73234">
        <w:rPr>
          <w:rFonts w:ascii="Times New Roman" w:hAnsi="Times New Roman"/>
          <w:noProof/>
        </w:rPr>
        <w:t>Portable Plasma Arc</w:t>
      </w:r>
      <w:r w:rsidRPr="00C73234">
        <w:rPr>
          <w:rFonts w:ascii="Times New Roman" w:hAnsi="Times New Roman"/>
          <w:noProof/>
        </w:rPr>
        <w:tab/>
      </w:r>
      <w:r w:rsidRPr="00C73234">
        <w:rPr>
          <w:rFonts w:ascii="Times New Roman" w:hAnsi="Times New Roman"/>
          <w:noProof/>
        </w:rPr>
        <w:fldChar w:fldCharType="begin"/>
      </w:r>
      <w:r w:rsidRPr="00C73234">
        <w:rPr>
          <w:rFonts w:ascii="Times New Roman" w:hAnsi="Times New Roman"/>
          <w:noProof/>
        </w:rPr>
        <w:instrText xml:space="preserve"> PAGEREF _Toc510531474 \h </w:instrText>
      </w:r>
      <w:r w:rsidRPr="00C73234">
        <w:rPr>
          <w:rFonts w:ascii="Times New Roman" w:hAnsi="Times New Roman"/>
          <w:noProof/>
        </w:rPr>
      </w:r>
      <w:r w:rsidRPr="00C73234">
        <w:rPr>
          <w:rFonts w:ascii="Times New Roman" w:hAnsi="Times New Roman"/>
          <w:noProof/>
        </w:rPr>
        <w:fldChar w:fldCharType="separate"/>
      </w:r>
      <w:r w:rsidR="00E65509">
        <w:rPr>
          <w:rFonts w:ascii="Times New Roman" w:hAnsi="Times New Roman"/>
          <w:noProof/>
        </w:rPr>
        <w:t>37</w:t>
      </w:r>
      <w:r w:rsidRPr="00C73234">
        <w:rPr>
          <w:rFonts w:ascii="Times New Roman" w:hAnsi="Times New Roman"/>
          <w:noProof/>
        </w:rPr>
        <w:fldChar w:fldCharType="end"/>
      </w:r>
    </w:p>
    <w:p w14:paraId="6909737D" w14:textId="5A1E8075" w:rsidR="00FC7374" w:rsidRPr="00C73234" w:rsidRDefault="00FC7374" w:rsidP="00C73234">
      <w:pPr>
        <w:pStyle w:val="TOC2"/>
        <w:tabs>
          <w:tab w:val="right" w:leader="dot" w:pos="8680"/>
        </w:tabs>
        <w:rPr>
          <w:rFonts w:ascii="Times New Roman" w:eastAsiaTheme="minorEastAsia" w:hAnsi="Times New Roman"/>
          <w:b w:val="0"/>
          <w:smallCaps w:val="0"/>
          <w:color w:val="auto"/>
          <w:sz w:val="24"/>
          <w:szCs w:val="24"/>
          <w:lang w:val="en-AU" w:eastAsia="en-AU"/>
        </w:rPr>
      </w:pPr>
      <w:r w:rsidRPr="00C73234">
        <w:rPr>
          <w:rFonts w:ascii="Times New Roman" w:hAnsi="Times New Roman"/>
        </w:rPr>
        <w:lastRenderedPageBreak/>
        <w:t>3.4</w:t>
      </w:r>
      <w:r w:rsidRPr="00C73234">
        <w:rPr>
          <w:rFonts w:ascii="Times New Roman" w:eastAsiaTheme="minorEastAsia" w:hAnsi="Times New Roman"/>
          <w:b w:val="0"/>
          <w:smallCaps w:val="0"/>
          <w:color w:val="auto"/>
          <w:sz w:val="24"/>
          <w:szCs w:val="24"/>
          <w:lang w:val="en-AU" w:eastAsia="en-AU"/>
        </w:rPr>
        <w:tab/>
      </w:r>
      <w:r w:rsidRPr="00C73234">
        <w:rPr>
          <w:rFonts w:ascii="Times New Roman" w:hAnsi="Times New Roman"/>
        </w:rPr>
        <w:t>Conversion (or non-incineration) technologies</w:t>
      </w:r>
      <w:r w:rsidRPr="00C73234">
        <w:rPr>
          <w:rFonts w:ascii="Times New Roman" w:hAnsi="Times New Roman"/>
        </w:rPr>
        <w:tab/>
      </w:r>
      <w:r w:rsidRPr="00C73234">
        <w:rPr>
          <w:rFonts w:ascii="Times New Roman" w:hAnsi="Times New Roman"/>
        </w:rPr>
        <w:fldChar w:fldCharType="begin"/>
      </w:r>
      <w:r w:rsidRPr="00C73234">
        <w:rPr>
          <w:rFonts w:ascii="Times New Roman" w:hAnsi="Times New Roman"/>
        </w:rPr>
        <w:instrText xml:space="preserve"> PAGEREF _Toc510531475 \h </w:instrText>
      </w:r>
      <w:r w:rsidRPr="00C73234">
        <w:rPr>
          <w:rFonts w:ascii="Times New Roman" w:hAnsi="Times New Roman"/>
        </w:rPr>
      </w:r>
      <w:r w:rsidRPr="00C73234">
        <w:rPr>
          <w:rFonts w:ascii="Times New Roman" w:hAnsi="Times New Roman"/>
        </w:rPr>
        <w:fldChar w:fldCharType="separate"/>
      </w:r>
      <w:r w:rsidR="00E65509">
        <w:rPr>
          <w:rFonts w:ascii="Times New Roman" w:hAnsi="Times New Roman"/>
        </w:rPr>
        <w:t>38</w:t>
      </w:r>
      <w:r w:rsidRPr="00C73234">
        <w:rPr>
          <w:rFonts w:ascii="Times New Roman" w:hAnsi="Times New Roman"/>
        </w:rPr>
        <w:fldChar w:fldCharType="end"/>
      </w:r>
    </w:p>
    <w:p w14:paraId="2AA080F7" w14:textId="3DCBDF85" w:rsidR="00FC7374" w:rsidRPr="00C73234" w:rsidRDefault="00FC7374" w:rsidP="00C73234">
      <w:pPr>
        <w:pStyle w:val="TOC3"/>
        <w:tabs>
          <w:tab w:val="right" w:leader="dot" w:pos="8680"/>
        </w:tabs>
        <w:rPr>
          <w:rFonts w:ascii="Times New Roman" w:eastAsiaTheme="minorEastAsia" w:hAnsi="Times New Roman"/>
          <w:i w:val="0"/>
          <w:noProof/>
          <w:color w:val="auto"/>
          <w:sz w:val="24"/>
          <w:szCs w:val="24"/>
          <w:lang w:val="en-AU" w:eastAsia="en-AU"/>
        </w:rPr>
      </w:pPr>
      <w:r w:rsidRPr="00C73234">
        <w:rPr>
          <w:rFonts w:ascii="Times New Roman" w:hAnsi="Times New Roman"/>
          <w:noProof/>
        </w:rPr>
        <w:t>3.4.1</w:t>
      </w:r>
      <w:r w:rsidRPr="00C73234">
        <w:rPr>
          <w:rFonts w:ascii="Times New Roman" w:eastAsiaTheme="minorEastAsia" w:hAnsi="Times New Roman"/>
          <w:i w:val="0"/>
          <w:noProof/>
          <w:color w:val="auto"/>
          <w:sz w:val="24"/>
          <w:szCs w:val="24"/>
          <w:lang w:val="en-AU" w:eastAsia="en-AU"/>
        </w:rPr>
        <w:tab/>
      </w:r>
      <w:r w:rsidRPr="00C73234">
        <w:rPr>
          <w:rFonts w:ascii="Times New Roman" w:hAnsi="Times New Roman"/>
          <w:noProof/>
        </w:rPr>
        <w:t>Chemical Reaction with H</w:t>
      </w:r>
      <w:r w:rsidRPr="00C73234">
        <w:rPr>
          <w:rFonts w:ascii="Times New Roman" w:hAnsi="Times New Roman"/>
          <w:noProof/>
          <w:vertAlign w:val="subscript"/>
        </w:rPr>
        <w:t>2</w:t>
      </w:r>
      <w:r w:rsidRPr="00C73234">
        <w:rPr>
          <w:rFonts w:ascii="Times New Roman" w:hAnsi="Times New Roman"/>
          <w:noProof/>
        </w:rPr>
        <w:t xml:space="preserve"> and CO</w:t>
      </w:r>
      <w:r w:rsidRPr="00C73234">
        <w:rPr>
          <w:rFonts w:ascii="Times New Roman" w:hAnsi="Times New Roman"/>
          <w:noProof/>
          <w:vertAlign w:val="subscript"/>
        </w:rPr>
        <w:t>2</w:t>
      </w:r>
      <w:r w:rsidRPr="00C73234">
        <w:rPr>
          <w:rFonts w:ascii="Times New Roman" w:hAnsi="Times New Roman"/>
          <w:noProof/>
        </w:rPr>
        <w:tab/>
      </w:r>
      <w:r w:rsidRPr="00C73234">
        <w:rPr>
          <w:rFonts w:ascii="Times New Roman" w:hAnsi="Times New Roman"/>
          <w:noProof/>
        </w:rPr>
        <w:fldChar w:fldCharType="begin"/>
      </w:r>
      <w:r w:rsidRPr="00C73234">
        <w:rPr>
          <w:rFonts w:ascii="Times New Roman" w:hAnsi="Times New Roman"/>
          <w:noProof/>
        </w:rPr>
        <w:instrText xml:space="preserve"> PAGEREF _Toc510531476 \h </w:instrText>
      </w:r>
      <w:r w:rsidRPr="00C73234">
        <w:rPr>
          <w:rFonts w:ascii="Times New Roman" w:hAnsi="Times New Roman"/>
          <w:noProof/>
        </w:rPr>
      </w:r>
      <w:r w:rsidRPr="00C73234">
        <w:rPr>
          <w:rFonts w:ascii="Times New Roman" w:hAnsi="Times New Roman"/>
          <w:noProof/>
        </w:rPr>
        <w:fldChar w:fldCharType="separate"/>
      </w:r>
      <w:r w:rsidR="00E65509">
        <w:rPr>
          <w:rFonts w:ascii="Times New Roman" w:hAnsi="Times New Roman"/>
          <w:noProof/>
        </w:rPr>
        <w:t>38</w:t>
      </w:r>
      <w:r w:rsidRPr="00C73234">
        <w:rPr>
          <w:rFonts w:ascii="Times New Roman" w:hAnsi="Times New Roman"/>
          <w:noProof/>
        </w:rPr>
        <w:fldChar w:fldCharType="end"/>
      </w:r>
    </w:p>
    <w:p w14:paraId="6A80558D" w14:textId="3E97013C" w:rsidR="00FC7374" w:rsidRPr="00C73234" w:rsidRDefault="00FC7374" w:rsidP="00C73234">
      <w:pPr>
        <w:pStyle w:val="TOC3"/>
        <w:tabs>
          <w:tab w:val="right" w:leader="dot" w:pos="8680"/>
        </w:tabs>
        <w:rPr>
          <w:rFonts w:ascii="Times New Roman" w:eastAsiaTheme="minorEastAsia" w:hAnsi="Times New Roman"/>
          <w:i w:val="0"/>
          <w:noProof/>
          <w:color w:val="auto"/>
          <w:sz w:val="24"/>
          <w:szCs w:val="24"/>
          <w:lang w:val="en-AU" w:eastAsia="en-AU"/>
        </w:rPr>
      </w:pPr>
      <w:r w:rsidRPr="00C73234">
        <w:rPr>
          <w:rFonts w:ascii="Times New Roman" w:hAnsi="Times New Roman"/>
          <w:noProof/>
        </w:rPr>
        <w:t>3.4.2</w:t>
      </w:r>
      <w:r w:rsidRPr="00C73234">
        <w:rPr>
          <w:rFonts w:ascii="Times New Roman" w:eastAsiaTheme="minorEastAsia" w:hAnsi="Times New Roman"/>
          <w:i w:val="0"/>
          <w:noProof/>
          <w:color w:val="auto"/>
          <w:sz w:val="24"/>
          <w:szCs w:val="24"/>
          <w:lang w:val="en-AU" w:eastAsia="en-AU"/>
        </w:rPr>
        <w:tab/>
      </w:r>
      <w:r w:rsidRPr="00C73234">
        <w:rPr>
          <w:rFonts w:ascii="Times New Roman" w:hAnsi="Times New Roman"/>
          <w:noProof/>
        </w:rPr>
        <w:t>Gas Phase Catalytic De-halogenation</w:t>
      </w:r>
      <w:r w:rsidRPr="00C73234">
        <w:rPr>
          <w:rFonts w:ascii="Times New Roman" w:hAnsi="Times New Roman"/>
          <w:noProof/>
        </w:rPr>
        <w:tab/>
      </w:r>
      <w:r w:rsidRPr="00C73234">
        <w:rPr>
          <w:rFonts w:ascii="Times New Roman" w:hAnsi="Times New Roman"/>
          <w:noProof/>
        </w:rPr>
        <w:fldChar w:fldCharType="begin"/>
      </w:r>
      <w:r w:rsidRPr="00C73234">
        <w:rPr>
          <w:rFonts w:ascii="Times New Roman" w:hAnsi="Times New Roman"/>
          <w:noProof/>
        </w:rPr>
        <w:instrText xml:space="preserve"> PAGEREF _Toc510531477 \h </w:instrText>
      </w:r>
      <w:r w:rsidRPr="00C73234">
        <w:rPr>
          <w:rFonts w:ascii="Times New Roman" w:hAnsi="Times New Roman"/>
          <w:noProof/>
        </w:rPr>
      </w:r>
      <w:r w:rsidRPr="00C73234">
        <w:rPr>
          <w:rFonts w:ascii="Times New Roman" w:hAnsi="Times New Roman"/>
          <w:noProof/>
        </w:rPr>
        <w:fldChar w:fldCharType="separate"/>
      </w:r>
      <w:r w:rsidR="00E65509">
        <w:rPr>
          <w:rFonts w:ascii="Times New Roman" w:hAnsi="Times New Roman"/>
          <w:noProof/>
        </w:rPr>
        <w:t>39</w:t>
      </w:r>
      <w:r w:rsidRPr="00C73234">
        <w:rPr>
          <w:rFonts w:ascii="Times New Roman" w:hAnsi="Times New Roman"/>
          <w:noProof/>
        </w:rPr>
        <w:fldChar w:fldCharType="end"/>
      </w:r>
    </w:p>
    <w:p w14:paraId="585EE98C" w14:textId="11844949" w:rsidR="00FC7374" w:rsidRPr="00C73234" w:rsidRDefault="00FC7374" w:rsidP="00C73234">
      <w:pPr>
        <w:pStyle w:val="TOC3"/>
        <w:tabs>
          <w:tab w:val="right" w:leader="dot" w:pos="8680"/>
        </w:tabs>
        <w:rPr>
          <w:rFonts w:ascii="Times New Roman" w:eastAsiaTheme="minorEastAsia" w:hAnsi="Times New Roman"/>
          <w:i w:val="0"/>
          <w:noProof/>
          <w:color w:val="auto"/>
          <w:sz w:val="24"/>
          <w:szCs w:val="24"/>
          <w:lang w:val="en-AU" w:eastAsia="en-AU"/>
        </w:rPr>
      </w:pPr>
      <w:r w:rsidRPr="00C73234">
        <w:rPr>
          <w:rFonts w:ascii="Times New Roman" w:hAnsi="Times New Roman"/>
          <w:noProof/>
        </w:rPr>
        <w:t>3.4.3</w:t>
      </w:r>
      <w:r w:rsidRPr="00C73234">
        <w:rPr>
          <w:rFonts w:ascii="Times New Roman" w:eastAsiaTheme="minorEastAsia" w:hAnsi="Times New Roman"/>
          <w:i w:val="0"/>
          <w:noProof/>
          <w:color w:val="auto"/>
          <w:sz w:val="24"/>
          <w:szCs w:val="24"/>
          <w:lang w:val="en-AU" w:eastAsia="en-AU"/>
        </w:rPr>
        <w:tab/>
      </w:r>
      <w:r w:rsidRPr="00C73234">
        <w:rPr>
          <w:rFonts w:ascii="Times New Roman" w:hAnsi="Times New Roman"/>
          <w:noProof/>
        </w:rPr>
        <w:t>Superheated steam reactor</w:t>
      </w:r>
      <w:r w:rsidRPr="00C73234">
        <w:rPr>
          <w:rFonts w:ascii="Times New Roman" w:hAnsi="Times New Roman"/>
          <w:noProof/>
        </w:rPr>
        <w:tab/>
      </w:r>
      <w:r w:rsidRPr="00C73234">
        <w:rPr>
          <w:rFonts w:ascii="Times New Roman" w:hAnsi="Times New Roman"/>
          <w:noProof/>
        </w:rPr>
        <w:fldChar w:fldCharType="begin"/>
      </w:r>
      <w:r w:rsidRPr="00C73234">
        <w:rPr>
          <w:rFonts w:ascii="Times New Roman" w:hAnsi="Times New Roman"/>
          <w:noProof/>
        </w:rPr>
        <w:instrText xml:space="preserve"> PAGEREF _Toc510531478 \h </w:instrText>
      </w:r>
      <w:r w:rsidRPr="00C73234">
        <w:rPr>
          <w:rFonts w:ascii="Times New Roman" w:hAnsi="Times New Roman"/>
          <w:noProof/>
        </w:rPr>
      </w:r>
      <w:r w:rsidRPr="00C73234">
        <w:rPr>
          <w:rFonts w:ascii="Times New Roman" w:hAnsi="Times New Roman"/>
          <w:noProof/>
        </w:rPr>
        <w:fldChar w:fldCharType="separate"/>
      </w:r>
      <w:r w:rsidR="00E65509">
        <w:rPr>
          <w:rFonts w:ascii="Times New Roman" w:hAnsi="Times New Roman"/>
          <w:noProof/>
        </w:rPr>
        <w:t>40</w:t>
      </w:r>
      <w:r w:rsidRPr="00C73234">
        <w:rPr>
          <w:rFonts w:ascii="Times New Roman" w:hAnsi="Times New Roman"/>
          <w:noProof/>
        </w:rPr>
        <w:fldChar w:fldCharType="end"/>
      </w:r>
    </w:p>
    <w:p w14:paraId="4C328C35" w14:textId="551FA2EE" w:rsidR="00FC7374" w:rsidRPr="00C73234" w:rsidRDefault="00FC7374" w:rsidP="00C73234">
      <w:pPr>
        <w:pStyle w:val="TOC3"/>
        <w:tabs>
          <w:tab w:val="right" w:leader="dot" w:pos="8680"/>
        </w:tabs>
        <w:rPr>
          <w:rFonts w:ascii="Times New Roman" w:eastAsiaTheme="minorEastAsia" w:hAnsi="Times New Roman"/>
          <w:i w:val="0"/>
          <w:noProof/>
          <w:color w:val="auto"/>
          <w:sz w:val="24"/>
          <w:szCs w:val="24"/>
          <w:lang w:val="en-AU" w:eastAsia="en-AU"/>
        </w:rPr>
      </w:pPr>
      <w:r w:rsidRPr="00C73234">
        <w:rPr>
          <w:rFonts w:ascii="Times New Roman" w:hAnsi="Times New Roman"/>
          <w:noProof/>
        </w:rPr>
        <w:t>3.4.4</w:t>
      </w:r>
      <w:r w:rsidRPr="00C73234">
        <w:rPr>
          <w:rFonts w:ascii="Times New Roman" w:eastAsiaTheme="minorEastAsia" w:hAnsi="Times New Roman"/>
          <w:i w:val="0"/>
          <w:noProof/>
          <w:color w:val="auto"/>
          <w:sz w:val="24"/>
          <w:szCs w:val="24"/>
          <w:lang w:val="en-AU" w:eastAsia="en-AU"/>
        </w:rPr>
        <w:tab/>
      </w:r>
      <w:r w:rsidRPr="00C73234">
        <w:rPr>
          <w:rFonts w:ascii="Times New Roman" w:hAnsi="Times New Roman"/>
          <w:noProof/>
        </w:rPr>
        <w:t>Thermal Reaction with Methane</w:t>
      </w:r>
      <w:r w:rsidRPr="00C73234">
        <w:rPr>
          <w:rFonts w:ascii="Times New Roman" w:hAnsi="Times New Roman"/>
          <w:noProof/>
        </w:rPr>
        <w:tab/>
      </w:r>
      <w:r w:rsidRPr="00C73234">
        <w:rPr>
          <w:rFonts w:ascii="Times New Roman" w:hAnsi="Times New Roman"/>
          <w:noProof/>
        </w:rPr>
        <w:fldChar w:fldCharType="begin"/>
      </w:r>
      <w:r w:rsidRPr="00C73234">
        <w:rPr>
          <w:rFonts w:ascii="Times New Roman" w:hAnsi="Times New Roman"/>
          <w:noProof/>
        </w:rPr>
        <w:instrText xml:space="preserve"> PAGEREF _Toc510531479 \h </w:instrText>
      </w:r>
      <w:r w:rsidRPr="00C73234">
        <w:rPr>
          <w:rFonts w:ascii="Times New Roman" w:hAnsi="Times New Roman"/>
          <w:noProof/>
        </w:rPr>
      </w:r>
      <w:r w:rsidRPr="00C73234">
        <w:rPr>
          <w:rFonts w:ascii="Times New Roman" w:hAnsi="Times New Roman"/>
          <w:noProof/>
        </w:rPr>
        <w:fldChar w:fldCharType="separate"/>
      </w:r>
      <w:r w:rsidR="00E65509">
        <w:rPr>
          <w:rFonts w:ascii="Times New Roman" w:hAnsi="Times New Roman"/>
          <w:noProof/>
        </w:rPr>
        <w:t>41</w:t>
      </w:r>
      <w:r w:rsidRPr="00C73234">
        <w:rPr>
          <w:rFonts w:ascii="Times New Roman" w:hAnsi="Times New Roman"/>
          <w:noProof/>
        </w:rPr>
        <w:fldChar w:fldCharType="end"/>
      </w:r>
    </w:p>
    <w:p w14:paraId="4A3999C1" w14:textId="40612362" w:rsidR="00FC7374" w:rsidRPr="00C73234" w:rsidRDefault="00FC7374" w:rsidP="00C73234">
      <w:pPr>
        <w:pStyle w:val="TOC1"/>
        <w:rPr>
          <w:rFonts w:ascii="Times New Roman" w:eastAsiaTheme="minorEastAsia" w:hAnsi="Times New Roman"/>
          <w:b w:val="0"/>
          <w:caps w:val="0"/>
          <w:noProof/>
          <w:color w:val="auto"/>
          <w:sz w:val="24"/>
          <w:szCs w:val="24"/>
          <w:lang w:val="en-AU" w:eastAsia="en-AU"/>
        </w:rPr>
      </w:pPr>
      <w:r w:rsidRPr="00C73234">
        <w:rPr>
          <w:rFonts w:ascii="Times New Roman" w:hAnsi="Times New Roman"/>
          <w:noProof/>
        </w:rPr>
        <w:t>4</w:t>
      </w:r>
      <w:r w:rsidRPr="00C73234">
        <w:rPr>
          <w:rFonts w:ascii="Times New Roman" w:eastAsiaTheme="minorEastAsia" w:hAnsi="Times New Roman"/>
          <w:b w:val="0"/>
          <w:caps w:val="0"/>
          <w:noProof/>
          <w:color w:val="auto"/>
          <w:sz w:val="24"/>
          <w:szCs w:val="24"/>
          <w:lang w:val="en-AU" w:eastAsia="en-AU"/>
        </w:rPr>
        <w:tab/>
      </w:r>
      <w:r w:rsidRPr="00C73234">
        <w:rPr>
          <w:rFonts w:ascii="Times New Roman" w:hAnsi="Times New Roman"/>
          <w:noProof/>
        </w:rPr>
        <w:t>Assessment of any other technology for possible inclusion in the list of approved destruction technologies in relation to controlled substances</w:t>
      </w:r>
      <w:r w:rsidRPr="00C73234">
        <w:rPr>
          <w:rFonts w:ascii="Times New Roman" w:hAnsi="Times New Roman"/>
          <w:noProof/>
        </w:rPr>
        <w:tab/>
      </w:r>
      <w:r w:rsidRPr="00C73234">
        <w:rPr>
          <w:rFonts w:ascii="Times New Roman" w:hAnsi="Times New Roman"/>
          <w:noProof/>
        </w:rPr>
        <w:fldChar w:fldCharType="begin"/>
      </w:r>
      <w:r w:rsidRPr="00C73234">
        <w:rPr>
          <w:rFonts w:ascii="Times New Roman" w:hAnsi="Times New Roman"/>
          <w:noProof/>
        </w:rPr>
        <w:instrText xml:space="preserve"> PAGEREF _Toc510531480 \h </w:instrText>
      </w:r>
      <w:r w:rsidRPr="00C73234">
        <w:rPr>
          <w:rFonts w:ascii="Times New Roman" w:hAnsi="Times New Roman"/>
          <w:noProof/>
        </w:rPr>
      </w:r>
      <w:r w:rsidRPr="00C73234">
        <w:rPr>
          <w:rFonts w:ascii="Times New Roman" w:hAnsi="Times New Roman"/>
          <w:noProof/>
        </w:rPr>
        <w:fldChar w:fldCharType="separate"/>
      </w:r>
      <w:r w:rsidR="00E65509">
        <w:rPr>
          <w:rFonts w:ascii="Times New Roman" w:hAnsi="Times New Roman"/>
          <w:noProof/>
        </w:rPr>
        <w:t>43</w:t>
      </w:r>
      <w:r w:rsidRPr="00C73234">
        <w:rPr>
          <w:rFonts w:ascii="Times New Roman" w:hAnsi="Times New Roman"/>
          <w:noProof/>
        </w:rPr>
        <w:fldChar w:fldCharType="end"/>
      </w:r>
    </w:p>
    <w:p w14:paraId="1ECC6C6A" w14:textId="69B58A8D" w:rsidR="00FC7374" w:rsidRPr="00C73234" w:rsidRDefault="00FC7374" w:rsidP="00C73234">
      <w:pPr>
        <w:pStyle w:val="TOC2"/>
        <w:tabs>
          <w:tab w:val="right" w:leader="dot" w:pos="8680"/>
        </w:tabs>
        <w:rPr>
          <w:rFonts w:ascii="Times New Roman" w:eastAsiaTheme="minorEastAsia" w:hAnsi="Times New Roman"/>
          <w:b w:val="0"/>
          <w:smallCaps w:val="0"/>
          <w:color w:val="auto"/>
          <w:sz w:val="24"/>
          <w:szCs w:val="24"/>
          <w:lang w:val="en-AU" w:eastAsia="en-AU"/>
        </w:rPr>
      </w:pPr>
      <w:r w:rsidRPr="00C73234">
        <w:rPr>
          <w:rFonts w:ascii="Times New Roman" w:hAnsi="Times New Roman"/>
        </w:rPr>
        <w:t>4.1</w:t>
      </w:r>
      <w:r w:rsidRPr="00C73234">
        <w:rPr>
          <w:rFonts w:ascii="Times New Roman" w:eastAsiaTheme="minorEastAsia" w:hAnsi="Times New Roman"/>
          <w:b w:val="0"/>
          <w:smallCaps w:val="0"/>
          <w:color w:val="auto"/>
          <w:sz w:val="24"/>
          <w:szCs w:val="24"/>
          <w:lang w:val="en-AU" w:eastAsia="en-AU"/>
        </w:rPr>
        <w:tab/>
      </w:r>
      <w:r w:rsidRPr="00C73234">
        <w:rPr>
          <w:rFonts w:ascii="Times New Roman" w:hAnsi="Times New Roman"/>
        </w:rPr>
        <w:t>Thermal Oxidation</w:t>
      </w:r>
      <w:r w:rsidRPr="00C73234">
        <w:rPr>
          <w:rFonts w:ascii="Times New Roman" w:hAnsi="Times New Roman"/>
        </w:rPr>
        <w:tab/>
      </w:r>
      <w:r w:rsidRPr="00C73234">
        <w:rPr>
          <w:rFonts w:ascii="Times New Roman" w:hAnsi="Times New Roman"/>
        </w:rPr>
        <w:fldChar w:fldCharType="begin"/>
      </w:r>
      <w:r w:rsidRPr="00C73234">
        <w:rPr>
          <w:rFonts w:ascii="Times New Roman" w:hAnsi="Times New Roman"/>
        </w:rPr>
        <w:instrText xml:space="preserve"> PAGEREF _Toc510531481 \h </w:instrText>
      </w:r>
      <w:r w:rsidRPr="00C73234">
        <w:rPr>
          <w:rFonts w:ascii="Times New Roman" w:hAnsi="Times New Roman"/>
        </w:rPr>
      </w:r>
      <w:r w:rsidRPr="00C73234">
        <w:rPr>
          <w:rFonts w:ascii="Times New Roman" w:hAnsi="Times New Roman"/>
        </w:rPr>
        <w:fldChar w:fldCharType="separate"/>
      </w:r>
      <w:r w:rsidR="00E65509">
        <w:rPr>
          <w:rFonts w:ascii="Times New Roman" w:hAnsi="Times New Roman"/>
        </w:rPr>
        <w:t>43</w:t>
      </w:r>
      <w:r w:rsidRPr="00C73234">
        <w:rPr>
          <w:rFonts w:ascii="Times New Roman" w:hAnsi="Times New Roman"/>
        </w:rPr>
        <w:fldChar w:fldCharType="end"/>
      </w:r>
    </w:p>
    <w:p w14:paraId="2367D62E" w14:textId="7EF4F665" w:rsidR="00FC7374" w:rsidRPr="00C73234" w:rsidRDefault="00FC7374" w:rsidP="00C73234">
      <w:pPr>
        <w:pStyle w:val="TOC3"/>
        <w:tabs>
          <w:tab w:val="right" w:leader="dot" w:pos="8680"/>
        </w:tabs>
        <w:rPr>
          <w:rFonts w:ascii="Times New Roman" w:eastAsiaTheme="minorEastAsia" w:hAnsi="Times New Roman"/>
          <w:i w:val="0"/>
          <w:noProof/>
          <w:color w:val="auto"/>
          <w:sz w:val="24"/>
          <w:szCs w:val="24"/>
          <w:lang w:val="en-AU" w:eastAsia="en-AU"/>
        </w:rPr>
      </w:pPr>
      <w:r w:rsidRPr="00C73234">
        <w:rPr>
          <w:rFonts w:ascii="Times New Roman" w:hAnsi="Times New Roman"/>
          <w:noProof/>
        </w:rPr>
        <w:t>4.1.1</w:t>
      </w:r>
      <w:r w:rsidRPr="00C73234">
        <w:rPr>
          <w:rFonts w:ascii="Times New Roman" w:eastAsiaTheme="minorEastAsia" w:hAnsi="Times New Roman"/>
          <w:i w:val="0"/>
          <w:noProof/>
          <w:color w:val="auto"/>
          <w:sz w:val="24"/>
          <w:szCs w:val="24"/>
          <w:lang w:val="en-AU" w:eastAsia="en-AU"/>
        </w:rPr>
        <w:tab/>
      </w:r>
      <w:r w:rsidRPr="00C73234">
        <w:rPr>
          <w:rFonts w:ascii="Times New Roman" w:hAnsi="Times New Roman"/>
          <w:noProof/>
        </w:rPr>
        <w:t>Electric Heater</w:t>
      </w:r>
      <w:r w:rsidRPr="00C73234">
        <w:rPr>
          <w:rFonts w:ascii="Times New Roman" w:hAnsi="Times New Roman"/>
          <w:noProof/>
        </w:rPr>
        <w:tab/>
      </w:r>
      <w:r w:rsidRPr="00C73234">
        <w:rPr>
          <w:rFonts w:ascii="Times New Roman" w:hAnsi="Times New Roman"/>
          <w:noProof/>
        </w:rPr>
        <w:fldChar w:fldCharType="begin"/>
      </w:r>
      <w:r w:rsidRPr="00C73234">
        <w:rPr>
          <w:rFonts w:ascii="Times New Roman" w:hAnsi="Times New Roman"/>
          <w:noProof/>
        </w:rPr>
        <w:instrText xml:space="preserve"> PAGEREF _Toc510531482 \h </w:instrText>
      </w:r>
      <w:r w:rsidRPr="00C73234">
        <w:rPr>
          <w:rFonts w:ascii="Times New Roman" w:hAnsi="Times New Roman"/>
          <w:noProof/>
        </w:rPr>
      </w:r>
      <w:r w:rsidRPr="00C73234">
        <w:rPr>
          <w:rFonts w:ascii="Times New Roman" w:hAnsi="Times New Roman"/>
          <w:noProof/>
        </w:rPr>
        <w:fldChar w:fldCharType="separate"/>
      </w:r>
      <w:r w:rsidR="00E65509">
        <w:rPr>
          <w:rFonts w:ascii="Times New Roman" w:hAnsi="Times New Roman"/>
          <w:noProof/>
        </w:rPr>
        <w:t>43</w:t>
      </w:r>
      <w:r w:rsidRPr="00C73234">
        <w:rPr>
          <w:rFonts w:ascii="Times New Roman" w:hAnsi="Times New Roman"/>
          <w:noProof/>
        </w:rPr>
        <w:fldChar w:fldCharType="end"/>
      </w:r>
    </w:p>
    <w:p w14:paraId="61907AFA" w14:textId="3127BCCE" w:rsidR="00FC7374" w:rsidRPr="00C73234" w:rsidRDefault="00FC7374" w:rsidP="00C73234">
      <w:pPr>
        <w:pStyle w:val="TOC3"/>
        <w:tabs>
          <w:tab w:val="right" w:leader="dot" w:pos="8680"/>
        </w:tabs>
        <w:rPr>
          <w:rFonts w:ascii="Times New Roman" w:eastAsiaTheme="minorEastAsia" w:hAnsi="Times New Roman"/>
          <w:i w:val="0"/>
          <w:noProof/>
          <w:color w:val="auto"/>
          <w:sz w:val="24"/>
          <w:szCs w:val="24"/>
          <w:lang w:val="en-AU" w:eastAsia="en-AU"/>
        </w:rPr>
      </w:pPr>
      <w:r w:rsidRPr="00C73234">
        <w:rPr>
          <w:rFonts w:ascii="Times New Roman" w:hAnsi="Times New Roman"/>
          <w:noProof/>
        </w:rPr>
        <w:t>4.1.2</w:t>
      </w:r>
      <w:r w:rsidRPr="00C73234">
        <w:rPr>
          <w:rFonts w:ascii="Times New Roman" w:eastAsiaTheme="minorEastAsia" w:hAnsi="Times New Roman"/>
          <w:i w:val="0"/>
          <w:noProof/>
          <w:color w:val="auto"/>
          <w:sz w:val="24"/>
          <w:szCs w:val="24"/>
          <w:lang w:val="en-AU" w:eastAsia="en-AU"/>
        </w:rPr>
        <w:tab/>
      </w:r>
      <w:r w:rsidRPr="00C73234">
        <w:rPr>
          <w:rFonts w:ascii="Times New Roman" w:hAnsi="Times New Roman"/>
          <w:noProof/>
        </w:rPr>
        <w:t>Fixed Hearth Incinerator</w:t>
      </w:r>
      <w:r w:rsidRPr="00C73234">
        <w:rPr>
          <w:rFonts w:ascii="Times New Roman" w:hAnsi="Times New Roman"/>
          <w:noProof/>
        </w:rPr>
        <w:tab/>
      </w:r>
      <w:r w:rsidRPr="00C73234">
        <w:rPr>
          <w:rFonts w:ascii="Times New Roman" w:hAnsi="Times New Roman"/>
          <w:noProof/>
        </w:rPr>
        <w:fldChar w:fldCharType="begin"/>
      </w:r>
      <w:r w:rsidRPr="00C73234">
        <w:rPr>
          <w:rFonts w:ascii="Times New Roman" w:hAnsi="Times New Roman"/>
          <w:noProof/>
        </w:rPr>
        <w:instrText xml:space="preserve"> PAGEREF _Toc510531483 \h </w:instrText>
      </w:r>
      <w:r w:rsidRPr="00C73234">
        <w:rPr>
          <w:rFonts w:ascii="Times New Roman" w:hAnsi="Times New Roman"/>
          <w:noProof/>
        </w:rPr>
      </w:r>
      <w:r w:rsidRPr="00C73234">
        <w:rPr>
          <w:rFonts w:ascii="Times New Roman" w:hAnsi="Times New Roman"/>
          <w:noProof/>
        </w:rPr>
        <w:fldChar w:fldCharType="separate"/>
      </w:r>
      <w:r w:rsidR="00E65509">
        <w:rPr>
          <w:rFonts w:ascii="Times New Roman" w:hAnsi="Times New Roman"/>
          <w:noProof/>
        </w:rPr>
        <w:t>44</w:t>
      </w:r>
      <w:r w:rsidRPr="00C73234">
        <w:rPr>
          <w:rFonts w:ascii="Times New Roman" w:hAnsi="Times New Roman"/>
          <w:noProof/>
        </w:rPr>
        <w:fldChar w:fldCharType="end"/>
      </w:r>
    </w:p>
    <w:p w14:paraId="7ECAA19B" w14:textId="275A6969" w:rsidR="00FC7374" w:rsidRPr="00C73234" w:rsidRDefault="00FC7374" w:rsidP="00C73234">
      <w:pPr>
        <w:pStyle w:val="TOC3"/>
        <w:tabs>
          <w:tab w:val="right" w:leader="dot" w:pos="8680"/>
        </w:tabs>
        <w:rPr>
          <w:rFonts w:ascii="Times New Roman" w:eastAsiaTheme="minorEastAsia" w:hAnsi="Times New Roman"/>
          <w:i w:val="0"/>
          <w:noProof/>
          <w:color w:val="auto"/>
          <w:sz w:val="24"/>
          <w:szCs w:val="24"/>
          <w:lang w:val="en-AU" w:eastAsia="en-AU"/>
        </w:rPr>
      </w:pPr>
      <w:r w:rsidRPr="00C73234">
        <w:rPr>
          <w:rFonts w:ascii="Times New Roman" w:hAnsi="Times New Roman"/>
          <w:noProof/>
        </w:rPr>
        <w:t>4.1.3</w:t>
      </w:r>
      <w:r w:rsidRPr="00C73234">
        <w:rPr>
          <w:rFonts w:ascii="Times New Roman" w:eastAsiaTheme="minorEastAsia" w:hAnsi="Times New Roman"/>
          <w:i w:val="0"/>
          <w:noProof/>
          <w:color w:val="auto"/>
          <w:sz w:val="24"/>
          <w:szCs w:val="24"/>
          <w:lang w:val="en-AU" w:eastAsia="en-AU"/>
        </w:rPr>
        <w:tab/>
      </w:r>
      <w:r w:rsidRPr="00C73234">
        <w:rPr>
          <w:rFonts w:ascii="Times New Roman" w:hAnsi="Times New Roman"/>
          <w:noProof/>
        </w:rPr>
        <w:t>Furnaces Dedicated to Manufacturing</w:t>
      </w:r>
      <w:r w:rsidRPr="00C73234">
        <w:rPr>
          <w:rFonts w:ascii="Times New Roman" w:hAnsi="Times New Roman"/>
          <w:noProof/>
        </w:rPr>
        <w:tab/>
      </w:r>
      <w:r w:rsidRPr="00C73234">
        <w:rPr>
          <w:rFonts w:ascii="Times New Roman" w:hAnsi="Times New Roman"/>
          <w:noProof/>
        </w:rPr>
        <w:fldChar w:fldCharType="begin"/>
      </w:r>
      <w:r w:rsidRPr="00C73234">
        <w:rPr>
          <w:rFonts w:ascii="Times New Roman" w:hAnsi="Times New Roman"/>
          <w:noProof/>
        </w:rPr>
        <w:instrText xml:space="preserve"> PAGEREF _Toc510531484 \h </w:instrText>
      </w:r>
      <w:r w:rsidRPr="00C73234">
        <w:rPr>
          <w:rFonts w:ascii="Times New Roman" w:hAnsi="Times New Roman"/>
          <w:noProof/>
        </w:rPr>
      </w:r>
      <w:r w:rsidRPr="00C73234">
        <w:rPr>
          <w:rFonts w:ascii="Times New Roman" w:hAnsi="Times New Roman"/>
          <w:noProof/>
        </w:rPr>
        <w:fldChar w:fldCharType="separate"/>
      </w:r>
      <w:r w:rsidR="00E65509">
        <w:rPr>
          <w:rFonts w:ascii="Times New Roman" w:hAnsi="Times New Roman"/>
          <w:noProof/>
        </w:rPr>
        <w:t>45</w:t>
      </w:r>
      <w:r w:rsidRPr="00C73234">
        <w:rPr>
          <w:rFonts w:ascii="Times New Roman" w:hAnsi="Times New Roman"/>
          <w:noProof/>
        </w:rPr>
        <w:fldChar w:fldCharType="end"/>
      </w:r>
    </w:p>
    <w:p w14:paraId="3EA6C0E1" w14:textId="2F370717" w:rsidR="00FC7374" w:rsidRPr="00C73234" w:rsidRDefault="00FC7374" w:rsidP="00C73234">
      <w:pPr>
        <w:pStyle w:val="TOC3"/>
        <w:tabs>
          <w:tab w:val="right" w:leader="dot" w:pos="8680"/>
        </w:tabs>
        <w:rPr>
          <w:rFonts w:ascii="Times New Roman" w:eastAsiaTheme="minorEastAsia" w:hAnsi="Times New Roman"/>
          <w:i w:val="0"/>
          <w:noProof/>
          <w:color w:val="auto"/>
          <w:sz w:val="24"/>
          <w:szCs w:val="24"/>
          <w:lang w:val="en-AU" w:eastAsia="en-AU"/>
        </w:rPr>
      </w:pPr>
      <w:r w:rsidRPr="00C73234">
        <w:rPr>
          <w:rFonts w:ascii="Times New Roman" w:hAnsi="Times New Roman"/>
          <w:noProof/>
        </w:rPr>
        <w:t>4.1.4</w:t>
      </w:r>
      <w:r w:rsidRPr="00C73234">
        <w:rPr>
          <w:rFonts w:ascii="Times New Roman" w:eastAsiaTheme="minorEastAsia" w:hAnsi="Times New Roman"/>
          <w:i w:val="0"/>
          <w:noProof/>
          <w:color w:val="auto"/>
          <w:sz w:val="24"/>
          <w:szCs w:val="24"/>
          <w:lang w:val="en-AU" w:eastAsia="en-AU"/>
        </w:rPr>
        <w:tab/>
      </w:r>
      <w:r w:rsidRPr="00C73234">
        <w:rPr>
          <w:rFonts w:ascii="Times New Roman" w:hAnsi="Times New Roman"/>
          <w:noProof/>
        </w:rPr>
        <w:t>Thermal Decay of Methyl Bromide</w:t>
      </w:r>
      <w:r w:rsidRPr="00C73234">
        <w:rPr>
          <w:rFonts w:ascii="Times New Roman" w:hAnsi="Times New Roman"/>
          <w:noProof/>
        </w:rPr>
        <w:tab/>
      </w:r>
      <w:r w:rsidRPr="00C73234">
        <w:rPr>
          <w:rFonts w:ascii="Times New Roman" w:hAnsi="Times New Roman"/>
          <w:noProof/>
        </w:rPr>
        <w:fldChar w:fldCharType="begin"/>
      </w:r>
      <w:r w:rsidRPr="00C73234">
        <w:rPr>
          <w:rFonts w:ascii="Times New Roman" w:hAnsi="Times New Roman"/>
          <w:noProof/>
        </w:rPr>
        <w:instrText xml:space="preserve"> PAGEREF _Toc510531485 \h </w:instrText>
      </w:r>
      <w:r w:rsidRPr="00C73234">
        <w:rPr>
          <w:rFonts w:ascii="Times New Roman" w:hAnsi="Times New Roman"/>
          <w:noProof/>
        </w:rPr>
      </w:r>
      <w:r w:rsidRPr="00C73234">
        <w:rPr>
          <w:rFonts w:ascii="Times New Roman" w:hAnsi="Times New Roman"/>
          <w:noProof/>
        </w:rPr>
        <w:fldChar w:fldCharType="separate"/>
      </w:r>
      <w:r w:rsidR="00E65509">
        <w:rPr>
          <w:rFonts w:ascii="Times New Roman" w:hAnsi="Times New Roman"/>
          <w:noProof/>
        </w:rPr>
        <w:t>45</w:t>
      </w:r>
      <w:r w:rsidRPr="00C73234">
        <w:rPr>
          <w:rFonts w:ascii="Times New Roman" w:hAnsi="Times New Roman"/>
          <w:noProof/>
        </w:rPr>
        <w:fldChar w:fldCharType="end"/>
      </w:r>
    </w:p>
    <w:p w14:paraId="1E423E19" w14:textId="45F812BA" w:rsidR="00FC7374" w:rsidRPr="00C73234" w:rsidRDefault="00FC7374" w:rsidP="00C73234">
      <w:pPr>
        <w:pStyle w:val="TOC2"/>
        <w:tabs>
          <w:tab w:val="right" w:leader="dot" w:pos="8680"/>
        </w:tabs>
        <w:rPr>
          <w:rFonts w:ascii="Times New Roman" w:eastAsiaTheme="minorEastAsia" w:hAnsi="Times New Roman"/>
          <w:b w:val="0"/>
          <w:smallCaps w:val="0"/>
          <w:color w:val="auto"/>
          <w:sz w:val="24"/>
          <w:szCs w:val="24"/>
          <w:lang w:val="en-AU" w:eastAsia="en-AU"/>
        </w:rPr>
      </w:pPr>
      <w:r w:rsidRPr="00C73234">
        <w:rPr>
          <w:rFonts w:ascii="Times New Roman" w:hAnsi="Times New Roman"/>
        </w:rPr>
        <w:t>4.2</w:t>
      </w:r>
      <w:r w:rsidRPr="00C73234">
        <w:rPr>
          <w:rFonts w:ascii="Times New Roman" w:eastAsiaTheme="minorEastAsia" w:hAnsi="Times New Roman"/>
          <w:b w:val="0"/>
          <w:smallCaps w:val="0"/>
          <w:color w:val="auto"/>
          <w:sz w:val="24"/>
          <w:szCs w:val="24"/>
          <w:lang w:val="en-AU" w:eastAsia="en-AU"/>
        </w:rPr>
        <w:tab/>
      </w:r>
      <w:r w:rsidRPr="00C73234">
        <w:rPr>
          <w:rFonts w:ascii="Times New Roman" w:hAnsi="Times New Roman"/>
        </w:rPr>
        <w:t>Plasma technologies</w:t>
      </w:r>
      <w:r w:rsidRPr="00C73234">
        <w:rPr>
          <w:rFonts w:ascii="Times New Roman" w:hAnsi="Times New Roman"/>
        </w:rPr>
        <w:tab/>
      </w:r>
      <w:r w:rsidRPr="00C73234">
        <w:rPr>
          <w:rFonts w:ascii="Times New Roman" w:hAnsi="Times New Roman"/>
        </w:rPr>
        <w:fldChar w:fldCharType="begin"/>
      </w:r>
      <w:r w:rsidRPr="00C73234">
        <w:rPr>
          <w:rFonts w:ascii="Times New Roman" w:hAnsi="Times New Roman"/>
        </w:rPr>
        <w:instrText xml:space="preserve"> PAGEREF _Toc510531486 \h </w:instrText>
      </w:r>
      <w:r w:rsidRPr="00C73234">
        <w:rPr>
          <w:rFonts w:ascii="Times New Roman" w:hAnsi="Times New Roman"/>
        </w:rPr>
      </w:r>
      <w:r w:rsidRPr="00C73234">
        <w:rPr>
          <w:rFonts w:ascii="Times New Roman" w:hAnsi="Times New Roman"/>
        </w:rPr>
        <w:fldChar w:fldCharType="separate"/>
      </w:r>
      <w:r w:rsidR="00E65509">
        <w:rPr>
          <w:rFonts w:ascii="Times New Roman" w:hAnsi="Times New Roman"/>
        </w:rPr>
        <w:t>46</w:t>
      </w:r>
      <w:r w:rsidRPr="00C73234">
        <w:rPr>
          <w:rFonts w:ascii="Times New Roman" w:hAnsi="Times New Roman"/>
        </w:rPr>
        <w:fldChar w:fldCharType="end"/>
      </w:r>
    </w:p>
    <w:p w14:paraId="6E550E0F" w14:textId="04CD4315" w:rsidR="00FC7374" w:rsidRPr="00C73234" w:rsidRDefault="00FC7374" w:rsidP="00C73234">
      <w:pPr>
        <w:pStyle w:val="TOC3"/>
        <w:tabs>
          <w:tab w:val="right" w:leader="dot" w:pos="8680"/>
        </w:tabs>
        <w:rPr>
          <w:rFonts w:ascii="Times New Roman" w:eastAsiaTheme="minorEastAsia" w:hAnsi="Times New Roman"/>
          <w:i w:val="0"/>
          <w:noProof/>
          <w:color w:val="auto"/>
          <w:sz w:val="24"/>
          <w:szCs w:val="24"/>
          <w:lang w:val="en-AU" w:eastAsia="en-AU"/>
        </w:rPr>
      </w:pPr>
      <w:r w:rsidRPr="00C73234">
        <w:rPr>
          <w:rFonts w:ascii="Times New Roman" w:hAnsi="Times New Roman"/>
          <w:noProof/>
        </w:rPr>
        <w:t>4.2.1</w:t>
      </w:r>
      <w:r w:rsidRPr="00C73234">
        <w:rPr>
          <w:rFonts w:ascii="Times New Roman" w:eastAsiaTheme="minorEastAsia" w:hAnsi="Times New Roman"/>
          <w:i w:val="0"/>
          <w:noProof/>
          <w:color w:val="auto"/>
          <w:sz w:val="24"/>
          <w:szCs w:val="24"/>
          <w:lang w:val="en-AU" w:eastAsia="en-AU"/>
        </w:rPr>
        <w:tab/>
      </w:r>
      <w:r w:rsidRPr="00C73234">
        <w:rPr>
          <w:rFonts w:ascii="Times New Roman" w:hAnsi="Times New Roman"/>
          <w:noProof/>
        </w:rPr>
        <w:t>Air Plasma Arc</w:t>
      </w:r>
      <w:r w:rsidRPr="00C73234">
        <w:rPr>
          <w:rFonts w:ascii="Times New Roman" w:hAnsi="Times New Roman"/>
          <w:noProof/>
        </w:rPr>
        <w:tab/>
      </w:r>
      <w:r w:rsidRPr="00C73234">
        <w:rPr>
          <w:rFonts w:ascii="Times New Roman" w:hAnsi="Times New Roman"/>
          <w:noProof/>
        </w:rPr>
        <w:fldChar w:fldCharType="begin"/>
      </w:r>
      <w:r w:rsidRPr="00C73234">
        <w:rPr>
          <w:rFonts w:ascii="Times New Roman" w:hAnsi="Times New Roman"/>
          <w:noProof/>
        </w:rPr>
        <w:instrText xml:space="preserve"> PAGEREF _Toc510531487 \h </w:instrText>
      </w:r>
      <w:r w:rsidRPr="00C73234">
        <w:rPr>
          <w:rFonts w:ascii="Times New Roman" w:hAnsi="Times New Roman"/>
          <w:noProof/>
        </w:rPr>
      </w:r>
      <w:r w:rsidRPr="00C73234">
        <w:rPr>
          <w:rFonts w:ascii="Times New Roman" w:hAnsi="Times New Roman"/>
          <w:noProof/>
        </w:rPr>
        <w:fldChar w:fldCharType="separate"/>
      </w:r>
      <w:r w:rsidR="00E65509">
        <w:rPr>
          <w:rFonts w:ascii="Times New Roman" w:hAnsi="Times New Roman"/>
          <w:noProof/>
        </w:rPr>
        <w:t>46</w:t>
      </w:r>
      <w:r w:rsidRPr="00C73234">
        <w:rPr>
          <w:rFonts w:ascii="Times New Roman" w:hAnsi="Times New Roman"/>
          <w:noProof/>
        </w:rPr>
        <w:fldChar w:fldCharType="end"/>
      </w:r>
    </w:p>
    <w:p w14:paraId="50095281" w14:textId="17614535" w:rsidR="00FC7374" w:rsidRPr="00C73234" w:rsidRDefault="00FC7374" w:rsidP="00C73234">
      <w:pPr>
        <w:pStyle w:val="TOC3"/>
        <w:tabs>
          <w:tab w:val="right" w:leader="dot" w:pos="8680"/>
        </w:tabs>
        <w:rPr>
          <w:rFonts w:ascii="Times New Roman" w:eastAsiaTheme="minorEastAsia" w:hAnsi="Times New Roman"/>
          <w:i w:val="0"/>
          <w:noProof/>
          <w:color w:val="auto"/>
          <w:sz w:val="24"/>
          <w:szCs w:val="24"/>
          <w:lang w:val="en-AU" w:eastAsia="en-AU"/>
        </w:rPr>
      </w:pPr>
      <w:r w:rsidRPr="00C73234">
        <w:rPr>
          <w:rFonts w:ascii="Times New Roman" w:hAnsi="Times New Roman"/>
          <w:noProof/>
        </w:rPr>
        <w:t>4.2.2</w:t>
      </w:r>
      <w:r w:rsidRPr="00C73234">
        <w:rPr>
          <w:rFonts w:ascii="Times New Roman" w:eastAsiaTheme="minorEastAsia" w:hAnsi="Times New Roman"/>
          <w:i w:val="0"/>
          <w:noProof/>
          <w:color w:val="auto"/>
          <w:sz w:val="24"/>
          <w:szCs w:val="24"/>
          <w:lang w:val="en-AU" w:eastAsia="en-AU"/>
        </w:rPr>
        <w:tab/>
      </w:r>
      <w:r w:rsidRPr="00C73234">
        <w:rPr>
          <w:rFonts w:ascii="Times New Roman" w:hAnsi="Times New Roman"/>
          <w:noProof/>
        </w:rPr>
        <w:t>Alternating Current Plasma (AC Plasma)</w:t>
      </w:r>
      <w:r w:rsidRPr="00C73234">
        <w:rPr>
          <w:rFonts w:ascii="Times New Roman" w:hAnsi="Times New Roman"/>
          <w:noProof/>
        </w:rPr>
        <w:tab/>
      </w:r>
      <w:r w:rsidRPr="00C73234">
        <w:rPr>
          <w:rFonts w:ascii="Times New Roman" w:hAnsi="Times New Roman"/>
          <w:noProof/>
        </w:rPr>
        <w:fldChar w:fldCharType="begin"/>
      </w:r>
      <w:r w:rsidRPr="00C73234">
        <w:rPr>
          <w:rFonts w:ascii="Times New Roman" w:hAnsi="Times New Roman"/>
          <w:noProof/>
        </w:rPr>
        <w:instrText xml:space="preserve"> PAGEREF _Toc510531488 \h </w:instrText>
      </w:r>
      <w:r w:rsidRPr="00C73234">
        <w:rPr>
          <w:rFonts w:ascii="Times New Roman" w:hAnsi="Times New Roman"/>
          <w:noProof/>
        </w:rPr>
      </w:r>
      <w:r w:rsidRPr="00C73234">
        <w:rPr>
          <w:rFonts w:ascii="Times New Roman" w:hAnsi="Times New Roman"/>
          <w:noProof/>
        </w:rPr>
        <w:fldChar w:fldCharType="separate"/>
      </w:r>
      <w:r w:rsidR="00E65509">
        <w:rPr>
          <w:rFonts w:ascii="Times New Roman" w:hAnsi="Times New Roman"/>
          <w:noProof/>
        </w:rPr>
        <w:t>46</w:t>
      </w:r>
      <w:r w:rsidRPr="00C73234">
        <w:rPr>
          <w:rFonts w:ascii="Times New Roman" w:hAnsi="Times New Roman"/>
          <w:noProof/>
        </w:rPr>
        <w:fldChar w:fldCharType="end"/>
      </w:r>
    </w:p>
    <w:p w14:paraId="10AEFEDA" w14:textId="28F7511B" w:rsidR="00FC7374" w:rsidRPr="00C73234" w:rsidRDefault="00FC7374" w:rsidP="00C73234">
      <w:pPr>
        <w:pStyle w:val="TOC3"/>
        <w:tabs>
          <w:tab w:val="right" w:leader="dot" w:pos="8680"/>
        </w:tabs>
        <w:rPr>
          <w:rFonts w:ascii="Times New Roman" w:eastAsiaTheme="minorEastAsia" w:hAnsi="Times New Roman"/>
          <w:i w:val="0"/>
          <w:noProof/>
          <w:color w:val="auto"/>
          <w:sz w:val="24"/>
          <w:szCs w:val="24"/>
          <w:lang w:val="en-AU" w:eastAsia="en-AU"/>
        </w:rPr>
      </w:pPr>
      <w:r w:rsidRPr="00C73234">
        <w:rPr>
          <w:rFonts w:ascii="Times New Roman" w:hAnsi="Times New Roman"/>
          <w:noProof/>
        </w:rPr>
        <w:t>4.2.3</w:t>
      </w:r>
      <w:r w:rsidRPr="00C73234">
        <w:rPr>
          <w:rFonts w:ascii="Times New Roman" w:eastAsiaTheme="minorEastAsia" w:hAnsi="Times New Roman"/>
          <w:i w:val="0"/>
          <w:noProof/>
          <w:color w:val="auto"/>
          <w:sz w:val="24"/>
          <w:szCs w:val="24"/>
          <w:lang w:val="en-AU" w:eastAsia="en-AU"/>
        </w:rPr>
        <w:tab/>
      </w:r>
      <w:r w:rsidRPr="00C73234">
        <w:rPr>
          <w:rFonts w:ascii="Times New Roman" w:hAnsi="Times New Roman"/>
          <w:noProof/>
        </w:rPr>
        <w:t>CO</w:t>
      </w:r>
      <w:r w:rsidRPr="00C73234">
        <w:rPr>
          <w:rFonts w:ascii="Times New Roman" w:hAnsi="Times New Roman"/>
          <w:noProof/>
          <w:vertAlign w:val="subscript"/>
        </w:rPr>
        <w:t>2</w:t>
      </w:r>
      <w:r w:rsidRPr="00C73234">
        <w:rPr>
          <w:rFonts w:ascii="Times New Roman" w:hAnsi="Times New Roman"/>
          <w:noProof/>
        </w:rPr>
        <w:t xml:space="preserve"> Plasma</w:t>
      </w:r>
      <w:r w:rsidRPr="00C73234">
        <w:rPr>
          <w:rFonts w:ascii="Times New Roman" w:hAnsi="Times New Roman"/>
          <w:noProof/>
        </w:rPr>
        <w:tab/>
      </w:r>
      <w:r w:rsidRPr="00C73234">
        <w:rPr>
          <w:rFonts w:ascii="Times New Roman" w:hAnsi="Times New Roman"/>
          <w:noProof/>
        </w:rPr>
        <w:fldChar w:fldCharType="begin"/>
      </w:r>
      <w:r w:rsidRPr="00C73234">
        <w:rPr>
          <w:rFonts w:ascii="Times New Roman" w:hAnsi="Times New Roman"/>
          <w:noProof/>
        </w:rPr>
        <w:instrText xml:space="preserve"> PAGEREF _Toc510531489 \h </w:instrText>
      </w:r>
      <w:r w:rsidRPr="00C73234">
        <w:rPr>
          <w:rFonts w:ascii="Times New Roman" w:hAnsi="Times New Roman"/>
          <w:noProof/>
        </w:rPr>
      </w:r>
      <w:r w:rsidRPr="00C73234">
        <w:rPr>
          <w:rFonts w:ascii="Times New Roman" w:hAnsi="Times New Roman"/>
          <w:noProof/>
        </w:rPr>
        <w:fldChar w:fldCharType="separate"/>
      </w:r>
      <w:r w:rsidR="00E65509">
        <w:rPr>
          <w:rFonts w:ascii="Times New Roman" w:hAnsi="Times New Roman"/>
          <w:noProof/>
        </w:rPr>
        <w:t>46</w:t>
      </w:r>
      <w:r w:rsidRPr="00C73234">
        <w:rPr>
          <w:rFonts w:ascii="Times New Roman" w:hAnsi="Times New Roman"/>
          <w:noProof/>
        </w:rPr>
        <w:fldChar w:fldCharType="end"/>
      </w:r>
    </w:p>
    <w:p w14:paraId="24739876" w14:textId="20DE0C04" w:rsidR="00FC7374" w:rsidRPr="00C73234" w:rsidRDefault="00FC7374" w:rsidP="00C73234">
      <w:pPr>
        <w:pStyle w:val="TOC3"/>
        <w:tabs>
          <w:tab w:val="right" w:leader="dot" w:pos="8680"/>
        </w:tabs>
        <w:rPr>
          <w:rFonts w:ascii="Times New Roman" w:eastAsiaTheme="minorEastAsia" w:hAnsi="Times New Roman"/>
          <w:i w:val="0"/>
          <w:noProof/>
          <w:color w:val="auto"/>
          <w:sz w:val="24"/>
          <w:szCs w:val="24"/>
          <w:lang w:val="en-AU" w:eastAsia="en-AU"/>
        </w:rPr>
      </w:pPr>
      <w:r w:rsidRPr="00C73234">
        <w:rPr>
          <w:rFonts w:ascii="Times New Roman" w:hAnsi="Times New Roman"/>
          <w:noProof/>
        </w:rPr>
        <w:t>4.2.4</w:t>
      </w:r>
      <w:r w:rsidRPr="00C73234">
        <w:rPr>
          <w:rFonts w:ascii="Times New Roman" w:eastAsiaTheme="minorEastAsia" w:hAnsi="Times New Roman"/>
          <w:i w:val="0"/>
          <w:noProof/>
          <w:color w:val="auto"/>
          <w:sz w:val="24"/>
          <w:szCs w:val="24"/>
          <w:lang w:val="en-AU" w:eastAsia="en-AU"/>
        </w:rPr>
        <w:tab/>
      </w:r>
      <w:r w:rsidRPr="00C73234">
        <w:rPr>
          <w:rFonts w:ascii="Times New Roman" w:hAnsi="Times New Roman"/>
          <w:noProof/>
        </w:rPr>
        <w:t>Steam Plasma Arc</w:t>
      </w:r>
      <w:r w:rsidRPr="00C73234">
        <w:rPr>
          <w:rFonts w:ascii="Times New Roman" w:hAnsi="Times New Roman"/>
          <w:noProof/>
        </w:rPr>
        <w:tab/>
      </w:r>
      <w:r w:rsidRPr="00C73234">
        <w:rPr>
          <w:rFonts w:ascii="Times New Roman" w:hAnsi="Times New Roman"/>
          <w:noProof/>
        </w:rPr>
        <w:fldChar w:fldCharType="begin"/>
      </w:r>
      <w:r w:rsidRPr="00C73234">
        <w:rPr>
          <w:rFonts w:ascii="Times New Roman" w:hAnsi="Times New Roman"/>
          <w:noProof/>
        </w:rPr>
        <w:instrText xml:space="preserve"> PAGEREF _Toc510531490 \h </w:instrText>
      </w:r>
      <w:r w:rsidRPr="00C73234">
        <w:rPr>
          <w:rFonts w:ascii="Times New Roman" w:hAnsi="Times New Roman"/>
          <w:noProof/>
        </w:rPr>
      </w:r>
      <w:r w:rsidRPr="00C73234">
        <w:rPr>
          <w:rFonts w:ascii="Times New Roman" w:hAnsi="Times New Roman"/>
          <w:noProof/>
        </w:rPr>
        <w:fldChar w:fldCharType="separate"/>
      </w:r>
      <w:r w:rsidR="00E65509">
        <w:rPr>
          <w:rFonts w:ascii="Times New Roman" w:hAnsi="Times New Roman"/>
          <w:noProof/>
        </w:rPr>
        <w:t>47</w:t>
      </w:r>
      <w:r w:rsidRPr="00C73234">
        <w:rPr>
          <w:rFonts w:ascii="Times New Roman" w:hAnsi="Times New Roman"/>
          <w:noProof/>
        </w:rPr>
        <w:fldChar w:fldCharType="end"/>
      </w:r>
    </w:p>
    <w:p w14:paraId="01ACA13E" w14:textId="1B46AFB4" w:rsidR="00FC7374" w:rsidRPr="00C73234" w:rsidRDefault="00FC7374" w:rsidP="00C73234">
      <w:pPr>
        <w:pStyle w:val="TOC2"/>
        <w:tabs>
          <w:tab w:val="right" w:leader="dot" w:pos="8680"/>
        </w:tabs>
        <w:rPr>
          <w:rFonts w:ascii="Times New Roman" w:eastAsiaTheme="minorEastAsia" w:hAnsi="Times New Roman"/>
          <w:b w:val="0"/>
          <w:smallCaps w:val="0"/>
          <w:color w:val="auto"/>
          <w:sz w:val="24"/>
          <w:szCs w:val="24"/>
          <w:lang w:val="en-AU" w:eastAsia="en-AU"/>
        </w:rPr>
      </w:pPr>
      <w:r w:rsidRPr="00C73234">
        <w:rPr>
          <w:rFonts w:ascii="Times New Roman" w:hAnsi="Times New Roman"/>
        </w:rPr>
        <w:t>4.3</w:t>
      </w:r>
      <w:r w:rsidRPr="00C73234">
        <w:rPr>
          <w:rFonts w:ascii="Times New Roman" w:eastAsiaTheme="minorEastAsia" w:hAnsi="Times New Roman"/>
          <w:b w:val="0"/>
          <w:smallCaps w:val="0"/>
          <w:color w:val="auto"/>
          <w:sz w:val="24"/>
          <w:szCs w:val="24"/>
          <w:lang w:val="en-AU" w:eastAsia="en-AU"/>
        </w:rPr>
        <w:tab/>
      </w:r>
      <w:r w:rsidRPr="00C73234">
        <w:rPr>
          <w:rFonts w:ascii="Times New Roman" w:hAnsi="Times New Roman"/>
        </w:rPr>
        <w:t>Conversion (or non-incineration) technologies</w:t>
      </w:r>
      <w:r w:rsidRPr="00C73234">
        <w:rPr>
          <w:rFonts w:ascii="Times New Roman" w:hAnsi="Times New Roman"/>
        </w:rPr>
        <w:tab/>
      </w:r>
      <w:r w:rsidRPr="00C73234">
        <w:rPr>
          <w:rFonts w:ascii="Times New Roman" w:hAnsi="Times New Roman"/>
        </w:rPr>
        <w:fldChar w:fldCharType="begin"/>
      </w:r>
      <w:r w:rsidRPr="00C73234">
        <w:rPr>
          <w:rFonts w:ascii="Times New Roman" w:hAnsi="Times New Roman"/>
        </w:rPr>
        <w:instrText xml:space="preserve"> PAGEREF _Toc510531491 \h </w:instrText>
      </w:r>
      <w:r w:rsidRPr="00C73234">
        <w:rPr>
          <w:rFonts w:ascii="Times New Roman" w:hAnsi="Times New Roman"/>
        </w:rPr>
      </w:r>
      <w:r w:rsidRPr="00C73234">
        <w:rPr>
          <w:rFonts w:ascii="Times New Roman" w:hAnsi="Times New Roman"/>
        </w:rPr>
        <w:fldChar w:fldCharType="separate"/>
      </w:r>
      <w:r w:rsidR="00E65509">
        <w:rPr>
          <w:rFonts w:ascii="Times New Roman" w:hAnsi="Times New Roman"/>
        </w:rPr>
        <w:t>47</w:t>
      </w:r>
      <w:r w:rsidRPr="00C73234">
        <w:rPr>
          <w:rFonts w:ascii="Times New Roman" w:hAnsi="Times New Roman"/>
        </w:rPr>
        <w:fldChar w:fldCharType="end"/>
      </w:r>
    </w:p>
    <w:p w14:paraId="56B267BE" w14:textId="06E903CA" w:rsidR="00FC7374" w:rsidRPr="00C73234" w:rsidRDefault="00FC7374" w:rsidP="00C73234">
      <w:pPr>
        <w:pStyle w:val="TOC3"/>
        <w:tabs>
          <w:tab w:val="right" w:leader="dot" w:pos="8680"/>
        </w:tabs>
        <w:rPr>
          <w:rFonts w:ascii="Times New Roman" w:eastAsiaTheme="minorEastAsia" w:hAnsi="Times New Roman"/>
          <w:i w:val="0"/>
          <w:noProof/>
          <w:color w:val="auto"/>
          <w:sz w:val="24"/>
          <w:szCs w:val="24"/>
          <w:lang w:val="en-AU" w:eastAsia="en-AU"/>
        </w:rPr>
      </w:pPr>
      <w:r w:rsidRPr="00C73234">
        <w:rPr>
          <w:rFonts w:ascii="Times New Roman" w:hAnsi="Times New Roman"/>
          <w:noProof/>
        </w:rPr>
        <w:t>4.3.1</w:t>
      </w:r>
      <w:r w:rsidRPr="00C73234">
        <w:rPr>
          <w:rFonts w:ascii="Times New Roman" w:eastAsiaTheme="minorEastAsia" w:hAnsi="Times New Roman"/>
          <w:i w:val="0"/>
          <w:noProof/>
          <w:color w:val="auto"/>
          <w:sz w:val="24"/>
          <w:szCs w:val="24"/>
          <w:lang w:val="en-AU" w:eastAsia="en-AU"/>
        </w:rPr>
        <w:tab/>
      </w:r>
      <w:r w:rsidRPr="00C73234">
        <w:rPr>
          <w:rFonts w:ascii="Times New Roman" w:hAnsi="Times New Roman"/>
          <w:noProof/>
        </w:rPr>
        <w:t>Catalytic Destruction</w:t>
      </w:r>
      <w:r w:rsidRPr="00C73234">
        <w:rPr>
          <w:rFonts w:ascii="Times New Roman" w:hAnsi="Times New Roman"/>
          <w:noProof/>
        </w:rPr>
        <w:tab/>
      </w:r>
      <w:r w:rsidRPr="00C73234">
        <w:rPr>
          <w:rFonts w:ascii="Times New Roman" w:hAnsi="Times New Roman"/>
          <w:noProof/>
        </w:rPr>
        <w:fldChar w:fldCharType="begin"/>
      </w:r>
      <w:r w:rsidRPr="00C73234">
        <w:rPr>
          <w:rFonts w:ascii="Times New Roman" w:hAnsi="Times New Roman"/>
          <w:noProof/>
        </w:rPr>
        <w:instrText xml:space="preserve"> PAGEREF _Toc510531492 \h </w:instrText>
      </w:r>
      <w:r w:rsidRPr="00C73234">
        <w:rPr>
          <w:rFonts w:ascii="Times New Roman" w:hAnsi="Times New Roman"/>
          <w:noProof/>
        </w:rPr>
      </w:r>
      <w:r w:rsidRPr="00C73234">
        <w:rPr>
          <w:rFonts w:ascii="Times New Roman" w:hAnsi="Times New Roman"/>
          <w:noProof/>
        </w:rPr>
        <w:fldChar w:fldCharType="separate"/>
      </w:r>
      <w:r w:rsidR="00E65509">
        <w:rPr>
          <w:rFonts w:ascii="Times New Roman" w:hAnsi="Times New Roman"/>
          <w:noProof/>
        </w:rPr>
        <w:t>47</w:t>
      </w:r>
      <w:r w:rsidRPr="00C73234">
        <w:rPr>
          <w:rFonts w:ascii="Times New Roman" w:hAnsi="Times New Roman"/>
          <w:noProof/>
        </w:rPr>
        <w:fldChar w:fldCharType="end"/>
      </w:r>
    </w:p>
    <w:p w14:paraId="1542C1EA" w14:textId="0EB401C6" w:rsidR="00FC7374" w:rsidRPr="00C73234" w:rsidRDefault="00FC7374" w:rsidP="00C73234">
      <w:pPr>
        <w:pStyle w:val="TOC3"/>
        <w:tabs>
          <w:tab w:val="right" w:leader="dot" w:pos="8680"/>
        </w:tabs>
        <w:rPr>
          <w:rFonts w:ascii="Times New Roman" w:eastAsiaTheme="minorEastAsia" w:hAnsi="Times New Roman"/>
          <w:i w:val="0"/>
          <w:noProof/>
          <w:color w:val="auto"/>
          <w:sz w:val="24"/>
          <w:szCs w:val="24"/>
          <w:lang w:val="en-AU" w:eastAsia="en-AU"/>
        </w:rPr>
      </w:pPr>
      <w:r w:rsidRPr="00C73234">
        <w:rPr>
          <w:rFonts w:ascii="Times New Roman" w:hAnsi="Times New Roman"/>
          <w:noProof/>
        </w:rPr>
        <w:t>4.3.2</w:t>
      </w:r>
      <w:r w:rsidRPr="00C73234">
        <w:rPr>
          <w:rFonts w:ascii="Times New Roman" w:eastAsiaTheme="minorEastAsia" w:hAnsi="Times New Roman"/>
          <w:i w:val="0"/>
          <w:noProof/>
          <w:color w:val="auto"/>
          <w:sz w:val="24"/>
          <w:szCs w:val="24"/>
          <w:lang w:val="en-AU" w:eastAsia="en-AU"/>
        </w:rPr>
        <w:tab/>
      </w:r>
      <w:r w:rsidRPr="00C73234">
        <w:rPr>
          <w:rFonts w:ascii="Times New Roman" w:hAnsi="Times New Roman"/>
          <w:noProof/>
        </w:rPr>
        <w:t>Chlorination/De-chlorination to Vinylidene Chloride</w:t>
      </w:r>
      <w:r w:rsidRPr="00C73234">
        <w:rPr>
          <w:rFonts w:ascii="Times New Roman" w:hAnsi="Times New Roman"/>
          <w:noProof/>
        </w:rPr>
        <w:tab/>
      </w:r>
      <w:r w:rsidRPr="00C73234">
        <w:rPr>
          <w:rFonts w:ascii="Times New Roman" w:hAnsi="Times New Roman"/>
          <w:noProof/>
        </w:rPr>
        <w:fldChar w:fldCharType="begin"/>
      </w:r>
      <w:r w:rsidRPr="00C73234">
        <w:rPr>
          <w:rFonts w:ascii="Times New Roman" w:hAnsi="Times New Roman"/>
          <w:noProof/>
        </w:rPr>
        <w:instrText xml:space="preserve"> PAGEREF _Toc510531493 \h </w:instrText>
      </w:r>
      <w:r w:rsidRPr="00C73234">
        <w:rPr>
          <w:rFonts w:ascii="Times New Roman" w:hAnsi="Times New Roman"/>
          <w:noProof/>
        </w:rPr>
      </w:r>
      <w:r w:rsidRPr="00C73234">
        <w:rPr>
          <w:rFonts w:ascii="Times New Roman" w:hAnsi="Times New Roman"/>
          <w:noProof/>
        </w:rPr>
        <w:fldChar w:fldCharType="separate"/>
      </w:r>
      <w:r w:rsidR="00E65509">
        <w:rPr>
          <w:rFonts w:ascii="Times New Roman" w:hAnsi="Times New Roman"/>
          <w:noProof/>
        </w:rPr>
        <w:t>48</w:t>
      </w:r>
      <w:r w:rsidRPr="00C73234">
        <w:rPr>
          <w:rFonts w:ascii="Times New Roman" w:hAnsi="Times New Roman"/>
          <w:noProof/>
        </w:rPr>
        <w:fldChar w:fldCharType="end"/>
      </w:r>
    </w:p>
    <w:p w14:paraId="3D15E8FA" w14:textId="7150E319" w:rsidR="00FC7374" w:rsidRPr="00C73234" w:rsidRDefault="00FC7374" w:rsidP="00C73234">
      <w:pPr>
        <w:pStyle w:val="TOC3"/>
        <w:tabs>
          <w:tab w:val="right" w:leader="dot" w:pos="8680"/>
        </w:tabs>
        <w:rPr>
          <w:rFonts w:ascii="Times New Roman" w:eastAsiaTheme="minorEastAsia" w:hAnsi="Times New Roman"/>
          <w:i w:val="0"/>
          <w:noProof/>
          <w:color w:val="auto"/>
          <w:sz w:val="24"/>
          <w:szCs w:val="24"/>
          <w:lang w:val="en-AU" w:eastAsia="en-AU"/>
        </w:rPr>
      </w:pPr>
      <w:r w:rsidRPr="00C73234">
        <w:rPr>
          <w:rFonts w:ascii="Times New Roman" w:hAnsi="Times New Roman"/>
          <w:noProof/>
        </w:rPr>
        <w:t>4.3.2</w:t>
      </w:r>
      <w:r w:rsidRPr="00C73234">
        <w:rPr>
          <w:rFonts w:ascii="Times New Roman" w:eastAsiaTheme="minorEastAsia" w:hAnsi="Times New Roman"/>
          <w:i w:val="0"/>
          <w:noProof/>
          <w:color w:val="auto"/>
          <w:sz w:val="24"/>
          <w:szCs w:val="24"/>
          <w:lang w:val="en-AU" w:eastAsia="en-AU"/>
        </w:rPr>
        <w:tab/>
      </w:r>
      <w:r w:rsidRPr="00C73234">
        <w:rPr>
          <w:rFonts w:ascii="Times New Roman" w:hAnsi="Times New Roman"/>
          <w:noProof/>
        </w:rPr>
        <w:t>Solid Alkali Reaction</w:t>
      </w:r>
      <w:r w:rsidRPr="00C73234">
        <w:rPr>
          <w:rFonts w:ascii="Times New Roman" w:hAnsi="Times New Roman"/>
          <w:noProof/>
        </w:rPr>
        <w:tab/>
      </w:r>
      <w:r w:rsidRPr="00C73234">
        <w:rPr>
          <w:rFonts w:ascii="Times New Roman" w:hAnsi="Times New Roman"/>
          <w:noProof/>
        </w:rPr>
        <w:fldChar w:fldCharType="begin"/>
      </w:r>
      <w:r w:rsidRPr="00C73234">
        <w:rPr>
          <w:rFonts w:ascii="Times New Roman" w:hAnsi="Times New Roman"/>
          <w:noProof/>
        </w:rPr>
        <w:instrText xml:space="preserve"> PAGEREF _Toc510531494 \h </w:instrText>
      </w:r>
      <w:r w:rsidRPr="00C73234">
        <w:rPr>
          <w:rFonts w:ascii="Times New Roman" w:hAnsi="Times New Roman"/>
          <w:noProof/>
        </w:rPr>
      </w:r>
      <w:r w:rsidRPr="00C73234">
        <w:rPr>
          <w:rFonts w:ascii="Times New Roman" w:hAnsi="Times New Roman"/>
          <w:noProof/>
        </w:rPr>
        <w:fldChar w:fldCharType="separate"/>
      </w:r>
      <w:r w:rsidR="00E65509">
        <w:rPr>
          <w:rFonts w:ascii="Times New Roman" w:hAnsi="Times New Roman"/>
          <w:noProof/>
        </w:rPr>
        <w:t>48</w:t>
      </w:r>
      <w:r w:rsidRPr="00C73234">
        <w:rPr>
          <w:rFonts w:ascii="Times New Roman" w:hAnsi="Times New Roman"/>
          <w:noProof/>
        </w:rPr>
        <w:fldChar w:fldCharType="end"/>
      </w:r>
    </w:p>
    <w:p w14:paraId="0C9796CA" w14:textId="798C4118" w:rsidR="00FC7374" w:rsidRPr="00C73234" w:rsidRDefault="00FC7374" w:rsidP="00C73234">
      <w:pPr>
        <w:pStyle w:val="TOC1"/>
        <w:rPr>
          <w:rFonts w:ascii="Times New Roman" w:eastAsiaTheme="minorEastAsia" w:hAnsi="Times New Roman"/>
          <w:b w:val="0"/>
          <w:caps w:val="0"/>
          <w:noProof/>
          <w:color w:val="auto"/>
          <w:sz w:val="24"/>
          <w:szCs w:val="24"/>
          <w:lang w:val="en-AU" w:eastAsia="en-AU"/>
        </w:rPr>
      </w:pPr>
      <w:r w:rsidRPr="00C73234">
        <w:rPr>
          <w:rFonts w:ascii="Times New Roman" w:hAnsi="Times New Roman"/>
          <w:noProof/>
        </w:rPr>
        <w:t>5</w:t>
      </w:r>
      <w:r w:rsidRPr="00C73234">
        <w:rPr>
          <w:rFonts w:ascii="Times New Roman" w:eastAsiaTheme="minorEastAsia" w:hAnsi="Times New Roman"/>
          <w:b w:val="0"/>
          <w:caps w:val="0"/>
          <w:noProof/>
          <w:color w:val="auto"/>
          <w:sz w:val="24"/>
          <w:szCs w:val="24"/>
          <w:lang w:val="en-AU" w:eastAsia="en-AU"/>
        </w:rPr>
        <w:tab/>
      </w:r>
      <w:r w:rsidRPr="00C73234">
        <w:rPr>
          <w:rFonts w:ascii="Times New Roman" w:hAnsi="Times New Roman"/>
          <w:noProof/>
        </w:rPr>
        <w:t>Recommendations for list of approved destruction technologies</w:t>
      </w:r>
      <w:r w:rsidRPr="00C73234">
        <w:rPr>
          <w:rFonts w:ascii="Times New Roman" w:hAnsi="Times New Roman"/>
          <w:noProof/>
        </w:rPr>
        <w:tab/>
      </w:r>
      <w:r w:rsidRPr="00C73234">
        <w:rPr>
          <w:rFonts w:ascii="Times New Roman" w:hAnsi="Times New Roman"/>
          <w:noProof/>
        </w:rPr>
        <w:fldChar w:fldCharType="begin"/>
      </w:r>
      <w:r w:rsidRPr="00C73234">
        <w:rPr>
          <w:rFonts w:ascii="Times New Roman" w:hAnsi="Times New Roman"/>
          <w:noProof/>
        </w:rPr>
        <w:instrText xml:space="preserve"> PAGEREF _Toc510531495 \h </w:instrText>
      </w:r>
      <w:r w:rsidRPr="00C73234">
        <w:rPr>
          <w:rFonts w:ascii="Times New Roman" w:hAnsi="Times New Roman"/>
          <w:noProof/>
        </w:rPr>
      </w:r>
      <w:r w:rsidRPr="00C73234">
        <w:rPr>
          <w:rFonts w:ascii="Times New Roman" w:hAnsi="Times New Roman"/>
          <w:noProof/>
        </w:rPr>
        <w:fldChar w:fldCharType="separate"/>
      </w:r>
      <w:r w:rsidR="00E65509">
        <w:rPr>
          <w:rFonts w:ascii="Times New Roman" w:hAnsi="Times New Roman"/>
          <w:noProof/>
        </w:rPr>
        <w:t>50</w:t>
      </w:r>
      <w:r w:rsidRPr="00C73234">
        <w:rPr>
          <w:rFonts w:ascii="Times New Roman" w:hAnsi="Times New Roman"/>
          <w:noProof/>
        </w:rPr>
        <w:fldChar w:fldCharType="end"/>
      </w:r>
    </w:p>
    <w:p w14:paraId="2E80804D" w14:textId="5F6521C1" w:rsidR="00FC7374" w:rsidRPr="00C73234" w:rsidRDefault="00FC7374" w:rsidP="00C73234">
      <w:pPr>
        <w:pStyle w:val="TOC1"/>
        <w:rPr>
          <w:rFonts w:ascii="Times New Roman" w:eastAsiaTheme="minorEastAsia" w:hAnsi="Times New Roman"/>
          <w:b w:val="0"/>
          <w:caps w:val="0"/>
          <w:noProof/>
          <w:color w:val="auto"/>
          <w:sz w:val="24"/>
          <w:szCs w:val="24"/>
          <w:lang w:val="en-AU" w:eastAsia="en-AU"/>
        </w:rPr>
      </w:pPr>
      <w:r w:rsidRPr="00C73234">
        <w:rPr>
          <w:rFonts w:ascii="Times New Roman" w:hAnsi="Times New Roman"/>
          <w:noProof/>
        </w:rPr>
        <w:t>Appendix 1:</w:t>
      </w:r>
      <w:r w:rsidRPr="00C73234">
        <w:rPr>
          <w:rFonts w:ascii="Times New Roman" w:eastAsiaTheme="minorEastAsia" w:hAnsi="Times New Roman"/>
          <w:b w:val="0"/>
          <w:caps w:val="0"/>
          <w:noProof/>
          <w:color w:val="auto"/>
          <w:sz w:val="24"/>
          <w:szCs w:val="24"/>
          <w:lang w:val="en-AU" w:eastAsia="en-AU"/>
        </w:rPr>
        <w:t xml:space="preserve"> </w:t>
      </w:r>
      <w:r w:rsidRPr="00C73234">
        <w:rPr>
          <w:rFonts w:ascii="Times New Roman" w:hAnsi="Times New Roman"/>
          <w:noProof/>
        </w:rPr>
        <w:t>Summary of submissions received from parties in response to Decision XXIX/4</w:t>
      </w:r>
      <w:r w:rsidRPr="00C73234">
        <w:rPr>
          <w:rFonts w:ascii="Times New Roman" w:hAnsi="Times New Roman"/>
          <w:noProof/>
        </w:rPr>
        <w:tab/>
      </w:r>
      <w:r w:rsidRPr="00C73234">
        <w:rPr>
          <w:rFonts w:ascii="Times New Roman" w:hAnsi="Times New Roman"/>
          <w:noProof/>
        </w:rPr>
        <w:fldChar w:fldCharType="begin"/>
      </w:r>
      <w:r w:rsidRPr="00C73234">
        <w:rPr>
          <w:rFonts w:ascii="Times New Roman" w:hAnsi="Times New Roman"/>
          <w:noProof/>
        </w:rPr>
        <w:instrText xml:space="preserve"> PAGEREF _Toc510531496 \h </w:instrText>
      </w:r>
      <w:r w:rsidRPr="00C73234">
        <w:rPr>
          <w:rFonts w:ascii="Times New Roman" w:hAnsi="Times New Roman"/>
          <w:noProof/>
        </w:rPr>
      </w:r>
      <w:r w:rsidRPr="00C73234">
        <w:rPr>
          <w:rFonts w:ascii="Times New Roman" w:hAnsi="Times New Roman"/>
          <w:noProof/>
        </w:rPr>
        <w:fldChar w:fldCharType="separate"/>
      </w:r>
      <w:r w:rsidR="00E65509">
        <w:rPr>
          <w:rFonts w:ascii="Times New Roman" w:hAnsi="Times New Roman"/>
          <w:noProof/>
        </w:rPr>
        <w:t>52</w:t>
      </w:r>
      <w:r w:rsidRPr="00C73234">
        <w:rPr>
          <w:rFonts w:ascii="Times New Roman" w:hAnsi="Times New Roman"/>
          <w:noProof/>
        </w:rPr>
        <w:fldChar w:fldCharType="end"/>
      </w:r>
    </w:p>
    <w:p w14:paraId="12C6D74D" w14:textId="5F0BD205" w:rsidR="00FC7374" w:rsidRPr="00C73234" w:rsidRDefault="00FC7374" w:rsidP="00C73234">
      <w:pPr>
        <w:pStyle w:val="TOC1"/>
        <w:rPr>
          <w:rFonts w:ascii="Times New Roman" w:eastAsiaTheme="minorEastAsia" w:hAnsi="Times New Roman"/>
          <w:b w:val="0"/>
          <w:caps w:val="0"/>
          <w:noProof/>
          <w:color w:val="auto"/>
          <w:sz w:val="24"/>
          <w:szCs w:val="24"/>
          <w:lang w:val="en-AU" w:eastAsia="en-AU"/>
        </w:rPr>
      </w:pPr>
      <w:r w:rsidRPr="00C73234">
        <w:rPr>
          <w:rFonts w:ascii="Times New Roman" w:hAnsi="Times New Roman"/>
          <w:noProof/>
        </w:rPr>
        <w:t>Appendix 2: Decision IV/11, Annex VII: Suggested minimum standards for the operation of destruction facilities</w:t>
      </w:r>
      <w:r w:rsidRPr="00C73234">
        <w:rPr>
          <w:rFonts w:ascii="Times New Roman" w:hAnsi="Times New Roman"/>
          <w:noProof/>
        </w:rPr>
        <w:tab/>
      </w:r>
      <w:r w:rsidRPr="00C73234">
        <w:rPr>
          <w:rFonts w:ascii="Times New Roman" w:hAnsi="Times New Roman"/>
          <w:noProof/>
        </w:rPr>
        <w:fldChar w:fldCharType="begin"/>
      </w:r>
      <w:r w:rsidRPr="00C73234">
        <w:rPr>
          <w:rFonts w:ascii="Times New Roman" w:hAnsi="Times New Roman"/>
          <w:noProof/>
        </w:rPr>
        <w:instrText xml:space="preserve"> PAGEREF _Toc510531497 \h </w:instrText>
      </w:r>
      <w:r w:rsidRPr="00C73234">
        <w:rPr>
          <w:rFonts w:ascii="Times New Roman" w:hAnsi="Times New Roman"/>
          <w:noProof/>
        </w:rPr>
      </w:r>
      <w:r w:rsidRPr="00C73234">
        <w:rPr>
          <w:rFonts w:ascii="Times New Roman" w:hAnsi="Times New Roman"/>
          <w:noProof/>
        </w:rPr>
        <w:fldChar w:fldCharType="separate"/>
      </w:r>
      <w:r w:rsidR="00E65509">
        <w:rPr>
          <w:rFonts w:ascii="Times New Roman" w:hAnsi="Times New Roman"/>
          <w:noProof/>
        </w:rPr>
        <w:t>55</w:t>
      </w:r>
      <w:r w:rsidRPr="00C73234">
        <w:rPr>
          <w:rFonts w:ascii="Times New Roman" w:hAnsi="Times New Roman"/>
          <w:noProof/>
        </w:rPr>
        <w:fldChar w:fldCharType="end"/>
      </w:r>
    </w:p>
    <w:p w14:paraId="713E69D4" w14:textId="01121CAD" w:rsidR="00FC7374" w:rsidRPr="00C73234" w:rsidRDefault="00FC7374" w:rsidP="00C73234">
      <w:pPr>
        <w:pStyle w:val="TOC1"/>
        <w:rPr>
          <w:rFonts w:ascii="Times New Roman" w:eastAsiaTheme="minorEastAsia" w:hAnsi="Times New Roman"/>
          <w:b w:val="0"/>
          <w:caps w:val="0"/>
          <w:noProof/>
          <w:color w:val="auto"/>
          <w:sz w:val="24"/>
          <w:szCs w:val="24"/>
          <w:lang w:val="en-AU" w:eastAsia="en-AU"/>
        </w:rPr>
      </w:pPr>
      <w:r w:rsidRPr="00C73234">
        <w:rPr>
          <w:rFonts w:ascii="Times New Roman" w:hAnsi="Times New Roman"/>
          <w:noProof/>
        </w:rPr>
        <w:t>Appendix 3:</w:t>
      </w:r>
      <w:r w:rsidRPr="00C73234">
        <w:rPr>
          <w:rFonts w:ascii="Times New Roman" w:eastAsiaTheme="minorEastAsia" w:hAnsi="Times New Roman"/>
          <w:b w:val="0"/>
          <w:caps w:val="0"/>
          <w:noProof/>
          <w:color w:val="auto"/>
          <w:sz w:val="24"/>
          <w:szCs w:val="24"/>
          <w:lang w:val="en-AU" w:eastAsia="en-AU"/>
        </w:rPr>
        <w:t xml:space="preserve"> </w:t>
      </w:r>
      <w:r w:rsidRPr="00C73234">
        <w:rPr>
          <w:rFonts w:ascii="Times New Roman" w:hAnsi="Times New Roman"/>
          <w:noProof/>
        </w:rPr>
        <w:t>Summary of Recommendations in Chapters 3 and 4</w:t>
      </w:r>
      <w:r w:rsidRPr="00C73234">
        <w:rPr>
          <w:rFonts w:ascii="Times New Roman" w:hAnsi="Times New Roman"/>
          <w:noProof/>
        </w:rPr>
        <w:tab/>
      </w:r>
      <w:r w:rsidRPr="00C73234">
        <w:rPr>
          <w:rFonts w:ascii="Times New Roman" w:hAnsi="Times New Roman"/>
          <w:noProof/>
        </w:rPr>
        <w:fldChar w:fldCharType="begin"/>
      </w:r>
      <w:r w:rsidRPr="00C73234">
        <w:rPr>
          <w:rFonts w:ascii="Times New Roman" w:hAnsi="Times New Roman"/>
          <w:noProof/>
        </w:rPr>
        <w:instrText xml:space="preserve"> PAGEREF _Toc510531498 \h </w:instrText>
      </w:r>
      <w:r w:rsidRPr="00C73234">
        <w:rPr>
          <w:rFonts w:ascii="Times New Roman" w:hAnsi="Times New Roman"/>
          <w:noProof/>
        </w:rPr>
      </w:r>
      <w:r w:rsidRPr="00C73234">
        <w:rPr>
          <w:rFonts w:ascii="Times New Roman" w:hAnsi="Times New Roman"/>
          <w:noProof/>
        </w:rPr>
        <w:fldChar w:fldCharType="separate"/>
      </w:r>
      <w:r w:rsidR="00E65509">
        <w:rPr>
          <w:rFonts w:ascii="Times New Roman" w:hAnsi="Times New Roman"/>
          <w:noProof/>
        </w:rPr>
        <w:t>56</w:t>
      </w:r>
      <w:r w:rsidRPr="00C73234">
        <w:rPr>
          <w:rFonts w:ascii="Times New Roman" w:hAnsi="Times New Roman"/>
          <w:noProof/>
        </w:rPr>
        <w:fldChar w:fldCharType="end"/>
      </w:r>
    </w:p>
    <w:p w14:paraId="1EE7D498" w14:textId="3002E9EC" w:rsidR="00AD4B2A" w:rsidRPr="006E13B3" w:rsidRDefault="003F378F" w:rsidP="00C73234">
      <w:pPr>
        <w:pStyle w:val="TOC1"/>
        <w:sectPr w:rsidR="00AD4B2A" w:rsidRPr="006E13B3" w:rsidSect="007D7370">
          <w:headerReference w:type="even" r:id="rId27"/>
          <w:headerReference w:type="default" r:id="rId28"/>
          <w:footerReference w:type="even" r:id="rId29"/>
          <w:headerReference w:type="first" r:id="rId30"/>
          <w:footnotePr>
            <w:numRestart w:val="eachSect"/>
          </w:footnotePr>
          <w:type w:val="nextColumn"/>
          <w:pgSz w:w="11907" w:h="16839" w:code="9"/>
          <w:pgMar w:top="1440" w:right="1417" w:bottom="1526" w:left="1800" w:header="720" w:footer="792" w:gutter="0"/>
          <w:pgNumType w:fmt="lowerRoman"/>
          <w:cols w:space="720"/>
          <w:docGrid w:linePitch="299"/>
        </w:sectPr>
      </w:pPr>
      <w:r w:rsidRPr="00C73234">
        <w:rPr>
          <w:rFonts w:ascii="Times New Roman" w:hAnsi="Times New Roman"/>
        </w:rPr>
        <w:fldChar w:fldCharType="end"/>
      </w:r>
    </w:p>
    <w:p w14:paraId="5639BB99" w14:textId="77777777" w:rsidR="00E30462" w:rsidRDefault="00E30462" w:rsidP="00A94275">
      <w:pPr>
        <w:pStyle w:val="Heading1"/>
        <w:rPr>
          <w:rStyle w:val="Heading1Char2"/>
          <w:rFonts w:ascii="Times New Roman" w:hAnsi="Times New Roman"/>
        </w:rPr>
      </w:pPr>
      <w:bookmarkStart w:id="9" w:name="_Toc510531438"/>
      <w:bookmarkStart w:id="10" w:name="_Toc325730195"/>
      <w:bookmarkStart w:id="11" w:name="_Toc325730196"/>
      <w:bookmarkStart w:id="12" w:name="_Toc230592156"/>
      <w:bookmarkStart w:id="13" w:name="_Toc388648365"/>
      <w:r>
        <w:rPr>
          <w:rStyle w:val="Heading1Char2"/>
          <w:rFonts w:ascii="Times New Roman" w:hAnsi="Times New Roman"/>
        </w:rPr>
        <w:lastRenderedPageBreak/>
        <w:t>Executive Summary</w:t>
      </w:r>
      <w:bookmarkEnd w:id="9"/>
    </w:p>
    <w:p w14:paraId="621ED7FC" w14:textId="38931496" w:rsidR="00D56DCD" w:rsidRDefault="00EC65B5" w:rsidP="00E30462">
      <w:pPr>
        <w:rPr>
          <w:lang w:val="en-AU"/>
        </w:rPr>
      </w:pPr>
      <w:r>
        <w:rPr>
          <w:lang w:val="en-AU"/>
        </w:rPr>
        <w:t>Under the Montreal Protocol, t</w:t>
      </w:r>
      <w:r w:rsidR="00D56DCD">
        <w:rPr>
          <w:lang w:val="en-AU"/>
        </w:rPr>
        <w:t>he</w:t>
      </w:r>
      <w:r w:rsidR="00D56DCD" w:rsidRPr="008A207D">
        <w:rPr>
          <w:lang w:val="en-AU"/>
        </w:rPr>
        <w:t xml:space="preserve"> </w:t>
      </w:r>
      <w:r w:rsidR="00D56DCD">
        <w:rPr>
          <w:lang w:val="en-AU"/>
        </w:rPr>
        <w:t xml:space="preserve">definition </w:t>
      </w:r>
      <w:r>
        <w:rPr>
          <w:lang w:val="en-AU"/>
        </w:rPr>
        <w:t>and data reporting requirements for p</w:t>
      </w:r>
      <w:r w:rsidR="00D56DCD">
        <w:rPr>
          <w:lang w:val="en-AU"/>
        </w:rPr>
        <w:t xml:space="preserve">roduction </w:t>
      </w:r>
      <w:r w:rsidR="00A64273">
        <w:rPr>
          <w:lang w:val="en-AU"/>
        </w:rPr>
        <w:t xml:space="preserve">of controlled substances </w:t>
      </w:r>
      <w:r>
        <w:rPr>
          <w:lang w:val="en-AU"/>
        </w:rPr>
        <w:t xml:space="preserve">require </w:t>
      </w:r>
      <w:r w:rsidR="00D56DCD">
        <w:rPr>
          <w:lang w:val="en-AU"/>
        </w:rPr>
        <w:t>parties to determine</w:t>
      </w:r>
      <w:r w:rsidR="00D56DCD" w:rsidRPr="008A207D">
        <w:rPr>
          <w:lang w:val="en-AU"/>
        </w:rPr>
        <w:t xml:space="preserve"> the </w:t>
      </w:r>
      <w:r w:rsidR="00D56DCD">
        <w:rPr>
          <w:lang w:val="en-AU"/>
        </w:rPr>
        <w:t>quantity</w:t>
      </w:r>
      <w:r w:rsidR="00D56DCD" w:rsidRPr="008A207D">
        <w:rPr>
          <w:lang w:val="en-AU"/>
        </w:rPr>
        <w:t xml:space="preserve"> of </w:t>
      </w:r>
      <w:r w:rsidR="00BF3B2B">
        <w:rPr>
          <w:lang w:val="en-AU"/>
        </w:rPr>
        <w:t>ozone-depleting substances (</w:t>
      </w:r>
      <w:r w:rsidR="00D56DCD" w:rsidRPr="008A207D">
        <w:rPr>
          <w:lang w:val="en-AU"/>
        </w:rPr>
        <w:t>ODS</w:t>
      </w:r>
      <w:r>
        <w:rPr>
          <w:lang w:val="en-AU"/>
        </w:rPr>
        <w:t>)</w:t>
      </w:r>
      <w:r w:rsidR="00D56DCD" w:rsidRPr="008A207D">
        <w:rPr>
          <w:lang w:val="en-AU"/>
        </w:rPr>
        <w:t xml:space="preserve"> </w:t>
      </w:r>
      <w:r>
        <w:rPr>
          <w:lang w:val="en-AU"/>
        </w:rPr>
        <w:t xml:space="preserve">destroyed in </w:t>
      </w:r>
      <w:r w:rsidR="00D56DCD" w:rsidRPr="008A207D">
        <w:rPr>
          <w:lang w:val="en-AU"/>
        </w:rPr>
        <w:t>destruction facilit</w:t>
      </w:r>
      <w:r>
        <w:rPr>
          <w:lang w:val="en-AU"/>
        </w:rPr>
        <w:t>ies</w:t>
      </w:r>
      <w:r w:rsidR="00D56DCD">
        <w:rPr>
          <w:lang w:val="en-AU"/>
        </w:rPr>
        <w:t xml:space="preserve">, in order to meet </w:t>
      </w:r>
      <w:r w:rsidR="00C1010C">
        <w:rPr>
          <w:lang w:val="en-AU"/>
        </w:rPr>
        <w:t xml:space="preserve">their </w:t>
      </w:r>
      <w:r w:rsidR="00D56DCD">
        <w:rPr>
          <w:lang w:val="en-AU"/>
        </w:rPr>
        <w:t>reporting and compliance obligations.</w:t>
      </w:r>
    </w:p>
    <w:p w14:paraId="77BA389B" w14:textId="37C0F253" w:rsidR="009B1AD6" w:rsidRDefault="009B1AD6" w:rsidP="009B1AD6">
      <w:pPr>
        <w:rPr>
          <w:lang w:val="en-AU"/>
        </w:rPr>
      </w:pPr>
      <w:r>
        <w:rPr>
          <w:lang w:val="en-AU"/>
        </w:rPr>
        <w:t>P</w:t>
      </w:r>
      <w:r w:rsidR="00D56DCD">
        <w:rPr>
          <w:lang w:val="en-AU"/>
        </w:rPr>
        <w:t xml:space="preserve">arties to the Montreal Protocol have periodically requested the </w:t>
      </w:r>
      <w:r w:rsidR="00064527">
        <w:rPr>
          <w:lang w:val="en-AU"/>
        </w:rPr>
        <w:t>Technology and Economic Assessment Panel (</w:t>
      </w:r>
      <w:r w:rsidR="00D56DCD">
        <w:rPr>
          <w:lang w:val="en-AU"/>
        </w:rPr>
        <w:t>TEAP</w:t>
      </w:r>
      <w:r w:rsidR="00064527">
        <w:rPr>
          <w:lang w:val="en-AU"/>
        </w:rPr>
        <w:t>)</w:t>
      </w:r>
      <w:r w:rsidR="00D56DCD">
        <w:rPr>
          <w:lang w:val="en-AU"/>
        </w:rPr>
        <w:t xml:space="preserve"> to assess destruction technologies</w:t>
      </w:r>
      <w:r w:rsidR="00EC65B5">
        <w:rPr>
          <w:lang w:val="en-AU"/>
        </w:rPr>
        <w:t xml:space="preserve">. </w:t>
      </w:r>
      <w:r>
        <w:rPr>
          <w:lang w:val="en-AU"/>
        </w:rPr>
        <w:t>Based on th</w:t>
      </w:r>
      <w:r w:rsidR="00EC65B5">
        <w:rPr>
          <w:lang w:val="en-AU"/>
        </w:rPr>
        <w:t>ese</w:t>
      </w:r>
      <w:r>
        <w:rPr>
          <w:lang w:val="en-AU"/>
        </w:rPr>
        <w:t xml:space="preserve"> a</w:t>
      </w:r>
      <w:r w:rsidR="00EC65B5">
        <w:rPr>
          <w:lang w:val="en-AU"/>
        </w:rPr>
        <w:t>ssessments</w:t>
      </w:r>
      <w:r w:rsidR="00C1010C">
        <w:rPr>
          <w:lang w:val="en-AU"/>
        </w:rPr>
        <w:t>,</w:t>
      </w:r>
      <w:r>
        <w:rPr>
          <w:lang w:val="en-AU"/>
        </w:rPr>
        <w:t xml:space="preserve"> parties have taken a number of decisions to approve dest</w:t>
      </w:r>
      <w:r w:rsidR="00CF2DCF">
        <w:rPr>
          <w:lang w:val="en-AU"/>
        </w:rPr>
        <w:t>r</w:t>
      </w:r>
      <w:r>
        <w:rPr>
          <w:lang w:val="en-AU"/>
        </w:rPr>
        <w:t xml:space="preserve">uction technologies for the purposes of Montreal Protocol requirements. </w:t>
      </w:r>
      <w:r w:rsidR="00EC65B5">
        <w:rPr>
          <w:lang w:val="en-AU"/>
        </w:rPr>
        <w:t xml:space="preserve">The </w:t>
      </w:r>
      <w:r>
        <w:rPr>
          <w:lang w:val="en-AU"/>
        </w:rPr>
        <w:t>list of destruction technologies</w:t>
      </w:r>
      <w:r w:rsidR="00EC65B5">
        <w:rPr>
          <w:lang w:val="en-AU"/>
        </w:rPr>
        <w:t xml:space="preserve"> </w:t>
      </w:r>
      <w:r>
        <w:rPr>
          <w:lang w:val="en-AU"/>
        </w:rPr>
        <w:t xml:space="preserve">approved by parties has been updated in </w:t>
      </w:r>
      <w:r w:rsidR="00EC65B5">
        <w:rPr>
          <w:lang w:val="en-AU"/>
        </w:rPr>
        <w:t>a sequence of d</w:t>
      </w:r>
      <w:r>
        <w:rPr>
          <w:lang w:val="en-AU"/>
        </w:rPr>
        <w:t>ecisions, with the most recent list contained in the Annex to decision XXIII/12.</w:t>
      </w:r>
    </w:p>
    <w:p w14:paraId="5B30B346" w14:textId="4F00D5F0" w:rsidR="00EB5365" w:rsidRDefault="00D56DCD" w:rsidP="00EB5365">
      <w:r>
        <w:t xml:space="preserve">At their 29th Meeting, parties requested the </w:t>
      </w:r>
      <w:r w:rsidR="00064527">
        <w:t>TEAP</w:t>
      </w:r>
      <w:r>
        <w:t xml:space="preserve"> to report</w:t>
      </w:r>
      <w:r w:rsidR="009B1AD6" w:rsidRPr="009B1AD6">
        <w:t xml:space="preserve"> </w:t>
      </w:r>
      <w:r w:rsidR="009B1AD6">
        <w:t>by 31</w:t>
      </w:r>
      <w:r w:rsidR="009B1AD6" w:rsidRPr="00D05E5C">
        <w:rPr>
          <w:vertAlign w:val="superscript"/>
        </w:rPr>
        <w:t>st</w:t>
      </w:r>
      <w:r w:rsidR="009B1AD6">
        <w:t xml:space="preserve"> March, and if needed in a supplementary report to the 40</w:t>
      </w:r>
      <w:r w:rsidR="009B1AD6" w:rsidRPr="00D05E5C">
        <w:rPr>
          <w:vertAlign w:val="superscript"/>
        </w:rPr>
        <w:t>th</w:t>
      </w:r>
      <w:r w:rsidR="009B1AD6">
        <w:t xml:space="preserve"> Open-ended Working Group (OEWG),</w:t>
      </w:r>
      <w:r>
        <w:t xml:space="preserve"> on an assessment of destruction technologies, as instructed in decision XXIX/4. </w:t>
      </w:r>
      <w:r w:rsidR="00EB5365">
        <w:rPr>
          <w:lang w:val="en-AU"/>
        </w:rPr>
        <w:t>Decision XXIX/4 request</w:t>
      </w:r>
      <w:r w:rsidR="000A3005">
        <w:rPr>
          <w:lang w:val="en-AU"/>
        </w:rPr>
        <w:t>s</w:t>
      </w:r>
      <w:r w:rsidR="00EB5365">
        <w:rPr>
          <w:lang w:val="en-AU"/>
        </w:rPr>
        <w:t xml:space="preserve"> </w:t>
      </w:r>
      <w:r w:rsidR="00EB5365" w:rsidRPr="00341EDC">
        <w:rPr>
          <w:lang w:val="en-AU"/>
        </w:rPr>
        <w:t>a</w:t>
      </w:r>
      <w:r w:rsidR="00EB5365" w:rsidRPr="00341EDC">
        <w:t xml:space="preserve">n assessment of the </w:t>
      </w:r>
      <w:r w:rsidR="00CF2DCF" w:rsidRPr="00341EDC">
        <w:t xml:space="preserve">applicability </w:t>
      </w:r>
      <w:r w:rsidR="00CF2DCF">
        <w:t xml:space="preserve">of </w:t>
      </w:r>
      <w:r w:rsidR="000A3005">
        <w:t xml:space="preserve">approved </w:t>
      </w:r>
      <w:r w:rsidR="00EB5365" w:rsidRPr="00341EDC">
        <w:t>destruction technologies to hydrofluorocarbons</w:t>
      </w:r>
      <w:r w:rsidR="00064527">
        <w:t xml:space="preserve"> (HFCs)</w:t>
      </w:r>
      <w:r w:rsidR="00EB5365">
        <w:t xml:space="preserve">, </w:t>
      </w:r>
      <w:r w:rsidR="000A3005">
        <w:t>and</w:t>
      </w:r>
      <w:r w:rsidR="00EB5365">
        <w:t xml:space="preserve"> </w:t>
      </w:r>
      <w:r w:rsidR="00ED10C7">
        <w:t xml:space="preserve">a </w:t>
      </w:r>
      <w:r w:rsidR="00EB5365">
        <w:t xml:space="preserve">review </w:t>
      </w:r>
      <w:r w:rsidR="00ED10C7">
        <w:t xml:space="preserve">of </w:t>
      </w:r>
      <w:r w:rsidR="00EB5365" w:rsidRPr="00341EDC">
        <w:t xml:space="preserve">any other technology for possible inclusion in the list of approved destruction technologies </w:t>
      </w:r>
      <w:r w:rsidR="00CF2DCF">
        <w:t xml:space="preserve">for </w:t>
      </w:r>
      <w:r w:rsidR="00EB5365">
        <w:t xml:space="preserve">all </w:t>
      </w:r>
      <w:r w:rsidR="00EB5365" w:rsidRPr="00341EDC">
        <w:t>controlled substances</w:t>
      </w:r>
      <w:r w:rsidR="00EB5365">
        <w:t>.</w:t>
      </w:r>
      <w:r w:rsidR="00EB5365" w:rsidRPr="00EB5365">
        <w:t xml:space="preserve"> </w:t>
      </w:r>
      <w:r w:rsidR="00EB5365">
        <w:t>The decision also invited parties to submit information relevant to these tasks to the TEAP, and submissions were</w:t>
      </w:r>
      <w:r w:rsidR="00EB5365" w:rsidRPr="00F0524B">
        <w:t xml:space="preserve"> received from</w:t>
      </w:r>
      <w:r w:rsidR="00EB5365">
        <w:t xml:space="preserve"> Armenia, Australia, Canada, China, the European Union, Japan, Luxembourg, Mexico, the United States, and Venezuela</w:t>
      </w:r>
      <w:r w:rsidR="00EB5365" w:rsidRPr="00F0524B">
        <w:t>.</w:t>
      </w:r>
    </w:p>
    <w:p w14:paraId="0A9A60C5" w14:textId="0E3570B3" w:rsidR="00B53D9D" w:rsidRDefault="00D56DCD" w:rsidP="00B53D9D">
      <w:r w:rsidRPr="008A207D">
        <w:rPr>
          <w:lang w:val="en-US"/>
        </w:rPr>
        <w:t>In response</w:t>
      </w:r>
      <w:r w:rsidR="00EB5365">
        <w:rPr>
          <w:lang w:val="en-US"/>
        </w:rPr>
        <w:t xml:space="preserve"> to Decision XXIX/4</w:t>
      </w:r>
      <w:r w:rsidRPr="008A207D">
        <w:rPr>
          <w:lang w:val="en-US"/>
        </w:rPr>
        <w:t>, TEAP formed a temporary s</w:t>
      </w:r>
      <w:r>
        <w:rPr>
          <w:lang w:val="en-US"/>
        </w:rPr>
        <w:t xml:space="preserve">ubsidiary body, in the form of </w:t>
      </w:r>
      <w:r w:rsidR="00B53D9D">
        <w:rPr>
          <w:lang w:val="en-US"/>
        </w:rPr>
        <w:t xml:space="preserve">a </w:t>
      </w:r>
      <w:r>
        <w:rPr>
          <w:lang w:val="en-US"/>
        </w:rPr>
        <w:t>Task F</w:t>
      </w:r>
      <w:r w:rsidRPr="008A207D">
        <w:rPr>
          <w:lang w:val="en-US"/>
        </w:rPr>
        <w:t>orce</w:t>
      </w:r>
      <w:r w:rsidR="00B53D9D">
        <w:rPr>
          <w:lang w:val="en-US"/>
        </w:rPr>
        <w:t xml:space="preserve"> on Destruction Technologies (the 2018 TFDT)</w:t>
      </w:r>
      <w:r w:rsidRPr="008A207D">
        <w:rPr>
          <w:lang w:val="en-US"/>
        </w:rPr>
        <w:t xml:space="preserve">, which combines both TEAP and outside expertise to address the requirements of </w:t>
      </w:r>
      <w:r>
        <w:rPr>
          <w:lang w:val="en-US"/>
        </w:rPr>
        <w:t xml:space="preserve">this </w:t>
      </w:r>
      <w:r w:rsidRPr="008A207D">
        <w:rPr>
          <w:lang w:val="en-US"/>
        </w:rPr>
        <w:t>decision.</w:t>
      </w:r>
      <w:r w:rsidR="00EB5365" w:rsidRPr="00F0524B">
        <w:t xml:space="preserve"> </w:t>
      </w:r>
      <w:r w:rsidR="00EB5365">
        <w:rPr>
          <w:lang w:val="en-AU"/>
        </w:rPr>
        <w:t>In addition to considering the relevant information provided by parties in their submissions, the 2018 TFDT also conducted l</w:t>
      </w:r>
      <w:r w:rsidR="00EB5365" w:rsidRPr="00587D2E">
        <w:rPr>
          <w:lang w:val="en-AU"/>
        </w:rPr>
        <w:t xml:space="preserve">iterature research, </w:t>
      </w:r>
      <w:r w:rsidR="00EB5365">
        <w:rPr>
          <w:lang w:val="en-AU"/>
        </w:rPr>
        <w:t xml:space="preserve">reviewed other publicly available information, </w:t>
      </w:r>
      <w:r w:rsidR="00EB5365" w:rsidRPr="00587D2E">
        <w:rPr>
          <w:lang w:val="en-AU"/>
        </w:rPr>
        <w:t xml:space="preserve">and </w:t>
      </w:r>
      <w:r w:rsidR="00EB5365">
        <w:rPr>
          <w:lang w:val="en-AU"/>
        </w:rPr>
        <w:t xml:space="preserve">requested </w:t>
      </w:r>
      <w:r w:rsidR="00EB5365" w:rsidRPr="00587D2E">
        <w:rPr>
          <w:lang w:val="en-AU"/>
        </w:rPr>
        <w:t xml:space="preserve">detailed clarifications and </w:t>
      </w:r>
      <w:r w:rsidR="00EB5365">
        <w:rPr>
          <w:lang w:val="en-AU"/>
        </w:rPr>
        <w:t>additional information</w:t>
      </w:r>
      <w:r w:rsidR="00EB5365" w:rsidRPr="00587D2E">
        <w:rPr>
          <w:lang w:val="en-AU"/>
        </w:rPr>
        <w:t xml:space="preserve"> </w:t>
      </w:r>
      <w:r w:rsidR="00EB5365">
        <w:rPr>
          <w:lang w:val="en-AU"/>
        </w:rPr>
        <w:t xml:space="preserve">from </w:t>
      </w:r>
      <w:r w:rsidR="00EB5365" w:rsidRPr="00587D2E">
        <w:rPr>
          <w:lang w:val="en-AU"/>
        </w:rPr>
        <w:t xml:space="preserve">several </w:t>
      </w:r>
      <w:r w:rsidR="00EB5365">
        <w:rPr>
          <w:lang w:val="en-AU"/>
        </w:rPr>
        <w:t xml:space="preserve">parties and/or </w:t>
      </w:r>
      <w:r w:rsidR="00EB5365" w:rsidRPr="00587D2E">
        <w:rPr>
          <w:lang w:val="en-AU"/>
        </w:rPr>
        <w:t xml:space="preserve">technology </w:t>
      </w:r>
      <w:r w:rsidR="00D06B19">
        <w:rPr>
          <w:lang w:val="en-AU"/>
        </w:rPr>
        <w:t xml:space="preserve">suppliers or </w:t>
      </w:r>
      <w:r w:rsidR="00EB5365">
        <w:rPr>
          <w:lang w:val="en-AU"/>
        </w:rPr>
        <w:t>owners</w:t>
      </w:r>
      <w:r w:rsidR="00EB5365" w:rsidRPr="00587D2E">
        <w:rPr>
          <w:lang w:val="en-AU"/>
        </w:rPr>
        <w:t>.</w:t>
      </w:r>
    </w:p>
    <w:p w14:paraId="0DF05A77" w14:textId="2CBE0D6E" w:rsidR="00B53D9D" w:rsidRDefault="00B53D9D" w:rsidP="00B53D9D">
      <w:pPr>
        <w:rPr>
          <w:lang w:val="en-AU"/>
        </w:rPr>
      </w:pPr>
      <w:r>
        <w:rPr>
          <w:lang w:val="en-AU"/>
        </w:rPr>
        <w:t>In 2002, a major assessment on destruction was undertaken by the TEAP Task Force on Destruction Technologies</w:t>
      </w:r>
      <w:r w:rsidR="00EC65B5">
        <w:rPr>
          <w:lang w:val="en-AU"/>
        </w:rPr>
        <w:t xml:space="preserve">, in which </w:t>
      </w:r>
      <w:r>
        <w:rPr>
          <w:lang w:val="en-US"/>
        </w:rPr>
        <w:t xml:space="preserve">screening </w:t>
      </w:r>
      <w:r w:rsidRPr="000A009B">
        <w:rPr>
          <w:lang w:val="en-US"/>
        </w:rPr>
        <w:t xml:space="preserve">criteria </w:t>
      </w:r>
      <w:r w:rsidR="00EC65B5">
        <w:rPr>
          <w:lang w:val="en-US"/>
        </w:rPr>
        <w:t xml:space="preserve">were developed </w:t>
      </w:r>
      <w:r w:rsidRPr="000A009B">
        <w:rPr>
          <w:lang w:val="en-US"/>
        </w:rPr>
        <w:t xml:space="preserve">for </w:t>
      </w:r>
      <w:r>
        <w:rPr>
          <w:lang w:val="en-US"/>
        </w:rPr>
        <w:t>the assessment of destruction technologies</w:t>
      </w:r>
      <w:r w:rsidR="00EC65B5">
        <w:rPr>
          <w:lang w:val="en-US"/>
        </w:rPr>
        <w:t xml:space="preserve"> in 2002 and subsequent reports</w:t>
      </w:r>
      <w:r>
        <w:rPr>
          <w:lang w:val="en-US"/>
        </w:rPr>
        <w:t xml:space="preserve">. </w:t>
      </w:r>
      <w:r w:rsidR="00EA1F29">
        <w:rPr>
          <w:lang w:val="en-AU"/>
        </w:rPr>
        <w:t xml:space="preserve">These </w:t>
      </w:r>
      <w:r w:rsidR="00EC65B5">
        <w:rPr>
          <w:lang w:val="en-AU"/>
        </w:rPr>
        <w:t xml:space="preserve">benchmark </w:t>
      </w:r>
      <w:r w:rsidR="00EA1F29">
        <w:rPr>
          <w:lang w:val="en-AU"/>
        </w:rPr>
        <w:t>criteria</w:t>
      </w:r>
      <w:r w:rsidRPr="00F15DB8">
        <w:rPr>
          <w:lang w:val="en-US"/>
        </w:rPr>
        <w:t xml:space="preserve"> </w:t>
      </w:r>
      <w:r w:rsidR="00EC65B5">
        <w:rPr>
          <w:lang w:val="en-US"/>
        </w:rPr>
        <w:t xml:space="preserve">include the </w:t>
      </w:r>
      <w:r w:rsidRPr="00F15DB8">
        <w:rPr>
          <w:lang w:val="en-US"/>
        </w:rPr>
        <w:t>minimum destruction and removal efficiencies</w:t>
      </w:r>
      <w:r w:rsidR="003E3C12">
        <w:rPr>
          <w:rStyle w:val="FootnoteReference"/>
          <w:lang w:val="en-US"/>
        </w:rPr>
        <w:footnoteReference w:id="1"/>
      </w:r>
      <w:r w:rsidR="00CF2DCF">
        <w:rPr>
          <w:lang w:val="en-US"/>
        </w:rPr>
        <w:t xml:space="preserve"> (DRE)</w:t>
      </w:r>
      <w:r w:rsidR="00EC65B5">
        <w:rPr>
          <w:lang w:val="en-US"/>
        </w:rPr>
        <w:t>,</w:t>
      </w:r>
      <w:r w:rsidRPr="00F15DB8">
        <w:rPr>
          <w:lang w:val="en-US"/>
        </w:rPr>
        <w:t xml:space="preserve"> and maximum emission of pollutants to the atmosphere</w:t>
      </w:r>
      <w:r w:rsidR="00EC65B5">
        <w:rPr>
          <w:lang w:val="en-US"/>
        </w:rPr>
        <w:t xml:space="preserve">, </w:t>
      </w:r>
      <w:r w:rsidR="00F94EA3">
        <w:rPr>
          <w:lang w:val="en-US"/>
        </w:rPr>
        <w:t xml:space="preserve">to enable comparison between technologies. On this basis, </w:t>
      </w:r>
      <w:r>
        <w:rPr>
          <w:lang w:val="en-US"/>
        </w:rPr>
        <w:t>recommendation</w:t>
      </w:r>
      <w:r w:rsidR="00EC65B5">
        <w:rPr>
          <w:lang w:val="en-US"/>
        </w:rPr>
        <w:t xml:space="preserve">s </w:t>
      </w:r>
      <w:r w:rsidR="00F94EA3">
        <w:rPr>
          <w:lang w:val="en-US"/>
        </w:rPr>
        <w:t xml:space="preserve">were </w:t>
      </w:r>
      <w:r w:rsidR="00EC65B5">
        <w:rPr>
          <w:lang w:val="en-US"/>
        </w:rPr>
        <w:t xml:space="preserve">made to </w:t>
      </w:r>
      <w:r>
        <w:rPr>
          <w:lang w:val="en-US"/>
        </w:rPr>
        <w:t>the p</w:t>
      </w:r>
      <w:r w:rsidRPr="00F15DB8">
        <w:rPr>
          <w:lang w:val="en-US"/>
        </w:rPr>
        <w:t xml:space="preserve">arties </w:t>
      </w:r>
      <w:r>
        <w:rPr>
          <w:lang w:val="en-US"/>
        </w:rPr>
        <w:t>to</w:t>
      </w:r>
      <w:r w:rsidRPr="00F15DB8">
        <w:rPr>
          <w:lang w:val="en-US"/>
        </w:rPr>
        <w:t xml:space="preserve"> the Montreal Protocol</w:t>
      </w:r>
      <w:r w:rsidR="00EC65B5">
        <w:rPr>
          <w:lang w:val="en-US"/>
        </w:rPr>
        <w:t>, to enable their a</w:t>
      </w:r>
      <w:r w:rsidRPr="00F15DB8">
        <w:rPr>
          <w:lang w:val="en-US"/>
        </w:rPr>
        <w:t>pproval as destruction technologies</w:t>
      </w:r>
      <w:r w:rsidRPr="008E5BF3">
        <w:rPr>
          <w:color w:val="auto"/>
          <w:lang w:val="en-US"/>
        </w:rPr>
        <w:t xml:space="preserve">. </w:t>
      </w:r>
      <w:r w:rsidR="00EA1F29">
        <w:rPr>
          <w:lang w:val="en-AU"/>
        </w:rPr>
        <w:t>Chapter 2 outlines the performance and technical capability criteria against which approved technologies have been assessed.</w:t>
      </w:r>
    </w:p>
    <w:p w14:paraId="4059557A" w14:textId="2AD37441" w:rsidR="00CF2DCF" w:rsidRDefault="0098413B" w:rsidP="00ED10C7">
      <w:pPr>
        <w:rPr>
          <w:shd w:val="clear" w:color="auto" w:fill="FFFFFF"/>
          <w:lang w:val="en-US" w:eastAsia="en-US"/>
        </w:rPr>
      </w:pPr>
      <w:r w:rsidRPr="00DE0456">
        <w:rPr>
          <w:shd w:val="clear" w:color="auto" w:fill="FFFFFF"/>
          <w:lang w:val="en-US" w:eastAsia="en-US"/>
        </w:rPr>
        <w:t xml:space="preserve">The 2018 TFDT has used the following requirements to </w:t>
      </w:r>
      <w:r w:rsidR="00DB163F">
        <w:rPr>
          <w:shd w:val="clear" w:color="auto" w:fill="FFFFFF"/>
          <w:lang w:val="en-US" w:eastAsia="en-US"/>
        </w:rPr>
        <w:t>assess</w:t>
      </w:r>
      <w:r w:rsidR="00DB163F" w:rsidRPr="00DE0456">
        <w:rPr>
          <w:shd w:val="clear" w:color="auto" w:fill="FFFFFF"/>
          <w:lang w:val="en-US" w:eastAsia="en-US"/>
        </w:rPr>
        <w:t xml:space="preserve"> </w:t>
      </w:r>
      <w:r w:rsidRPr="00DE0456">
        <w:rPr>
          <w:shd w:val="clear" w:color="auto" w:fill="FFFFFF"/>
          <w:lang w:val="en-US" w:eastAsia="en-US"/>
        </w:rPr>
        <w:t>a technology</w:t>
      </w:r>
      <w:r>
        <w:rPr>
          <w:shd w:val="clear" w:color="auto" w:fill="FFFFFF"/>
          <w:lang w:val="en-US" w:eastAsia="en-US"/>
        </w:rPr>
        <w:t xml:space="preserve"> </w:t>
      </w:r>
      <w:r w:rsidR="00823AC8">
        <w:rPr>
          <w:shd w:val="clear" w:color="auto" w:fill="FFFFFF"/>
          <w:lang w:val="en-US" w:eastAsia="en-US"/>
        </w:rPr>
        <w:t xml:space="preserve">that has been previously approved </w:t>
      </w:r>
      <w:r w:rsidR="00823AC8" w:rsidRPr="00DE0456">
        <w:rPr>
          <w:shd w:val="clear" w:color="auto" w:fill="FFFFFF"/>
          <w:lang w:val="en-US" w:eastAsia="en-US"/>
        </w:rPr>
        <w:t xml:space="preserve">for </w:t>
      </w:r>
      <w:r w:rsidR="00823AC8">
        <w:rPr>
          <w:shd w:val="clear" w:color="auto" w:fill="FFFFFF"/>
          <w:lang w:val="en-US" w:eastAsia="en-US"/>
        </w:rPr>
        <w:t xml:space="preserve">ODS </w:t>
      </w:r>
      <w:r w:rsidR="00ED10C7">
        <w:rPr>
          <w:shd w:val="clear" w:color="auto" w:fill="FFFFFF"/>
          <w:lang w:val="en-US" w:eastAsia="en-US"/>
        </w:rPr>
        <w:t xml:space="preserve">for its applicability </w:t>
      </w:r>
      <w:r w:rsidR="00F93039">
        <w:rPr>
          <w:shd w:val="clear" w:color="auto" w:fill="FFFFFF"/>
          <w:lang w:val="en-US" w:eastAsia="en-US"/>
        </w:rPr>
        <w:t xml:space="preserve">to </w:t>
      </w:r>
      <w:r w:rsidR="00ED10C7" w:rsidRPr="00DE0456">
        <w:rPr>
          <w:shd w:val="clear" w:color="auto" w:fill="FFFFFF"/>
          <w:lang w:val="en-US" w:eastAsia="en-US"/>
        </w:rPr>
        <w:t>HFCs destruction</w:t>
      </w:r>
      <w:r w:rsidR="00F94EA3">
        <w:rPr>
          <w:shd w:val="clear" w:color="auto" w:fill="FFFFFF"/>
          <w:lang w:val="en-US" w:eastAsia="en-US"/>
        </w:rPr>
        <w:t>:</w:t>
      </w:r>
    </w:p>
    <w:p w14:paraId="2111E020" w14:textId="2D03179E" w:rsidR="0098413B" w:rsidRPr="00DE0456" w:rsidRDefault="0098413B" w:rsidP="00A549E8">
      <w:pPr>
        <w:pStyle w:val="ListParagraph"/>
        <w:rPr>
          <w:lang w:eastAsia="en-US"/>
        </w:rPr>
      </w:pPr>
      <w:r>
        <w:rPr>
          <w:shd w:val="clear" w:color="auto" w:fill="FFFFFF"/>
          <w:lang w:eastAsia="en-US"/>
        </w:rPr>
        <w:t>T</w:t>
      </w:r>
      <w:r w:rsidRPr="00D05E5C">
        <w:rPr>
          <w:shd w:val="clear" w:color="auto" w:fill="FFFFFF"/>
          <w:lang w:eastAsia="en-US"/>
        </w:rPr>
        <w:t xml:space="preserve">he DRE must be </w:t>
      </w:r>
      <w:r w:rsidR="00B53E27">
        <w:rPr>
          <w:shd w:val="clear" w:color="auto" w:fill="FFFFFF"/>
          <w:lang w:eastAsia="en-US"/>
        </w:rPr>
        <w:t>a minimum of</w:t>
      </w:r>
      <w:r w:rsidR="00B53E27" w:rsidRPr="00D05E5C">
        <w:rPr>
          <w:shd w:val="clear" w:color="auto" w:fill="FFFFFF"/>
          <w:lang w:eastAsia="en-US"/>
        </w:rPr>
        <w:t xml:space="preserve"> </w:t>
      </w:r>
      <w:r w:rsidRPr="00D05E5C">
        <w:rPr>
          <w:shd w:val="clear" w:color="auto" w:fill="FFFFFF"/>
          <w:lang w:eastAsia="en-US"/>
        </w:rPr>
        <w:t xml:space="preserve">99.99% for concentrated sources or 95% for dilute sources. </w:t>
      </w:r>
    </w:p>
    <w:p w14:paraId="45CFFBA6" w14:textId="2677848E" w:rsidR="0098413B" w:rsidRPr="00D05E5C" w:rsidRDefault="0098413B" w:rsidP="00A549E8">
      <w:pPr>
        <w:pStyle w:val="ListParagraph"/>
        <w:rPr>
          <w:lang w:eastAsia="en-US"/>
        </w:rPr>
      </w:pPr>
      <w:r w:rsidRPr="00D05E5C">
        <w:rPr>
          <w:shd w:val="clear" w:color="auto" w:fill="FFFFFF"/>
          <w:lang w:eastAsia="en-US"/>
        </w:rPr>
        <w:lastRenderedPageBreak/>
        <w:t>The H</w:t>
      </w:r>
      <w:r w:rsidR="00CF2DCF">
        <w:rPr>
          <w:shd w:val="clear" w:color="auto" w:fill="FFFFFF"/>
          <w:lang w:eastAsia="en-US"/>
        </w:rPr>
        <w:t>ydrogen Fluoride</w:t>
      </w:r>
      <w:r w:rsidRPr="00D05E5C">
        <w:rPr>
          <w:shd w:val="clear" w:color="auto" w:fill="FFFFFF"/>
          <w:lang w:eastAsia="en-US"/>
        </w:rPr>
        <w:t xml:space="preserve"> emissions must be demonstrated to be </w:t>
      </w:r>
      <w:r w:rsidR="00B53E27">
        <w:rPr>
          <w:shd w:val="clear" w:color="auto" w:fill="FFFFFF"/>
          <w:lang w:eastAsia="en-US"/>
        </w:rPr>
        <w:t xml:space="preserve">less than </w:t>
      </w:r>
      <w:r w:rsidRPr="00D05E5C">
        <w:rPr>
          <w:shd w:val="clear" w:color="auto" w:fill="FFFFFF"/>
          <w:lang w:eastAsia="en-US"/>
        </w:rPr>
        <w:t>5 mg/Nm</w:t>
      </w:r>
      <w:r w:rsidRPr="00D05E5C">
        <w:rPr>
          <w:shd w:val="clear" w:color="auto" w:fill="FFFFFF"/>
          <w:vertAlign w:val="superscript"/>
          <w:lang w:eastAsia="en-US"/>
        </w:rPr>
        <w:t>3</w:t>
      </w:r>
      <w:r w:rsidRPr="00D05E5C">
        <w:rPr>
          <w:shd w:val="clear" w:color="auto" w:fill="FFFFFF"/>
          <w:lang w:eastAsia="en-US"/>
        </w:rPr>
        <w:t xml:space="preserve"> and CO emissions </w:t>
      </w:r>
      <w:r w:rsidR="00B53E27">
        <w:rPr>
          <w:shd w:val="clear" w:color="auto" w:fill="FFFFFF"/>
          <w:lang w:eastAsia="en-US"/>
        </w:rPr>
        <w:t>less than</w:t>
      </w:r>
      <w:r w:rsidR="00CF2DCF">
        <w:rPr>
          <w:shd w:val="clear" w:color="auto" w:fill="FFFFFF"/>
          <w:lang w:eastAsia="en-US"/>
        </w:rPr>
        <w:t xml:space="preserve"> </w:t>
      </w:r>
      <w:r w:rsidRPr="00D05E5C">
        <w:rPr>
          <w:shd w:val="clear" w:color="auto" w:fill="FFFFFF"/>
          <w:lang w:eastAsia="en-US"/>
        </w:rPr>
        <w:t>100 mg/Nm</w:t>
      </w:r>
      <w:r w:rsidRPr="00D05E5C">
        <w:rPr>
          <w:shd w:val="clear" w:color="auto" w:fill="FFFFFF"/>
          <w:vertAlign w:val="superscript"/>
          <w:lang w:eastAsia="en-US"/>
        </w:rPr>
        <w:t>3</w:t>
      </w:r>
      <w:r w:rsidRPr="00D05E5C">
        <w:rPr>
          <w:shd w:val="clear" w:color="auto" w:fill="FFFFFF"/>
          <w:lang w:eastAsia="en-US"/>
        </w:rPr>
        <w:t>.</w:t>
      </w:r>
    </w:p>
    <w:p w14:paraId="4F14FC72" w14:textId="250059BE" w:rsidR="00B53E27" w:rsidRPr="00DE0456" w:rsidRDefault="00B53E27" w:rsidP="00023EF6">
      <w:pPr>
        <w:rPr>
          <w:lang w:eastAsia="en-US"/>
        </w:rPr>
      </w:pPr>
      <w:r>
        <w:rPr>
          <w:shd w:val="clear" w:color="auto" w:fill="FFFFFF"/>
          <w:lang w:eastAsia="en-US"/>
        </w:rPr>
        <w:t xml:space="preserve">Thermal oxidation and plasma arc </w:t>
      </w:r>
      <w:r w:rsidRPr="00DE0456">
        <w:rPr>
          <w:shd w:val="clear" w:color="auto" w:fill="FFFFFF"/>
          <w:lang w:eastAsia="en-US"/>
        </w:rPr>
        <w:t xml:space="preserve">technologies that </w:t>
      </w:r>
      <w:r>
        <w:rPr>
          <w:shd w:val="clear" w:color="auto" w:fill="FFFFFF"/>
          <w:lang w:eastAsia="en-US"/>
        </w:rPr>
        <w:t>have already met</w:t>
      </w:r>
      <w:r w:rsidRPr="00DE0456">
        <w:rPr>
          <w:shd w:val="clear" w:color="auto" w:fill="FFFFFF"/>
          <w:lang w:eastAsia="en-US"/>
        </w:rPr>
        <w:t xml:space="preserve"> th</w:t>
      </w:r>
      <w:r>
        <w:rPr>
          <w:shd w:val="clear" w:color="auto" w:fill="FFFFFF"/>
          <w:lang w:eastAsia="en-US"/>
        </w:rPr>
        <w:t>e</w:t>
      </w:r>
      <w:r w:rsidRPr="00DE0456">
        <w:rPr>
          <w:shd w:val="clear" w:color="auto" w:fill="FFFFFF"/>
          <w:lang w:eastAsia="en-US"/>
        </w:rPr>
        <w:t xml:space="preserve"> </w:t>
      </w:r>
      <w:r w:rsidR="002203B0">
        <w:rPr>
          <w:shd w:val="clear" w:color="auto" w:fill="FFFFFF"/>
          <w:lang w:eastAsia="en-US"/>
        </w:rPr>
        <w:t xml:space="preserve">performance </w:t>
      </w:r>
      <w:r w:rsidRPr="00DE0456">
        <w:rPr>
          <w:shd w:val="clear" w:color="auto" w:fill="FFFFFF"/>
          <w:lang w:eastAsia="en-US"/>
        </w:rPr>
        <w:t>criterion for chlorinated dioxins</w:t>
      </w:r>
      <w:r w:rsidR="00823AC8">
        <w:rPr>
          <w:shd w:val="clear" w:color="auto" w:fill="FFFFFF"/>
          <w:lang w:eastAsia="en-US"/>
        </w:rPr>
        <w:t xml:space="preserve"> and </w:t>
      </w:r>
      <w:r w:rsidRPr="00DE0456">
        <w:rPr>
          <w:shd w:val="clear" w:color="auto" w:fill="FFFFFF"/>
          <w:lang w:eastAsia="en-US"/>
        </w:rPr>
        <w:t xml:space="preserve">furans </w:t>
      </w:r>
      <w:r>
        <w:rPr>
          <w:shd w:val="clear" w:color="auto" w:fill="FFFFFF"/>
          <w:lang w:eastAsia="en-US"/>
        </w:rPr>
        <w:t>for</w:t>
      </w:r>
      <w:r w:rsidRPr="00DE0456">
        <w:rPr>
          <w:shd w:val="clear" w:color="auto" w:fill="FFFFFF"/>
          <w:lang w:eastAsia="en-US"/>
        </w:rPr>
        <w:t xml:space="preserve"> ODS destruction are c</w:t>
      </w:r>
      <w:r w:rsidR="002203B0">
        <w:rPr>
          <w:shd w:val="clear" w:color="auto" w:fill="FFFFFF"/>
          <w:lang w:eastAsia="en-US"/>
        </w:rPr>
        <w:t xml:space="preserve">onsidered capable of meeting </w:t>
      </w:r>
      <w:r w:rsidR="00F75613">
        <w:rPr>
          <w:shd w:val="clear" w:color="auto" w:fill="FFFFFF"/>
          <w:lang w:eastAsia="en-US"/>
        </w:rPr>
        <w:t>the same</w:t>
      </w:r>
      <w:r w:rsidR="00F75613" w:rsidRPr="00DE0456">
        <w:rPr>
          <w:shd w:val="clear" w:color="auto" w:fill="FFFFFF"/>
          <w:lang w:eastAsia="en-US"/>
        </w:rPr>
        <w:t xml:space="preserve"> </w:t>
      </w:r>
      <w:r w:rsidRPr="00DE0456">
        <w:rPr>
          <w:shd w:val="clear" w:color="auto" w:fill="FFFFFF"/>
          <w:lang w:eastAsia="en-US"/>
        </w:rPr>
        <w:t xml:space="preserve">performance criterion </w:t>
      </w:r>
      <w:r w:rsidR="00823AC8">
        <w:rPr>
          <w:shd w:val="clear" w:color="auto" w:fill="FFFFFF"/>
          <w:lang w:eastAsia="en-US"/>
        </w:rPr>
        <w:t xml:space="preserve">when used </w:t>
      </w:r>
      <w:r w:rsidRPr="00DE0456">
        <w:rPr>
          <w:shd w:val="clear" w:color="auto" w:fill="FFFFFF"/>
          <w:lang w:eastAsia="en-US"/>
        </w:rPr>
        <w:t>for HFCs</w:t>
      </w:r>
      <w:r w:rsidR="00F75613">
        <w:rPr>
          <w:shd w:val="clear" w:color="auto" w:fill="FFFFFF"/>
          <w:lang w:eastAsia="en-US"/>
        </w:rPr>
        <w:t xml:space="preserve"> destruction</w:t>
      </w:r>
      <w:r w:rsidRPr="00DE0456">
        <w:rPr>
          <w:shd w:val="clear" w:color="auto" w:fill="FFFFFF"/>
          <w:lang w:eastAsia="en-US"/>
        </w:rPr>
        <w:t>.</w:t>
      </w:r>
      <w:r>
        <w:rPr>
          <w:shd w:val="clear" w:color="auto" w:fill="FFFFFF"/>
          <w:lang w:eastAsia="en-US"/>
        </w:rPr>
        <w:t xml:space="preserve"> T</w:t>
      </w:r>
      <w:r w:rsidRPr="00DE0456">
        <w:rPr>
          <w:shd w:val="clear" w:color="auto" w:fill="FFFFFF"/>
          <w:lang w:eastAsia="en-US"/>
        </w:rPr>
        <w:t xml:space="preserve">he available data </w:t>
      </w:r>
      <w:r>
        <w:rPr>
          <w:shd w:val="clear" w:color="auto" w:fill="FFFFFF"/>
          <w:lang w:eastAsia="en-US"/>
        </w:rPr>
        <w:t xml:space="preserve">for thermal oxidation and plasma arc technologies </w:t>
      </w:r>
      <w:r w:rsidRPr="00DE0456">
        <w:rPr>
          <w:shd w:val="clear" w:color="auto" w:fill="FFFFFF"/>
          <w:lang w:eastAsia="en-US"/>
        </w:rPr>
        <w:t>suggests that fluorinated dioxins</w:t>
      </w:r>
      <w:r w:rsidR="00DB163F">
        <w:rPr>
          <w:shd w:val="clear" w:color="auto" w:fill="FFFFFF"/>
          <w:lang w:eastAsia="en-US"/>
        </w:rPr>
        <w:t xml:space="preserve"> and </w:t>
      </w:r>
      <w:r w:rsidRPr="00DE0456">
        <w:rPr>
          <w:shd w:val="clear" w:color="auto" w:fill="FFFFFF"/>
          <w:lang w:eastAsia="en-US"/>
        </w:rPr>
        <w:t>furans are much more difficult to form</w:t>
      </w:r>
      <w:r>
        <w:rPr>
          <w:shd w:val="clear" w:color="auto" w:fill="FFFFFF"/>
          <w:lang w:eastAsia="en-US"/>
        </w:rPr>
        <w:t>,</w:t>
      </w:r>
      <w:r w:rsidRPr="00DE0456">
        <w:rPr>
          <w:shd w:val="clear" w:color="auto" w:fill="FFFFFF"/>
          <w:lang w:eastAsia="en-US"/>
        </w:rPr>
        <w:t xml:space="preserve"> and not formed under conditions where chlorinated dioxins are formed. However, </w:t>
      </w:r>
      <w:r>
        <w:rPr>
          <w:shd w:val="clear" w:color="auto" w:fill="FFFFFF"/>
          <w:lang w:eastAsia="en-US"/>
        </w:rPr>
        <w:t>since</w:t>
      </w:r>
      <w:r w:rsidRPr="00DE0456">
        <w:rPr>
          <w:shd w:val="clear" w:color="auto" w:fill="FFFFFF"/>
          <w:lang w:eastAsia="en-US"/>
        </w:rPr>
        <w:t xml:space="preserve"> HFCs may contain ODS impurities or be part of a mixed waste, </w:t>
      </w:r>
      <w:r w:rsidR="00082CF7">
        <w:rPr>
          <w:shd w:val="clear" w:color="auto" w:fill="FFFFFF"/>
          <w:lang w:eastAsia="en-US"/>
        </w:rPr>
        <w:t>it would be appropriate due diligence</w:t>
      </w:r>
      <w:r w:rsidR="00082CF7" w:rsidRPr="00DE0456">
        <w:rPr>
          <w:shd w:val="clear" w:color="auto" w:fill="FFFFFF"/>
          <w:lang w:eastAsia="en-US"/>
        </w:rPr>
        <w:t xml:space="preserve"> </w:t>
      </w:r>
      <w:r w:rsidR="00082CF7">
        <w:rPr>
          <w:shd w:val="clear" w:color="auto" w:fill="FFFFFF"/>
          <w:lang w:eastAsia="en-US"/>
        </w:rPr>
        <w:t xml:space="preserve">to undertake a </w:t>
      </w:r>
      <w:r w:rsidRPr="00DE0456">
        <w:rPr>
          <w:shd w:val="clear" w:color="auto" w:fill="FFFFFF"/>
          <w:lang w:eastAsia="en-US"/>
        </w:rPr>
        <w:t>dioxins/furan</w:t>
      </w:r>
      <w:r>
        <w:rPr>
          <w:shd w:val="clear" w:color="auto" w:fill="FFFFFF"/>
          <w:lang w:eastAsia="en-US"/>
        </w:rPr>
        <w:t>s</w:t>
      </w:r>
      <w:r w:rsidRPr="00DE0456">
        <w:rPr>
          <w:shd w:val="clear" w:color="auto" w:fill="FFFFFF"/>
          <w:lang w:eastAsia="en-US"/>
        </w:rPr>
        <w:t xml:space="preserve"> analysis, and may be mandatory under local requirements. </w:t>
      </w:r>
    </w:p>
    <w:p w14:paraId="32F282A2" w14:textId="197F83E6" w:rsidR="0098413B" w:rsidRPr="00DE0456" w:rsidRDefault="0098413B" w:rsidP="0098413B">
      <w:pPr>
        <w:rPr>
          <w:lang w:val="en-US" w:eastAsia="en-US"/>
        </w:rPr>
      </w:pPr>
      <w:r w:rsidRPr="00DE0456">
        <w:rPr>
          <w:shd w:val="clear" w:color="auto" w:fill="FFFFFF"/>
          <w:lang w:val="en-US" w:eastAsia="en-US"/>
        </w:rPr>
        <w:t xml:space="preserve">For particulates, approved </w:t>
      </w:r>
      <w:r>
        <w:rPr>
          <w:shd w:val="clear" w:color="auto" w:fill="FFFFFF"/>
          <w:lang w:val="en-US" w:eastAsia="en-US"/>
        </w:rPr>
        <w:t xml:space="preserve">ODS </w:t>
      </w:r>
      <w:r w:rsidR="002A39FF">
        <w:rPr>
          <w:shd w:val="clear" w:color="auto" w:fill="FFFFFF"/>
          <w:lang w:val="en-US" w:eastAsia="en-US"/>
        </w:rPr>
        <w:t xml:space="preserve">thermal oxidation and plasma arc </w:t>
      </w:r>
      <w:r>
        <w:rPr>
          <w:shd w:val="clear" w:color="auto" w:fill="FFFFFF"/>
          <w:lang w:val="en-US" w:eastAsia="en-US"/>
        </w:rPr>
        <w:t xml:space="preserve">destruction </w:t>
      </w:r>
      <w:r w:rsidRPr="00DE0456">
        <w:rPr>
          <w:shd w:val="clear" w:color="auto" w:fill="FFFFFF"/>
          <w:lang w:val="en-US" w:eastAsia="en-US"/>
        </w:rPr>
        <w:t xml:space="preserve">technologies are considered capable of meeting the </w:t>
      </w:r>
      <w:r>
        <w:rPr>
          <w:shd w:val="clear" w:color="auto" w:fill="FFFFFF"/>
          <w:lang w:val="en-US" w:eastAsia="en-US"/>
        </w:rPr>
        <w:t xml:space="preserve">same </w:t>
      </w:r>
      <w:r w:rsidR="00823AC8">
        <w:rPr>
          <w:shd w:val="clear" w:color="auto" w:fill="FFFFFF"/>
          <w:lang w:val="en-US" w:eastAsia="en-US"/>
        </w:rPr>
        <w:t xml:space="preserve">performance </w:t>
      </w:r>
      <w:r w:rsidR="009375EE">
        <w:rPr>
          <w:shd w:val="clear" w:color="auto" w:fill="FFFFFF"/>
          <w:lang w:val="en-US" w:eastAsia="en-US"/>
        </w:rPr>
        <w:t>criteri</w:t>
      </w:r>
      <w:r w:rsidR="00823AC8">
        <w:rPr>
          <w:shd w:val="clear" w:color="auto" w:fill="FFFFFF"/>
          <w:lang w:val="en-US" w:eastAsia="en-US"/>
        </w:rPr>
        <w:t>on</w:t>
      </w:r>
      <w:r w:rsidR="00EB5365">
        <w:rPr>
          <w:shd w:val="clear" w:color="auto" w:fill="FFFFFF"/>
          <w:lang w:val="en-US" w:eastAsia="en-US"/>
        </w:rPr>
        <w:t xml:space="preserve"> when used</w:t>
      </w:r>
      <w:r>
        <w:rPr>
          <w:shd w:val="clear" w:color="auto" w:fill="FFFFFF"/>
          <w:lang w:val="en-US" w:eastAsia="en-US"/>
        </w:rPr>
        <w:t xml:space="preserve"> </w:t>
      </w:r>
      <w:r w:rsidRPr="00DE0456">
        <w:rPr>
          <w:shd w:val="clear" w:color="auto" w:fill="FFFFFF"/>
          <w:lang w:val="en-US" w:eastAsia="en-US"/>
        </w:rPr>
        <w:t>for HFC destruction. However, it is suggested that particulate analysis is carried out, and may be mandatory under local requirements</w:t>
      </w:r>
      <w:r w:rsidR="00F75613">
        <w:rPr>
          <w:shd w:val="clear" w:color="auto" w:fill="FFFFFF"/>
          <w:lang w:val="en-US" w:eastAsia="en-US"/>
        </w:rPr>
        <w:t xml:space="preserve">, as particulates may be introduced by other waste streams </w:t>
      </w:r>
      <w:r w:rsidR="00DD1D9B">
        <w:rPr>
          <w:shd w:val="clear" w:color="auto" w:fill="FFFFFF"/>
          <w:lang w:val="en-US" w:eastAsia="en-US"/>
        </w:rPr>
        <w:t xml:space="preserve">that are </w:t>
      </w:r>
      <w:r w:rsidR="00F75613">
        <w:rPr>
          <w:shd w:val="clear" w:color="auto" w:fill="FFFFFF"/>
          <w:lang w:val="en-US" w:eastAsia="en-US"/>
        </w:rPr>
        <w:t>co-destroyed with ODS or HFCs</w:t>
      </w:r>
      <w:r w:rsidRPr="00DE0456">
        <w:rPr>
          <w:shd w:val="clear" w:color="auto" w:fill="FFFFFF"/>
          <w:lang w:val="en-US" w:eastAsia="en-US"/>
        </w:rPr>
        <w:t>.</w:t>
      </w:r>
    </w:p>
    <w:p w14:paraId="12B0ABA1" w14:textId="43E5385A" w:rsidR="002A39FF" w:rsidRDefault="00A46EC5" w:rsidP="00B53D9D">
      <w:pPr>
        <w:rPr>
          <w:shd w:val="clear" w:color="auto" w:fill="FFFFFF"/>
          <w:lang w:val="en-US" w:eastAsia="en-US"/>
        </w:rPr>
      </w:pPr>
      <w:r>
        <w:rPr>
          <w:shd w:val="clear" w:color="auto" w:fill="FFFFFF"/>
          <w:lang w:val="en-US" w:eastAsia="en-US"/>
        </w:rPr>
        <w:t xml:space="preserve">Due to </w:t>
      </w:r>
      <w:r w:rsidR="00B535A0">
        <w:rPr>
          <w:shd w:val="clear" w:color="auto" w:fill="FFFFFF"/>
          <w:lang w:val="en-US" w:eastAsia="en-US"/>
        </w:rPr>
        <w:t xml:space="preserve">the </w:t>
      </w:r>
      <w:r>
        <w:rPr>
          <w:shd w:val="clear" w:color="auto" w:fill="FFFFFF"/>
          <w:lang w:val="en-US" w:eastAsia="en-US"/>
        </w:rPr>
        <w:t xml:space="preserve">unique </w:t>
      </w:r>
      <w:r w:rsidR="00B535A0">
        <w:rPr>
          <w:shd w:val="clear" w:color="auto" w:fill="FFFFFF"/>
          <w:lang w:val="en-US" w:eastAsia="en-US"/>
        </w:rPr>
        <w:t xml:space="preserve">and varied methods involved in </w:t>
      </w:r>
      <w:r>
        <w:rPr>
          <w:shd w:val="clear" w:color="auto" w:fill="FFFFFF"/>
          <w:lang w:val="en-US" w:eastAsia="en-US"/>
        </w:rPr>
        <w:t>conversion (or non-incineration) technologies</w:t>
      </w:r>
      <w:r w:rsidR="002A39FF">
        <w:rPr>
          <w:rStyle w:val="FootnoteReference"/>
          <w:shd w:val="clear" w:color="auto" w:fill="FFFFFF"/>
          <w:lang w:val="en-US" w:eastAsia="en-US"/>
        </w:rPr>
        <w:footnoteReference w:id="2"/>
      </w:r>
      <w:r w:rsidR="002A39FF">
        <w:rPr>
          <w:shd w:val="clear" w:color="auto" w:fill="FFFFFF"/>
          <w:lang w:val="en-US" w:eastAsia="en-US"/>
        </w:rPr>
        <w:t>, t</w:t>
      </w:r>
      <w:r w:rsidR="002A39FF" w:rsidRPr="00DE0456">
        <w:rPr>
          <w:shd w:val="clear" w:color="auto" w:fill="FFFFFF"/>
          <w:lang w:val="en-US" w:eastAsia="en-US"/>
        </w:rPr>
        <w:t>he 2018 TFDT consid</w:t>
      </w:r>
      <w:r w:rsidR="002A39FF">
        <w:rPr>
          <w:shd w:val="clear" w:color="auto" w:fill="FFFFFF"/>
          <w:lang w:val="en-US" w:eastAsia="en-US"/>
        </w:rPr>
        <w:t>ers it necessary that these</w:t>
      </w:r>
      <w:r w:rsidR="002A39FF" w:rsidRPr="00DE0456">
        <w:rPr>
          <w:shd w:val="clear" w:color="auto" w:fill="FFFFFF"/>
          <w:lang w:val="en-US" w:eastAsia="en-US"/>
        </w:rPr>
        <w:t xml:space="preserve"> technologies</w:t>
      </w:r>
      <w:r w:rsidR="002A39FF">
        <w:rPr>
          <w:shd w:val="clear" w:color="auto" w:fill="FFFFFF"/>
          <w:lang w:val="en-US" w:eastAsia="en-US"/>
        </w:rPr>
        <w:t xml:space="preserve"> demonstrate they can meet all of the emissions performance</w:t>
      </w:r>
      <w:r w:rsidR="002A39FF" w:rsidRPr="00DE0456">
        <w:rPr>
          <w:shd w:val="clear" w:color="auto" w:fill="FFFFFF"/>
          <w:lang w:val="en-US" w:eastAsia="en-US"/>
        </w:rPr>
        <w:t xml:space="preserve"> </w:t>
      </w:r>
      <w:r w:rsidR="002A39FF">
        <w:rPr>
          <w:shd w:val="clear" w:color="auto" w:fill="FFFFFF"/>
          <w:lang w:val="en-US" w:eastAsia="en-US"/>
        </w:rPr>
        <w:t>criteria.</w:t>
      </w:r>
      <w:r w:rsidR="004A7E6E">
        <w:rPr>
          <w:shd w:val="clear" w:color="auto" w:fill="FFFFFF"/>
          <w:lang w:val="en-US" w:eastAsia="en-US"/>
        </w:rPr>
        <w:t xml:space="preserve"> </w:t>
      </w:r>
    </w:p>
    <w:p w14:paraId="1E7EC174" w14:textId="77777777" w:rsidR="00263134" w:rsidRDefault="004A7E6E" w:rsidP="00B53D9D">
      <w:r>
        <w:rPr>
          <w:shd w:val="clear" w:color="auto" w:fill="FFFFFF"/>
          <w:lang w:val="en-US" w:eastAsia="en-US"/>
        </w:rPr>
        <w:t>In a number of cases, the 2018 TFDT was unable to make a recommendation without additional information.</w:t>
      </w:r>
      <w:r w:rsidR="00ED10C7">
        <w:rPr>
          <w:shd w:val="clear" w:color="auto" w:fill="FFFFFF"/>
          <w:lang w:val="en-US" w:eastAsia="en-US"/>
        </w:rPr>
        <w:t xml:space="preserve"> </w:t>
      </w:r>
      <w:r w:rsidR="0098413B">
        <w:t>The assessments are presented in Chapters 3 and 4, and a summary of recommendations provided in Chapter 5</w:t>
      </w:r>
      <w:r w:rsidR="00C13777">
        <w:t xml:space="preserve"> and Appendix 3</w:t>
      </w:r>
      <w:r w:rsidR="0098413B">
        <w:t>.</w:t>
      </w:r>
    </w:p>
    <w:p w14:paraId="2ADB5631" w14:textId="19C9004D" w:rsidR="009B1AD6" w:rsidRPr="00E30462" w:rsidRDefault="00263134" w:rsidP="00B53D9D">
      <w:r>
        <w:t>Subsequent to publication of the advance copy of this report, additional information has been provided to the 2018 TFDT. As a result, it will be necessary to submit a supplemental report to the 40</w:t>
      </w:r>
      <w:r w:rsidRPr="00DF4704">
        <w:rPr>
          <w:vertAlign w:val="superscript"/>
        </w:rPr>
        <w:t>th</w:t>
      </w:r>
      <w:r>
        <w:t xml:space="preserve"> Open-ended Working Group that incorporates the new information.  </w:t>
      </w:r>
      <w:r w:rsidR="0098413B">
        <w:t xml:space="preserve"> </w:t>
      </w:r>
    </w:p>
    <w:p w14:paraId="1EE674F3" w14:textId="77777777" w:rsidR="00E30462" w:rsidRDefault="00E30462">
      <w:pPr>
        <w:spacing w:after="0"/>
        <w:rPr>
          <w:rStyle w:val="Heading1Char2"/>
          <w:rFonts w:ascii="Times New Roman" w:hAnsi="Times New Roman"/>
        </w:rPr>
      </w:pPr>
      <w:r>
        <w:rPr>
          <w:rStyle w:val="Heading1Char2"/>
          <w:rFonts w:ascii="Times New Roman" w:hAnsi="Times New Roman"/>
        </w:rPr>
        <w:br w:type="page"/>
      </w:r>
    </w:p>
    <w:p w14:paraId="0A215D55" w14:textId="77777777" w:rsidR="00767B1E" w:rsidRPr="00FD4EE9" w:rsidRDefault="00E30462" w:rsidP="00A94275">
      <w:pPr>
        <w:pStyle w:val="Heading1"/>
        <w:rPr>
          <w:rStyle w:val="Heading1Char2"/>
          <w:rFonts w:ascii="Times New Roman" w:eastAsia="Calibri" w:hAnsi="Times New Roman"/>
          <w:color w:val="auto"/>
          <w:lang w:val="en-AU" w:eastAsia="en-NZ"/>
        </w:rPr>
      </w:pPr>
      <w:bookmarkStart w:id="14" w:name="_Toc510531439"/>
      <w:r w:rsidRPr="001A2FDF">
        <w:rPr>
          <w:rStyle w:val="Heading1Char2"/>
          <w:rFonts w:ascii="Times New Roman" w:hAnsi="Times New Roman"/>
        </w:rPr>
        <w:lastRenderedPageBreak/>
        <w:t>1</w:t>
      </w:r>
      <w:r w:rsidR="00767B1E" w:rsidRPr="001A2FDF">
        <w:rPr>
          <w:rStyle w:val="Heading1Char2"/>
          <w:rFonts w:ascii="Times New Roman" w:hAnsi="Times New Roman"/>
        </w:rPr>
        <w:tab/>
      </w:r>
      <w:r w:rsidRPr="001A2FDF">
        <w:rPr>
          <w:rStyle w:val="Heading1Char2"/>
          <w:rFonts w:ascii="Times New Roman" w:hAnsi="Times New Roman"/>
        </w:rPr>
        <w:t>Introduction</w:t>
      </w:r>
      <w:bookmarkEnd w:id="14"/>
    </w:p>
    <w:p w14:paraId="3D062B32" w14:textId="38905356" w:rsidR="00E30462" w:rsidRDefault="00E30462" w:rsidP="00275CBE">
      <w:pPr>
        <w:pStyle w:val="Heading2"/>
      </w:pPr>
      <w:bookmarkStart w:id="15" w:name="_Toc510531440"/>
      <w:bookmarkEnd w:id="10"/>
      <w:bookmarkEnd w:id="11"/>
      <w:r>
        <w:t>1.1</w:t>
      </w:r>
      <w:r>
        <w:tab/>
      </w:r>
      <w:r w:rsidRPr="00E30462">
        <w:t>Decision XXIX/4</w:t>
      </w:r>
      <w:bookmarkEnd w:id="15"/>
      <w:r w:rsidR="008A207D">
        <w:t xml:space="preserve"> </w:t>
      </w:r>
    </w:p>
    <w:p w14:paraId="2902CD85" w14:textId="1CBEBAD6" w:rsidR="00F42C8B" w:rsidRDefault="00F42C8B" w:rsidP="00F42C8B">
      <w:r>
        <w:t xml:space="preserve">At their 29th Meeting, </w:t>
      </w:r>
      <w:r w:rsidR="00D56DCD">
        <w:t>p</w:t>
      </w:r>
      <w:r>
        <w:t xml:space="preserve">arties to the Montreal Protocol requested the Technology and Economic Assessment Panel (TEAP) to report </w:t>
      </w:r>
      <w:r w:rsidR="009B1AD6">
        <w:t>by 31</w:t>
      </w:r>
      <w:r w:rsidR="009B1AD6" w:rsidRPr="006D0FEA">
        <w:rPr>
          <w:vertAlign w:val="superscript"/>
        </w:rPr>
        <w:t>st</w:t>
      </w:r>
      <w:r w:rsidR="009B1AD6">
        <w:t xml:space="preserve"> March, and if needed in a supplementary report to the 40</w:t>
      </w:r>
      <w:r w:rsidR="009B1AD6" w:rsidRPr="006D0FEA">
        <w:rPr>
          <w:vertAlign w:val="superscript"/>
        </w:rPr>
        <w:t>th</w:t>
      </w:r>
      <w:r w:rsidR="009B1AD6">
        <w:t xml:space="preserve"> Open-ended Working Group (OEWG), </w:t>
      </w:r>
      <w:r>
        <w:t xml:space="preserve">on an assessment of destruction technologies, as instructed in decision XXIX/4. </w:t>
      </w:r>
    </w:p>
    <w:p w14:paraId="6B9332D8" w14:textId="77777777" w:rsidR="00F42C8B" w:rsidRPr="008A207D" w:rsidRDefault="00F42C8B" w:rsidP="008A207D">
      <w:pPr>
        <w:rPr>
          <w:rFonts w:eastAsia="Cambria" w:cs="Cambria"/>
          <w:i/>
        </w:rPr>
      </w:pPr>
      <w:r w:rsidRPr="008A207D">
        <w:rPr>
          <w:i/>
        </w:rPr>
        <w:t xml:space="preserve">Decision XXIX/4: Destruction technologies for controlled substances </w:t>
      </w:r>
    </w:p>
    <w:p w14:paraId="09127CE9" w14:textId="77777777" w:rsidR="00F42C8B" w:rsidRPr="008A207D" w:rsidRDefault="00F42C8B" w:rsidP="00A73007">
      <w:pPr>
        <w:ind w:left="284"/>
        <w:rPr>
          <w:rFonts w:eastAsia="Cambria" w:cs="Cambria"/>
          <w:i/>
        </w:rPr>
      </w:pPr>
      <w:r w:rsidRPr="008A207D">
        <w:rPr>
          <w:iCs/>
        </w:rPr>
        <w:t>Considering</w:t>
      </w:r>
      <w:r w:rsidRPr="008A207D">
        <w:rPr>
          <w:i/>
          <w:iCs/>
        </w:rPr>
        <w:t xml:space="preserve"> </w:t>
      </w:r>
      <w:r w:rsidRPr="008A207D">
        <w:rPr>
          <w:i/>
        </w:rPr>
        <w:t xml:space="preserve">the chemical similarity of </w:t>
      </w:r>
      <w:proofErr w:type="spellStart"/>
      <w:r w:rsidRPr="008A207D">
        <w:rPr>
          <w:i/>
        </w:rPr>
        <w:t>hydrofluorocarbons</w:t>
      </w:r>
      <w:proofErr w:type="spellEnd"/>
      <w:r w:rsidRPr="008A207D">
        <w:rPr>
          <w:i/>
        </w:rPr>
        <w:t xml:space="preserve"> and </w:t>
      </w:r>
      <w:proofErr w:type="spellStart"/>
      <w:r w:rsidRPr="008A207D">
        <w:rPr>
          <w:i/>
        </w:rPr>
        <w:t>hydrochlorofluorocarbons</w:t>
      </w:r>
      <w:proofErr w:type="spellEnd"/>
      <w:r w:rsidRPr="008A207D">
        <w:rPr>
          <w:i/>
        </w:rPr>
        <w:t xml:space="preserve">, and chlorofluorocarbons and halons, and taking note of the practice to often destroy them together, </w:t>
      </w:r>
    </w:p>
    <w:p w14:paraId="254EB49D" w14:textId="77777777" w:rsidR="00F42C8B" w:rsidRPr="008A207D" w:rsidRDefault="00F42C8B" w:rsidP="00A73007">
      <w:pPr>
        <w:ind w:left="284"/>
        <w:rPr>
          <w:rFonts w:eastAsia="Cambria" w:cs="Cambria"/>
          <w:i/>
        </w:rPr>
      </w:pPr>
      <w:r w:rsidRPr="008A207D">
        <w:rPr>
          <w:iCs/>
        </w:rPr>
        <w:t>Noting</w:t>
      </w:r>
      <w:r w:rsidRPr="008A207D">
        <w:rPr>
          <w:i/>
          <w:iCs/>
        </w:rPr>
        <w:t xml:space="preserve"> </w:t>
      </w:r>
      <w:r w:rsidRPr="008A207D">
        <w:rPr>
          <w:i/>
        </w:rPr>
        <w:t xml:space="preserve">the need to approve destruction technologies for hydrofluorocarbons and to keep the list of approved destruction technologies annexed to decision XXIII/12 up-to-date, </w:t>
      </w:r>
    </w:p>
    <w:p w14:paraId="5773A6D4" w14:textId="77777777" w:rsidR="00F42C8B" w:rsidRPr="008A207D" w:rsidRDefault="00F42C8B" w:rsidP="00A73007">
      <w:pPr>
        <w:ind w:left="284"/>
        <w:rPr>
          <w:rFonts w:eastAsia="Cambria" w:cs="Cambria"/>
          <w:i/>
        </w:rPr>
      </w:pPr>
      <w:r w:rsidRPr="008A207D">
        <w:rPr>
          <w:i/>
        </w:rPr>
        <w:t xml:space="preserve">1. To request the Technology and Economic Assessment Panel to report by 31 March 2018, and if necessary to submit a supplemental report to the Open-ended Working Group at its fortieth meeting, on: </w:t>
      </w:r>
    </w:p>
    <w:p w14:paraId="0AD3EAE9" w14:textId="77777777" w:rsidR="00F42C8B" w:rsidRPr="008A207D" w:rsidRDefault="00F42C8B" w:rsidP="00A73007">
      <w:pPr>
        <w:ind w:left="284"/>
        <w:rPr>
          <w:rFonts w:eastAsia="Cambria" w:cs="Cambria"/>
          <w:i/>
        </w:rPr>
      </w:pPr>
      <w:r w:rsidRPr="008A207D">
        <w:rPr>
          <w:i/>
        </w:rPr>
        <w:t xml:space="preserve">(a) An assessment of the destruction technologies as specified in the annex to decision XXIII/12 with a view to confirming their applicability to hydrofluorocarbons; </w:t>
      </w:r>
    </w:p>
    <w:p w14:paraId="7EE7A297" w14:textId="77777777" w:rsidR="00F42C8B" w:rsidRPr="008A207D" w:rsidRDefault="00F42C8B" w:rsidP="00A73007">
      <w:pPr>
        <w:ind w:left="284"/>
        <w:rPr>
          <w:rFonts w:eastAsia="Cambria" w:cs="Cambria"/>
          <w:i/>
        </w:rPr>
      </w:pPr>
      <w:r w:rsidRPr="008A207D">
        <w:rPr>
          <w:i/>
        </w:rPr>
        <w:t xml:space="preserve">(b) A review of any other technology for possible inclusion in the list of approved destruction technologies in relation to controlled substances; </w:t>
      </w:r>
    </w:p>
    <w:p w14:paraId="175572AB" w14:textId="77777777" w:rsidR="00F42C8B" w:rsidRPr="008A207D" w:rsidRDefault="00F42C8B" w:rsidP="00A73007">
      <w:pPr>
        <w:ind w:left="284"/>
        <w:rPr>
          <w:rFonts w:eastAsia="Cambria" w:cs="Cambria"/>
          <w:i/>
        </w:rPr>
      </w:pPr>
      <w:r w:rsidRPr="008A207D">
        <w:rPr>
          <w:i/>
        </w:rPr>
        <w:t xml:space="preserve">2. To invite parties to submit to the Secretariat by 1 February 2018 information relevant to the tasks set out in paragraph 1 above; </w:t>
      </w:r>
    </w:p>
    <w:p w14:paraId="7FF896FC" w14:textId="77777777" w:rsidR="00E30462" w:rsidRDefault="00E30462" w:rsidP="00275CBE">
      <w:pPr>
        <w:pStyle w:val="Heading2"/>
      </w:pPr>
      <w:bookmarkStart w:id="16" w:name="_Toc510531441"/>
      <w:r>
        <w:t>1.2</w:t>
      </w:r>
      <w:r>
        <w:tab/>
        <w:t>The Task Force (</w:t>
      </w:r>
      <w:r w:rsidRPr="00E30462">
        <w:t>composition)</w:t>
      </w:r>
      <w:bookmarkEnd w:id="16"/>
    </w:p>
    <w:p w14:paraId="37CF9779" w14:textId="26D01962" w:rsidR="008A207D" w:rsidRPr="008A207D" w:rsidRDefault="008A207D" w:rsidP="008A207D">
      <w:pPr>
        <w:rPr>
          <w:lang w:val="en-US"/>
        </w:rPr>
      </w:pPr>
      <w:r w:rsidRPr="008A207D">
        <w:rPr>
          <w:lang w:val="en-US"/>
        </w:rPr>
        <w:t>In response to decision XXIX/4, TEAP formed a temporary s</w:t>
      </w:r>
      <w:r>
        <w:rPr>
          <w:lang w:val="en-US"/>
        </w:rPr>
        <w:t xml:space="preserve">ubsidiary body, in the form of </w:t>
      </w:r>
      <w:r w:rsidR="00B53D9D">
        <w:rPr>
          <w:lang w:val="en-US"/>
        </w:rPr>
        <w:t xml:space="preserve">a </w:t>
      </w:r>
      <w:r>
        <w:rPr>
          <w:lang w:val="en-US"/>
        </w:rPr>
        <w:t>Task F</w:t>
      </w:r>
      <w:r w:rsidRPr="008A207D">
        <w:rPr>
          <w:lang w:val="en-US"/>
        </w:rPr>
        <w:t xml:space="preserve">orce, which combines both TEAP and outside expertise to address the requirements of </w:t>
      </w:r>
      <w:r w:rsidR="005C22F5">
        <w:rPr>
          <w:lang w:val="en-US"/>
        </w:rPr>
        <w:t>this</w:t>
      </w:r>
      <w:r>
        <w:rPr>
          <w:lang w:val="en-US"/>
        </w:rPr>
        <w:t xml:space="preserve"> </w:t>
      </w:r>
      <w:r w:rsidRPr="008A207D">
        <w:rPr>
          <w:lang w:val="en-US"/>
        </w:rPr>
        <w:t xml:space="preserve">decision. </w:t>
      </w:r>
    </w:p>
    <w:p w14:paraId="47A858A1" w14:textId="77777777" w:rsidR="00A82C74" w:rsidRDefault="00A82C74">
      <w:r>
        <w:br w:type="page"/>
      </w:r>
    </w:p>
    <w:tbl>
      <w:tblPr>
        <w:tblW w:w="0" w:type="auto"/>
        <w:tblInd w:w="53" w:type="dxa"/>
        <w:tblBorders>
          <w:left w:val="nil"/>
          <w:right w:val="nil"/>
        </w:tblBorders>
        <w:tblLayout w:type="fixed"/>
        <w:tblLook w:val="0000" w:firstRow="0" w:lastRow="0" w:firstColumn="0" w:lastColumn="0" w:noHBand="0" w:noVBand="0"/>
      </w:tblPr>
      <w:tblGrid>
        <w:gridCol w:w="3221"/>
        <w:gridCol w:w="1404"/>
        <w:gridCol w:w="1554"/>
      </w:tblGrid>
      <w:tr w:rsidR="00D24482" w:rsidRPr="005C22F5" w14:paraId="01A19C88" w14:textId="77777777" w:rsidTr="005C22F5">
        <w:tc>
          <w:tcPr>
            <w:tcW w:w="3221" w:type="dxa"/>
            <w:vAlign w:val="bottom"/>
          </w:tcPr>
          <w:p w14:paraId="0D761FF0" w14:textId="11676C09" w:rsidR="00D24482" w:rsidRPr="005C22F5" w:rsidRDefault="00D24482" w:rsidP="00D24482">
            <w:pPr>
              <w:snapToGrid w:val="0"/>
              <w:spacing w:before="120" w:after="100" w:afterAutospacing="1"/>
              <w:rPr>
                <w:b/>
                <w:lang w:val="en-AU" w:eastAsia="en-US"/>
              </w:rPr>
            </w:pPr>
            <w:r w:rsidRPr="005C22F5">
              <w:rPr>
                <w:b/>
                <w:lang w:val="en-AU" w:eastAsia="en-US"/>
              </w:rPr>
              <w:lastRenderedPageBreak/>
              <w:t>Member</w:t>
            </w:r>
          </w:p>
        </w:tc>
        <w:tc>
          <w:tcPr>
            <w:tcW w:w="1404" w:type="dxa"/>
          </w:tcPr>
          <w:p w14:paraId="07B3F516" w14:textId="7B1AA9DF" w:rsidR="00D24482" w:rsidRPr="005C22F5" w:rsidRDefault="00D24482" w:rsidP="00D24482">
            <w:pPr>
              <w:snapToGrid w:val="0"/>
              <w:spacing w:before="120" w:after="100" w:afterAutospacing="1"/>
              <w:rPr>
                <w:b/>
                <w:lang w:val="en-AU" w:eastAsia="en-US"/>
              </w:rPr>
            </w:pPr>
            <w:r w:rsidRPr="005C22F5">
              <w:rPr>
                <w:b/>
                <w:lang w:val="en-AU" w:eastAsia="en-US"/>
              </w:rPr>
              <w:t>Affiliation</w:t>
            </w:r>
          </w:p>
        </w:tc>
        <w:tc>
          <w:tcPr>
            <w:tcW w:w="1554" w:type="dxa"/>
            <w:vAlign w:val="bottom"/>
          </w:tcPr>
          <w:p w14:paraId="1DCDF7A1" w14:textId="27357385" w:rsidR="00D24482" w:rsidRPr="005C22F5" w:rsidRDefault="00D24482" w:rsidP="00D24482">
            <w:pPr>
              <w:snapToGrid w:val="0"/>
              <w:spacing w:before="120" w:after="100" w:afterAutospacing="1"/>
              <w:rPr>
                <w:b/>
                <w:lang w:val="en-AU" w:eastAsia="en-US"/>
              </w:rPr>
            </w:pPr>
            <w:r w:rsidRPr="005C22F5">
              <w:rPr>
                <w:b/>
                <w:lang w:val="en-AU" w:eastAsia="en-US"/>
              </w:rPr>
              <w:t>Party</w:t>
            </w:r>
          </w:p>
        </w:tc>
      </w:tr>
      <w:tr w:rsidR="00D24482" w:rsidRPr="00D24482" w14:paraId="7C7D738A" w14:textId="77777777" w:rsidTr="005C22F5">
        <w:tc>
          <w:tcPr>
            <w:tcW w:w="3221" w:type="dxa"/>
            <w:vAlign w:val="bottom"/>
          </w:tcPr>
          <w:p w14:paraId="6957D6AE" w14:textId="18FB34E0" w:rsidR="00D24482" w:rsidRPr="00D24482" w:rsidRDefault="00D24482" w:rsidP="00D24482">
            <w:pPr>
              <w:snapToGrid w:val="0"/>
              <w:spacing w:before="120" w:after="100" w:afterAutospacing="1"/>
              <w:rPr>
                <w:lang w:val="en-AU" w:eastAsia="en-US"/>
              </w:rPr>
            </w:pPr>
            <w:r w:rsidRPr="00D24482">
              <w:rPr>
                <w:lang w:val="en-AU" w:eastAsia="en-US"/>
              </w:rPr>
              <w:t>Helen Tope</w:t>
            </w:r>
            <w:r>
              <w:rPr>
                <w:lang w:val="en-AU" w:eastAsia="en-US"/>
              </w:rPr>
              <w:t xml:space="preserve"> (co-chair)</w:t>
            </w:r>
          </w:p>
        </w:tc>
        <w:tc>
          <w:tcPr>
            <w:tcW w:w="1404" w:type="dxa"/>
          </w:tcPr>
          <w:p w14:paraId="00BEB17E" w14:textId="2E3FC07A" w:rsidR="00D24482" w:rsidRPr="00D24482" w:rsidRDefault="00D24482" w:rsidP="00D24482">
            <w:pPr>
              <w:snapToGrid w:val="0"/>
              <w:spacing w:before="120" w:after="100" w:afterAutospacing="1"/>
              <w:rPr>
                <w:lang w:val="en-AU" w:eastAsia="en-US"/>
              </w:rPr>
            </w:pPr>
            <w:r>
              <w:rPr>
                <w:lang w:val="en-AU" w:eastAsia="en-US"/>
              </w:rPr>
              <w:t>MCTOC</w:t>
            </w:r>
          </w:p>
        </w:tc>
        <w:tc>
          <w:tcPr>
            <w:tcW w:w="1554" w:type="dxa"/>
            <w:vAlign w:val="bottom"/>
          </w:tcPr>
          <w:p w14:paraId="69D3C6C5" w14:textId="76AB3875" w:rsidR="00D24482" w:rsidRPr="00D24482" w:rsidRDefault="005C22F5" w:rsidP="00D24482">
            <w:pPr>
              <w:snapToGrid w:val="0"/>
              <w:spacing w:before="120" w:after="100" w:afterAutospacing="1"/>
              <w:rPr>
                <w:lang w:val="en-AU" w:eastAsia="en-US"/>
              </w:rPr>
            </w:pPr>
            <w:r>
              <w:rPr>
                <w:lang w:val="en-AU" w:eastAsia="en-US"/>
              </w:rPr>
              <w:t>Australia</w:t>
            </w:r>
          </w:p>
        </w:tc>
      </w:tr>
      <w:tr w:rsidR="00D24482" w:rsidRPr="00D24482" w14:paraId="648F55C8" w14:textId="77777777" w:rsidTr="005C22F5">
        <w:tc>
          <w:tcPr>
            <w:tcW w:w="3221" w:type="dxa"/>
            <w:vAlign w:val="bottom"/>
          </w:tcPr>
          <w:p w14:paraId="73C67EA0" w14:textId="1FC3CFE1" w:rsidR="00D24482" w:rsidRPr="00D24482" w:rsidRDefault="00D24482" w:rsidP="00D24482">
            <w:pPr>
              <w:snapToGrid w:val="0"/>
              <w:spacing w:before="120" w:after="100" w:afterAutospacing="1"/>
              <w:rPr>
                <w:lang w:val="en-AU" w:eastAsia="en-US"/>
              </w:rPr>
            </w:pPr>
            <w:r w:rsidRPr="00D24482">
              <w:rPr>
                <w:lang w:val="en-AU" w:eastAsia="en-US"/>
              </w:rPr>
              <w:t>Helen Walter-</w:t>
            </w:r>
            <w:proofErr w:type="spellStart"/>
            <w:r w:rsidRPr="00D24482">
              <w:rPr>
                <w:lang w:val="en-AU" w:eastAsia="en-US"/>
              </w:rPr>
              <w:t>Terrinoni</w:t>
            </w:r>
            <w:proofErr w:type="spellEnd"/>
            <w:r>
              <w:rPr>
                <w:lang w:val="en-AU" w:eastAsia="en-US"/>
              </w:rPr>
              <w:t xml:space="preserve"> (co-chair)</w:t>
            </w:r>
          </w:p>
        </w:tc>
        <w:tc>
          <w:tcPr>
            <w:tcW w:w="1404" w:type="dxa"/>
          </w:tcPr>
          <w:p w14:paraId="10D49CCB" w14:textId="3B2C97B1" w:rsidR="00D24482" w:rsidRPr="00D24482" w:rsidRDefault="00D24482" w:rsidP="00D24482">
            <w:pPr>
              <w:snapToGrid w:val="0"/>
              <w:spacing w:before="120" w:after="100" w:afterAutospacing="1"/>
              <w:rPr>
                <w:lang w:val="en-AU" w:eastAsia="en-US"/>
              </w:rPr>
            </w:pPr>
            <w:r>
              <w:rPr>
                <w:lang w:val="en-AU" w:eastAsia="en-US"/>
              </w:rPr>
              <w:t>FTOC</w:t>
            </w:r>
          </w:p>
        </w:tc>
        <w:tc>
          <w:tcPr>
            <w:tcW w:w="1554" w:type="dxa"/>
            <w:vAlign w:val="bottom"/>
          </w:tcPr>
          <w:p w14:paraId="20F4A5F4" w14:textId="2EABD344" w:rsidR="00D24482" w:rsidRPr="00D24482" w:rsidRDefault="00D24482" w:rsidP="00D24482">
            <w:pPr>
              <w:snapToGrid w:val="0"/>
              <w:spacing w:before="120" w:after="100" w:afterAutospacing="1"/>
              <w:rPr>
                <w:lang w:val="en-AU" w:eastAsia="en-US"/>
              </w:rPr>
            </w:pPr>
            <w:r w:rsidRPr="00D24482">
              <w:rPr>
                <w:lang w:val="en-AU" w:eastAsia="en-US"/>
              </w:rPr>
              <w:t>USA</w:t>
            </w:r>
          </w:p>
        </w:tc>
      </w:tr>
      <w:tr w:rsidR="00D24482" w:rsidRPr="00D24482" w14:paraId="1E5EFC4C" w14:textId="77777777" w:rsidTr="005C22F5">
        <w:tc>
          <w:tcPr>
            <w:tcW w:w="3221" w:type="dxa"/>
            <w:vAlign w:val="bottom"/>
          </w:tcPr>
          <w:p w14:paraId="2F4359C1" w14:textId="77777777" w:rsidR="00D24482" w:rsidRPr="00D24482" w:rsidRDefault="00D24482" w:rsidP="00D24482">
            <w:pPr>
              <w:snapToGrid w:val="0"/>
              <w:spacing w:before="120" w:after="100" w:afterAutospacing="1"/>
              <w:rPr>
                <w:lang w:val="en-AU" w:eastAsia="en-US"/>
              </w:rPr>
            </w:pPr>
            <w:r w:rsidRPr="00D24482">
              <w:rPr>
                <w:lang w:val="en-AU" w:eastAsia="en-US"/>
              </w:rPr>
              <w:t>Rick Cooke</w:t>
            </w:r>
          </w:p>
        </w:tc>
        <w:tc>
          <w:tcPr>
            <w:tcW w:w="1404" w:type="dxa"/>
          </w:tcPr>
          <w:p w14:paraId="71253A71" w14:textId="1F2F0EDB" w:rsidR="00D24482" w:rsidRPr="00D24482" w:rsidRDefault="00D24482" w:rsidP="00D24482">
            <w:pPr>
              <w:snapToGrid w:val="0"/>
              <w:spacing w:before="120" w:after="100" w:afterAutospacing="1"/>
              <w:rPr>
                <w:lang w:val="en-AU" w:eastAsia="en-US"/>
              </w:rPr>
            </w:pPr>
            <w:r>
              <w:rPr>
                <w:lang w:val="en-AU" w:eastAsia="en-US"/>
              </w:rPr>
              <w:t>MCTOC</w:t>
            </w:r>
          </w:p>
        </w:tc>
        <w:tc>
          <w:tcPr>
            <w:tcW w:w="1554" w:type="dxa"/>
            <w:vAlign w:val="bottom"/>
          </w:tcPr>
          <w:p w14:paraId="63B1282C" w14:textId="478FC27E" w:rsidR="00D24482" w:rsidRPr="00D24482" w:rsidRDefault="00D24482" w:rsidP="00D24482">
            <w:pPr>
              <w:snapToGrid w:val="0"/>
              <w:spacing w:before="120" w:after="100" w:afterAutospacing="1"/>
              <w:rPr>
                <w:lang w:val="en-AU" w:eastAsia="en-US"/>
              </w:rPr>
            </w:pPr>
            <w:r w:rsidRPr="00D24482">
              <w:rPr>
                <w:lang w:val="en-AU" w:eastAsia="en-US"/>
              </w:rPr>
              <w:t>Canada</w:t>
            </w:r>
          </w:p>
        </w:tc>
      </w:tr>
      <w:tr w:rsidR="00D24482" w:rsidRPr="00D24482" w14:paraId="68FDEC22" w14:textId="77777777" w:rsidTr="005C22F5">
        <w:tc>
          <w:tcPr>
            <w:tcW w:w="3221" w:type="dxa"/>
            <w:vAlign w:val="bottom"/>
          </w:tcPr>
          <w:p w14:paraId="3D01C10F" w14:textId="77777777" w:rsidR="00D24482" w:rsidRPr="00D24482" w:rsidRDefault="00D24482" w:rsidP="00D24482">
            <w:pPr>
              <w:snapToGrid w:val="0"/>
              <w:spacing w:before="120" w:after="100" w:afterAutospacing="1"/>
              <w:rPr>
                <w:lang w:val="en-AU" w:eastAsia="en-US"/>
              </w:rPr>
            </w:pPr>
            <w:r w:rsidRPr="00D24482">
              <w:rPr>
                <w:lang w:val="en-AU" w:eastAsia="en-US"/>
              </w:rPr>
              <w:t xml:space="preserve">Lambert </w:t>
            </w:r>
            <w:proofErr w:type="spellStart"/>
            <w:r w:rsidRPr="00D24482">
              <w:rPr>
                <w:lang w:val="en-AU" w:eastAsia="en-US"/>
              </w:rPr>
              <w:t>Kuijpers</w:t>
            </w:r>
            <w:proofErr w:type="spellEnd"/>
          </w:p>
        </w:tc>
        <w:tc>
          <w:tcPr>
            <w:tcW w:w="1404" w:type="dxa"/>
          </w:tcPr>
          <w:p w14:paraId="7E7FCC27" w14:textId="16F0F7FF" w:rsidR="00D24482" w:rsidRPr="00D24482" w:rsidRDefault="005C22F5" w:rsidP="00D24482">
            <w:pPr>
              <w:snapToGrid w:val="0"/>
              <w:spacing w:before="120" w:after="100" w:afterAutospacing="1"/>
              <w:rPr>
                <w:lang w:val="en-AU" w:eastAsia="en-US"/>
              </w:rPr>
            </w:pPr>
            <w:r>
              <w:rPr>
                <w:lang w:val="en-AU" w:eastAsia="en-US"/>
              </w:rPr>
              <w:t>RTOC</w:t>
            </w:r>
          </w:p>
        </w:tc>
        <w:tc>
          <w:tcPr>
            <w:tcW w:w="1554" w:type="dxa"/>
            <w:vAlign w:val="bottom"/>
          </w:tcPr>
          <w:p w14:paraId="5AF44B69" w14:textId="3C400154" w:rsidR="00D24482" w:rsidRPr="00D24482" w:rsidRDefault="00D24482" w:rsidP="00D24482">
            <w:pPr>
              <w:snapToGrid w:val="0"/>
              <w:spacing w:before="120" w:after="100" w:afterAutospacing="1"/>
              <w:rPr>
                <w:lang w:val="en-AU" w:eastAsia="en-US"/>
              </w:rPr>
            </w:pPr>
            <w:r w:rsidRPr="00D24482">
              <w:rPr>
                <w:lang w:val="en-AU" w:eastAsia="en-US"/>
              </w:rPr>
              <w:t>Netherlands</w:t>
            </w:r>
          </w:p>
        </w:tc>
      </w:tr>
      <w:tr w:rsidR="00D24482" w:rsidRPr="00D24482" w14:paraId="35EA4932" w14:textId="77777777" w:rsidTr="005C22F5">
        <w:tc>
          <w:tcPr>
            <w:tcW w:w="3221" w:type="dxa"/>
            <w:vAlign w:val="bottom"/>
          </w:tcPr>
          <w:p w14:paraId="7058D141" w14:textId="77777777" w:rsidR="00D24482" w:rsidRPr="00D24482" w:rsidRDefault="00D24482" w:rsidP="00D24482">
            <w:pPr>
              <w:snapToGrid w:val="0"/>
              <w:spacing w:before="120" w:after="100" w:afterAutospacing="1"/>
              <w:rPr>
                <w:lang w:val="en-AU" w:eastAsia="en-US"/>
              </w:rPr>
            </w:pPr>
            <w:r w:rsidRPr="00D24482">
              <w:rPr>
                <w:lang w:val="en-AU" w:eastAsia="en-US"/>
              </w:rPr>
              <w:t>Andy Lindley</w:t>
            </w:r>
          </w:p>
        </w:tc>
        <w:tc>
          <w:tcPr>
            <w:tcW w:w="1404" w:type="dxa"/>
          </w:tcPr>
          <w:p w14:paraId="1C475A3A" w14:textId="15D59A01" w:rsidR="00D24482" w:rsidRPr="00D24482" w:rsidRDefault="005C22F5" w:rsidP="00D24482">
            <w:pPr>
              <w:snapToGrid w:val="0"/>
              <w:spacing w:before="120" w:after="100" w:afterAutospacing="1"/>
              <w:rPr>
                <w:lang w:val="en-AU" w:eastAsia="en-US"/>
              </w:rPr>
            </w:pPr>
            <w:r>
              <w:rPr>
                <w:lang w:val="en-AU" w:eastAsia="en-US"/>
              </w:rPr>
              <w:t>MCTOC</w:t>
            </w:r>
          </w:p>
        </w:tc>
        <w:tc>
          <w:tcPr>
            <w:tcW w:w="1554" w:type="dxa"/>
            <w:vAlign w:val="bottom"/>
          </w:tcPr>
          <w:p w14:paraId="08581355" w14:textId="07C7EFCE" w:rsidR="00D24482" w:rsidRPr="00D24482" w:rsidRDefault="00D24482" w:rsidP="00D24482">
            <w:pPr>
              <w:snapToGrid w:val="0"/>
              <w:spacing w:before="120" w:after="100" w:afterAutospacing="1"/>
              <w:rPr>
                <w:lang w:val="en-AU" w:eastAsia="en-US"/>
              </w:rPr>
            </w:pPr>
            <w:r w:rsidRPr="00D24482">
              <w:rPr>
                <w:lang w:val="en-AU" w:eastAsia="en-US"/>
              </w:rPr>
              <w:t>UK</w:t>
            </w:r>
          </w:p>
        </w:tc>
      </w:tr>
      <w:tr w:rsidR="00D24482" w:rsidRPr="00D24482" w14:paraId="29EC3C41" w14:textId="77777777" w:rsidTr="005C22F5">
        <w:tc>
          <w:tcPr>
            <w:tcW w:w="3221" w:type="dxa"/>
            <w:vAlign w:val="bottom"/>
          </w:tcPr>
          <w:p w14:paraId="7806C82C" w14:textId="77777777" w:rsidR="00D24482" w:rsidRPr="00D24482" w:rsidRDefault="00D24482" w:rsidP="00D24482">
            <w:pPr>
              <w:snapToGrid w:val="0"/>
              <w:spacing w:before="120" w:after="100" w:afterAutospacing="1"/>
              <w:rPr>
                <w:lang w:val="en-AU" w:eastAsia="en-US"/>
              </w:rPr>
            </w:pPr>
            <w:r w:rsidRPr="00D24482">
              <w:rPr>
                <w:lang w:val="en-AU" w:eastAsia="en-US"/>
              </w:rPr>
              <w:t xml:space="preserve">Bella </w:t>
            </w:r>
            <w:proofErr w:type="spellStart"/>
            <w:r w:rsidRPr="00D24482">
              <w:rPr>
                <w:lang w:val="en-AU" w:eastAsia="en-US"/>
              </w:rPr>
              <w:t>Maranion</w:t>
            </w:r>
            <w:proofErr w:type="spellEnd"/>
          </w:p>
        </w:tc>
        <w:tc>
          <w:tcPr>
            <w:tcW w:w="1404" w:type="dxa"/>
          </w:tcPr>
          <w:p w14:paraId="25A9F0DF" w14:textId="6F1C94E1" w:rsidR="00D24482" w:rsidRPr="00D24482" w:rsidRDefault="005C22F5" w:rsidP="00D24482">
            <w:pPr>
              <w:snapToGrid w:val="0"/>
              <w:spacing w:before="120" w:after="100" w:afterAutospacing="1"/>
              <w:rPr>
                <w:lang w:val="en-AU" w:eastAsia="en-US"/>
              </w:rPr>
            </w:pPr>
            <w:r>
              <w:rPr>
                <w:lang w:val="en-AU" w:eastAsia="en-US"/>
              </w:rPr>
              <w:t>TEAP</w:t>
            </w:r>
          </w:p>
        </w:tc>
        <w:tc>
          <w:tcPr>
            <w:tcW w:w="1554" w:type="dxa"/>
            <w:vAlign w:val="bottom"/>
          </w:tcPr>
          <w:p w14:paraId="4CA9D20E" w14:textId="785D12DF" w:rsidR="00D24482" w:rsidRPr="00D24482" w:rsidRDefault="00D24482" w:rsidP="00D24482">
            <w:pPr>
              <w:snapToGrid w:val="0"/>
              <w:spacing w:before="120" w:after="100" w:afterAutospacing="1"/>
              <w:rPr>
                <w:lang w:val="en-AU" w:eastAsia="en-US"/>
              </w:rPr>
            </w:pPr>
            <w:r w:rsidRPr="00D24482">
              <w:rPr>
                <w:lang w:val="en-AU" w:eastAsia="en-US"/>
              </w:rPr>
              <w:t>USA</w:t>
            </w:r>
          </w:p>
        </w:tc>
      </w:tr>
      <w:tr w:rsidR="00D24482" w:rsidRPr="00D24482" w14:paraId="772DD4DD" w14:textId="77777777" w:rsidTr="005C22F5">
        <w:tc>
          <w:tcPr>
            <w:tcW w:w="3221" w:type="dxa"/>
            <w:vAlign w:val="bottom"/>
          </w:tcPr>
          <w:p w14:paraId="66D042EE" w14:textId="77777777" w:rsidR="00D24482" w:rsidRPr="00D24482" w:rsidRDefault="00D24482" w:rsidP="00D24482">
            <w:pPr>
              <w:snapToGrid w:val="0"/>
              <w:spacing w:before="120" w:after="100" w:afterAutospacing="1"/>
              <w:rPr>
                <w:lang w:val="en-AU" w:eastAsia="en-US"/>
              </w:rPr>
            </w:pPr>
            <w:r w:rsidRPr="00D24482">
              <w:rPr>
                <w:lang w:val="en-AU" w:eastAsia="en-US"/>
              </w:rPr>
              <w:t xml:space="preserve">Jeff </w:t>
            </w:r>
            <w:proofErr w:type="spellStart"/>
            <w:r w:rsidRPr="00D24482">
              <w:rPr>
                <w:lang w:val="en-AU" w:eastAsia="en-US"/>
              </w:rPr>
              <w:t>Morsch</w:t>
            </w:r>
            <w:proofErr w:type="spellEnd"/>
          </w:p>
        </w:tc>
        <w:tc>
          <w:tcPr>
            <w:tcW w:w="1404" w:type="dxa"/>
          </w:tcPr>
          <w:p w14:paraId="6D679244" w14:textId="1232D81B" w:rsidR="00D24482" w:rsidRPr="00D24482" w:rsidRDefault="005C22F5" w:rsidP="00D24482">
            <w:pPr>
              <w:snapToGrid w:val="0"/>
              <w:spacing w:before="120" w:after="100" w:afterAutospacing="1"/>
              <w:rPr>
                <w:lang w:val="en-AU" w:eastAsia="en-US"/>
              </w:rPr>
            </w:pPr>
            <w:r>
              <w:rPr>
                <w:lang w:val="en-AU" w:eastAsia="en-US"/>
              </w:rPr>
              <w:t>US DoD</w:t>
            </w:r>
          </w:p>
        </w:tc>
        <w:tc>
          <w:tcPr>
            <w:tcW w:w="1554" w:type="dxa"/>
            <w:vAlign w:val="bottom"/>
          </w:tcPr>
          <w:p w14:paraId="6D0BC267" w14:textId="038A583B" w:rsidR="00D24482" w:rsidRPr="00D24482" w:rsidRDefault="00D24482" w:rsidP="00D24482">
            <w:pPr>
              <w:snapToGrid w:val="0"/>
              <w:spacing w:before="120" w:after="100" w:afterAutospacing="1"/>
              <w:rPr>
                <w:lang w:val="en-AU" w:eastAsia="en-US"/>
              </w:rPr>
            </w:pPr>
            <w:r w:rsidRPr="00D24482">
              <w:rPr>
                <w:lang w:val="en-AU" w:eastAsia="en-US"/>
              </w:rPr>
              <w:t>USA</w:t>
            </w:r>
          </w:p>
        </w:tc>
      </w:tr>
      <w:tr w:rsidR="00D24482" w:rsidRPr="00D24482" w14:paraId="1A050398" w14:textId="77777777" w:rsidTr="005C22F5">
        <w:tc>
          <w:tcPr>
            <w:tcW w:w="3221" w:type="dxa"/>
            <w:vAlign w:val="bottom"/>
          </w:tcPr>
          <w:p w14:paraId="344C0E68" w14:textId="77777777" w:rsidR="00D24482" w:rsidRPr="00D24482" w:rsidRDefault="00D24482" w:rsidP="00D24482">
            <w:pPr>
              <w:snapToGrid w:val="0"/>
              <w:spacing w:before="120" w:after="100" w:afterAutospacing="1"/>
              <w:rPr>
                <w:lang w:val="en-AU" w:eastAsia="en-US"/>
              </w:rPr>
            </w:pPr>
            <w:r w:rsidRPr="00D24482">
              <w:rPr>
                <w:lang w:val="en-AU" w:eastAsia="en-US"/>
              </w:rPr>
              <w:t xml:space="preserve">Elvira </w:t>
            </w:r>
            <w:proofErr w:type="spellStart"/>
            <w:r w:rsidRPr="00D24482">
              <w:rPr>
                <w:lang w:val="en-AU" w:eastAsia="en-US"/>
              </w:rPr>
              <w:t>Nigido</w:t>
            </w:r>
            <w:proofErr w:type="spellEnd"/>
          </w:p>
        </w:tc>
        <w:tc>
          <w:tcPr>
            <w:tcW w:w="1404" w:type="dxa"/>
          </w:tcPr>
          <w:p w14:paraId="2EFA267A" w14:textId="7A4DEA9F" w:rsidR="00D24482" w:rsidRPr="00D24482" w:rsidRDefault="005C22F5" w:rsidP="00D24482">
            <w:pPr>
              <w:snapToGrid w:val="0"/>
              <w:spacing w:before="120" w:after="100" w:afterAutospacing="1"/>
              <w:rPr>
                <w:lang w:val="en-AU" w:eastAsia="en-US"/>
              </w:rPr>
            </w:pPr>
            <w:r>
              <w:rPr>
                <w:lang w:val="en-AU" w:eastAsia="en-US"/>
              </w:rPr>
              <w:t>HTOC</w:t>
            </w:r>
          </w:p>
        </w:tc>
        <w:tc>
          <w:tcPr>
            <w:tcW w:w="1554" w:type="dxa"/>
            <w:vAlign w:val="bottom"/>
          </w:tcPr>
          <w:p w14:paraId="55A0EF31" w14:textId="6D48E02F" w:rsidR="00D24482" w:rsidRPr="00D24482" w:rsidRDefault="005C22F5" w:rsidP="00D24482">
            <w:pPr>
              <w:snapToGrid w:val="0"/>
              <w:spacing w:before="120" w:after="100" w:afterAutospacing="1"/>
              <w:rPr>
                <w:lang w:val="en-AU" w:eastAsia="en-US"/>
              </w:rPr>
            </w:pPr>
            <w:r>
              <w:rPr>
                <w:lang w:val="en-AU" w:eastAsia="en-US"/>
              </w:rPr>
              <w:t>Australia</w:t>
            </w:r>
          </w:p>
        </w:tc>
      </w:tr>
      <w:tr w:rsidR="00D24482" w:rsidRPr="00D24482" w14:paraId="4CFF4D6C" w14:textId="77777777" w:rsidTr="005C22F5">
        <w:tc>
          <w:tcPr>
            <w:tcW w:w="3221" w:type="dxa"/>
            <w:vAlign w:val="bottom"/>
          </w:tcPr>
          <w:p w14:paraId="4D679B0F" w14:textId="77777777" w:rsidR="00D24482" w:rsidRPr="00D24482" w:rsidRDefault="00D24482" w:rsidP="00D24482">
            <w:pPr>
              <w:snapToGrid w:val="0"/>
              <w:spacing w:before="120" w:after="100" w:afterAutospacing="1"/>
              <w:rPr>
                <w:lang w:val="en-AU" w:eastAsia="en-US"/>
              </w:rPr>
            </w:pPr>
            <w:r w:rsidRPr="00D24482">
              <w:rPr>
                <w:lang w:val="en-AU" w:eastAsia="en-US"/>
              </w:rPr>
              <w:t xml:space="preserve">Makoto </w:t>
            </w:r>
            <w:proofErr w:type="spellStart"/>
            <w:r w:rsidRPr="00D24482">
              <w:rPr>
                <w:lang w:val="en-AU" w:eastAsia="en-US"/>
              </w:rPr>
              <w:t>Ohno</w:t>
            </w:r>
            <w:proofErr w:type="spellEnd"/>
          </w:p>
        </w:tc>
        <w:tc>
          <w:tcPr>
            <w:tcW w:w="1404" w:type="dxa"/>
          </w:tcPr>
          <w:p w14:paraId="7E34CE74" w14:textId="01679922" w:rsidR="00D24482" w:rsidRPr="00D24482" w:rsidRDefault="005C22F5" w:rsidP="00D24482">
            <w:pPr>
              <w:snapToGrid w:val="0"/>
              <w:spacing w:before="120" w:after="100" w:afterAutospacing="1"/>
              <w:rPr>
                <w:lang w:val="en-AU" w:eastAsia="en-US"/>
              </w:rPr>
            </w:pPr>
            <w:r>
              <w:rPr>
                <w:lang w:val="en-AU" w:eastAsia="en-US"/>
              </w:rPr>
              <w:t>ASADA</w:t>
            </w:r>
          </w:p>
        </w:tc>
        <w:tc>
          <w:tcPr>
            <w:tcW w:w="1554" w:type="dxa"/>
            <w:vAlign w:val="bottom"/>
          </w:tcPr>
          <w:p w14:paraId="18E60FF8" w14:textId="4DA2EB97" w:rsidR="00D24482" w:rsidRPr="00D24482" w:rsidRDefault="00D24482" w:rsidP="00D24482">
            <w:pPr>
              <w:snapToGrid w:val="0"/>
              <w:spacing w:before="120" w:after="100" w:afterAutospacing="1"/>
              <w:rPr>
                <w:lang w:val="en-AU" w:eastAsia="en-US"/>
              </w:rPr>
            </w:pPr>
            <w:r w:rsidRPr="00D24482">
              <w:rPr>
                <w:lang w:val="en-AU" w:eastAsia="en-US"/>
              </w:rPr>
              <w:t>Japan</w:t>
            </w:r>
          </w:p>
        </w:tc>
      </w:tr>
      <w:tr w:rsidR="00D24482" w:rsidRPr="00D24482" w14:paraId="2B0F5E45" w14:textId="77777777" w:rsidTr="005C22F5">
        <w:tc>
          <w:tcPr>
            <w:tcW w:w="3221" w:type="dxa"/>
            <w:vAlign w:val="bottom"/>
          </w:tcPr>
          <w:p w14:paraId="794A0824" w14:textId="77777777" w:rsidR="00D24482" w:rsidRPr="00D24482" w:rsidRDefault="00D24482" w:rsidP="00D24482">
            <w:pPr>
              <w:snapToGrid w:val="0"/>
              <w:spacing w:before="120" w:after="100" w:afterAutospacing="1"/>
              <w:rPr>
                <w:lang w:val="en-AU" w:eastAsia="en-US"/>
              </w:rPr>
            </w:pPr>
            <w:r w:rsidRPr="00D24482">
              <w:rPr>
                <w:lang w:val="en-AU" w:eastAsia="en-US"/>
              </w:rPr>
              <w:t xml:space="preserve">Marta </w:t>
            </w:r>
            <w:proofErr w:type="spellStart"/>
            <w:r w:rsidRPr="00D24482">
              <w:rPr>
                <w:lang w:val="en-AU" w:eastAsia="en-US"/>
              </w:rPr>
              <w:t>Pizano</w:t>
            </w:r>
            <w:proofErr w:type="spellEnd"/>
          </w:p>
        </w:tc>
        <w:tc>
          <w:tcPr>
            <w:tcW w:w="1404" w:type="dxa"/>
          </w:tcPr>
          <w:p w14:paraId="3A97D808" w14:textId="1DC0780D" w:rsidR="00D24482" w:rsidRPr="00D24482" w:rsidRDefault="005C22F5" w:rsidP="00D24482">
            <w:pPr>
              <w:snapToGrid w:val="0"/>
              <w:spacing w:before="120" w:after="100" w:afterAutospacing="1"/>
              <w:rPr>
                <w:lang w:val="en-AU" w:eastAsia="en-US"/>
              </w:rPr>
            </w:pPr>
            <w:r>
              <w:rPr>
                <w:lang w:val="en-AU" w:eastAsia="en-US"/>
              </w:rPr>
              <w:t>MBTOC</w:t>
            </w:r>
          </w:p>
        </w:tc>
        <w:tc>
          <w:tcPr>
            <w:tcW w:w="1554" w:type="dxa"/>
            <w:vAlign w:val="bottom"/>
          </w:tcPr>
          <w:p w14:paraId="03ECB604" w14:textId="4AE126BC" w:rsidR="00D24482" w:rsidRPr="00D24482" w:rsidRDefault="00D24482" w:rsidP="00D24482">
            <w:pPr>
              <w:snapToGrid w:val="0"/>
              <w:spacing w:before="120" w:after="100" w:afterAutospacing="1"/>
              <w:rPr>
                <w:lang w:val="en-AU" w:eastAsia="en-US"/>
              </w:rPr>
            </w:pPr>
            <w:r w:rsidRPr="00D24482">
              <w:rPr>
                <w:lang w:val="en-AU" w:eastAsia="en-US"/>
              </w:rPr>
              <w:t>Colombia</w:t>
            </w:r>
          </w:p>
        </w:tc>
      </w:tr>
      <w:tr w:rsidR="00D24482" w:rsidRPr="00D24482" w14:paraId="40822FA4" w14:textId="77777777" w:rsidTr="005C22F5">
        <w:tc>
          <w:tcPr>
            <w:tcW w:w="3221" w:type="dxa"/>
            <w:vAlign w:val="bottom"/>
          </w:tcPr>
          <w:p w14:paraId="07A033FE" w14:textId="77777777" w:rsidR="00D24482" w:rsidRPr="00D24482" w:rsidRDefault="00D24482" w:rsidP="00D24482">
            <w:pPr>
              <w:snapToGrid w:val="0"/>
              <w:spacing w:before="120" w:after="100" w:afterAutospacing="1"/>
              <w:rPr>
                <w:lang w:val="en-AU" w:eastAsia="en-US"/>
              </w:rPr>
            </w:pPr>
            <w:r w:rsidRPr="00D24482">
              <w:rPr>
                <w:lang w:val="en-AU" w:eastAsia="en-US"/>
              </w:rPr>
              <w:t>Ian Porter</w:t>
            </w:r>
          </w:p>
        </w:tc>
        <w:tc>
          <w:tcPr>
            <w:tcW w:w="1404" w:type="dxa"/>
          </w:tcPr>
          <w:p w14:paraId="4A1275AB" w14:textId="3303A8FC" w:rsidR="00D24482" w:rsidRPr="00D24482" w:rsidRDefault="005C22F5" w:rsidP="00D24482">
            <w:pPr>
              <w:snapToGrid w:val="0"/>
              <w:spacing w:before="120" w:after="100" w:afterAutospacing="1"/>
              <w:rPr>
                <w:lang w:val="en-AU" w:eastAsia="en-US"/>
              </w:rPr>
            </w:pPr>
            <w:r>
              <w:rPr>
                <w:lang w:val="en-AU" w:eastAsia="en-US"/>
              </w:rPr>
              <w:t>MBTOC</w:t>
            </w:r>
          </w:p>
        </w:tc>
        <w:tc>
          <w:tcPr>
            <w:tcW w:w="1554" w:type="dxa"/>
            <w:vAlign w:val="bottom"/>
          </w:tcPr>
          <w:p w14:paraId="55CD4FFB" w14:textId="09FE1E6E" w:rsidR="00D24482" w:rsidRPr="00D24482" w:rsidRDefault="005C22F5" w:rsidP="00D24482">
            <w:pPr>
              <w:snapToGrid w:val="0"/>
              <w:spacing w:before="120" w:after="100" w:afterAutospacing="1"/>
              <w:rPr>
                <w:lang w:val="en-AU" w:eastAsia="en-US"/>
              </w:rPr>
            </w:pPr>
            <w:r>
              <w:rPr>
                <w:lang w:val="en-AU" w:eastAsia="en-US"/>
              </w:rPr>
              <w:t>Australia</w:t>
            </w:r>
          </w:p>
        </w:tc>
      </w:tr>
      <w:tr w:rsidR="00D24482" w:rsidRPr="00D24482" w14:paraId="6E602045" w14:textId="77777777" w:rsidTr="005C22F5">
        <w:tc>
          <w:tcPr>
            <w:tcW w:w="3221" w:type="dxa"/>
            <w:vAlign w:val="bottom"/>
          </w:tcPr>
          <w:p w14:paraId="5D6A9027" w14:textId="77777777" w:rsidR="00D24482" w:rsidRPr="00D24482" w:rsidRDefault="00D24482" w:rsidP="00D24482">
            <w:pPr>
              <w:snapToGrid w:val="0"/>
              <w:spacing w:before="120" w:after="100" w:afterAutospacing="1"/>
              <w:rPr>
                <w:lang w:val="en-AU" w:eastAsia="en-US"/>
              </w:rPr>
            </w:pPr>
            <w:proofErr w:type="spellStart"/>
            <w:r w:rsidRPr="00D24482">
              <w:rPr>
                <w:lang w:val="en-AU" w:eastAsia="en-US"/>
              </w:rPr>
              <w:t>Sidi</w:t>
            </w:r>
            <w:proofErr w:type="spellEnd"/>
            <w:r w:rsidRPr="00D24482">
              <w:rPr>
                <w:lang w:val="en-AU" w:eastAsia="en-US"/>
              </w:rPr>
              <w:t xml:space="preserve"> </w:t>
            </w:r>
            <w:proofErr w:type="spellStart"/>
            <w:r w:rsidRPr="00D24482">
              <w:rPr>
                <w:lang w:val="en-AU" w:eastAsia="en-US"/>
              </w:rPr>
              <w:t>Menad</w:t>
            </w:r>
            <w:proofErr w:type="spellEnd"/>
            <w:r w:rsidRPr="00D24482">
              <w:rPr>
                <w:lang w:val="en-AU" w:eastAsia="en-US"/>
              </w:rPr>
              <w:t xml:space="preserve"> Si-Ahmed</w:t>
            </w:r>
          </w:p>
        </w:tc>
        <w:tc>
          <w:tcPr>
            <w:tcW w:w="1404" w:type="dxa"/>
          </w:tcPr>
          <w:p w14:paraId="43313355" w14:textId="50AE25FB" w:rsidR="00D24482" w:rsidRPr="00D24482" w:rsidRDefault="005C22F5" w:rsidP="00D24482">
            <w:pPr>
              <w:snapToGrid w:val="0"/>
              <w:spacing w:before="120" w:after="100" w:afterAutospacing="1"/>
              <w:rPr>
                <w:lang w:val="en-AU" w:eastAsia="en-US"/>
              </w:rPr>
            </w:pPr>
            <w:r>
              <w:rPr>
                <w:lang w:val="en-AU" w:eastAsia="en-US"/>
              </w:rPr>
              <w:t>TEAP</w:t>
            </w:r>
          </w:p>
        </w:tc>
        <w:tc>
          <w:tcPr>
            <w:tcW w:w="1554" w:type="dxa"/>
            <w:vAlign w:val="bottom"/>
          </w:tcPr>
          <w:p w14:paraId="2BDA3CED" w14:textId="413902E7" w:rsidR="00D24482" w:rsidRPr="00D24482" w:rsidRDefault="00D24482" w:rsidP="00D24482">
            <w:pPr>
              <w:snapToGrid w:val="0"/>
              <w:spacing w:before="120" w:after="100" w:afterAutospacing="1"/>
              <w:rPr>
                <w:lang w:val="en-AU" w:eastAsia="en-US"/>
              </w:rPr>
            </w:pPr>
            <w:r w:rsidRPr="00D24482">
              <w:rPr>
                <w:lang w:val="en-AU" w:eastAsia="en-US"/>
              </w:rPr>
              <w:t>Algeria</w:t>
            </w:r>
          </w:p>
        </w:tc>
      </w:tr>
      <w:tr w:rsidR="00D24482" w:rsidRPr="00D24482" w14:paraId="3DFA321C" w14:textId="77777777" w:rsidTr="005C22F5">
        <w:tblPrEx>
          <w:tblBorders>
            <w:top w:val="nil"/>
          </w:tblBorders>
        </w:tblPrEx>
        <w:tc>
          <w:tcPr>
            <w:tcW w:w="3221" w:type="dxa"/>
            <w:vAlign w:val="bottom"/>
          </w:tcPr>
          <w:p w14:paraId="11ABB29E" w14:textId="77777777" w:rsidR="00D24482" w:rsidRPr="00D24482" w:rsidRDefault="00D24482" w:rsidP="00D24482">
            <w:pPr>
              <w:snapToGrid w:val="0"/>
              <w:spacing w:before="120" w:after="100" w:afterAutospacing="1"/>
              <w:rPr>
                <w:lang w:val="en-AU" w:eastAsia="en-US"/>
              </w:rPr>
            </w:pPr>
            <w:proofErr w:type="spellStart"/>
            <w:r w:rsidRPr="00D24482">
              <w:rPr>
                <w:lang w:val="en-AU" w:eastAsia="en-US"/>
              </w:rPr>
              <w:t>Jianjun</w:t>
            </w:r>
            <w:proofErr w:type="spellEnd"/>
            <w:r w:rsidRPr="00D24482">
              <w:rPr>
                <w:lang w:val="en-AU" w:eastAsia="en-US"/>
              </w:rPr>
              <w:t xml:space="preserve"> Zhang</w:t>
            </w:r>
          </w:p>
        </w:tc>
        <w:tc>
          <w:tcPr>
            <w:tcW w:w="1404" w:type="dxa"/>
          </w:tcPr>
          <w:p w14:paraId="5EB587E6" w14:textId="360EA7FE" w:rsidR="00D24482" w:rsidRPr="00D24482" w:rsidRDefault="005C22F5" w:rsidP="00D24482">
            <w:pPr>
              <w:snapToGrid w:val="0"/>
              <w:spacing w:before="120" w:after="100" w:afterAutospacing="1"/>
              <w:rPr>
                <w:lang w:val="en-AU" w:eastAsia="en-US"/>
              </w:rPr>
            </w:pPr>
            <w:r>
              <w:rPr>
                <w:lang w:val="en-AU" w:eastAsia="en-US"/>
              </w:rPr>
              <w:t>MCTOC</w:t>
            </w:r>
          </w:p>
        </w:tc>
        <w:tc>
          <w:tcPr>
            <w:tcW w:w="1554" w:type="dxa"/>
            <w:vAlign w:val="bottom"/>
          </w:tcPr>
          <w:p w14:paraId="4D512B62" w14:textId="518B0E6F" w:rsidR="00D24482" w:rsidRPr="00D24482" w:rsidRDefault="00D24482" w:rsidP="00D24482">
            <w:pPr>
              <w:snapToGrid w:val="0"/>
              <w:spacing w:before="120" w:after="100" w:afterAutospacing="1"/>
              <w:rPr>
                <w:lang w:val="en-AU" w:eastAsia="en-US"/>
              </w:rPr>
            </w:pPr>
            <w:r w:rsidRPr="00D24482">
              <w:rPr>
                <w:lang w:val="en-AU" w:eastAsia="en-US"/>
              </w:rPr>
              <w:t>PRC</w:t>
            </w:r>
          </w:p>
        </w:tc>
      </w:tr>
    </w:tbl>
    <w:p w14:paraId="7EC53C0D" w14:textId="66BC7E21" w:rsidR="00E30462" w:rsidRDefault="00E30462" w:rsidP="00E30462">
      <w:pPr>
        <w:rPr>
          <w:lang w:val="en-AU"/>
        </w:rPr>
      </w:pPr>
    </w:p>
    <w:p w14:paraId="683FA934" w14:textId="36DF42C1" w:rsidR="000B7D4E" w:rsidRPr="00E30462" w:rsidRDefault="000B7D4E" w:rsidP="00E30462">
      <w:pPr>
        <w:rPr>
          <w:lang w:val="en-AU"/>
        </w:rPr>
      </w:pPr>
      <w:r>
        <w:rPr>
          <w:lang w:val="en-US"/>
        </w:rPr>
        <w:t>The Task F</w:t>
      </w:r>
      <w:r w:rsidRPr="000B7D4E">
        <w:rPr>
          <w:lang w:val="en-US"/>
        </w:rPr>
        <w:t>orce</w:t>
      </w:r>
      <w:r w:rsidR="00064527">
        <w:rPr>
          <w:lang w:val="en-US"/>
        </w:rPr>
        <w:t xml:space="preserve"> on Destruction Technologies</w:t>
      </w:r>
      <w:r w:rsidRPr="000B7D4E">
        <w:rPr>
          <w:lang w:val="en-US"/>
        </w:rPr>
        <w:t xml:space="preserve"> </w:t>
      </w:r>
      <w:r w:rsidR="00DA13B4">
        <w:rPr>
          <w:lang w:val="en-US"/>
        </w:rPr>
        <w:t xml:space="preserve">(2018 TFDT) </w:t>
      </w:r>
      <w:r w:rsidRPr="000B7D4E">
        <w:rPr>
          <w:lang w:val="en-US"/>
        </w:rPr>
        <w:t>work</w:t>
      </w:r>
      <w:r>
        <w:rPr>
          <w:lang w:val="en-US"/>
        </w:rPr>
        <w:t>ed</w:t>
      </w:r>
      <w:r w:rsidRPr="000B7D4E">
        <w:rPr>
          <w:lang w:val="en-US"/>
        </w:rPr>
        <w:t xml:space="preserve"> entirely by email and other electronic means.</w:t>
      </w:r>
    </w:p>
    <w:p w14:paraId="6F9DBE53" w14:textId="734ADDC4" w:rsidR="00E30462" w:rsidRDefault="00E30462" w:rsidP="00275CBE">
      <w:pPr>
        <w:pStyle w:val="Heading2"/>
      </w:pPr>
      <w:bookmarkStart w:id="17" w:name="_Toc510531442"/>
      <w:r>
        <w:t>1.3</w:t>
      </w:r>
      <w:r>
        <w:tab/>
      </w:r>
      <w:r w:rsidR="00131524">
        <w:t>Background and p</w:t>
      </w:r>
      <w:r w:rsidRPr="00E30462">
        <w:t>revious assessments of destruction technologies</w:t>
      </w:r>
      <w:bookmarkEnd w:id="17"/>
      <w:r w:rsidRPr="00E30462">
        <w:t xml:space="preserve"> </w:t>
      </w:r>
    </w:p>
    <w:p w14:paraId="4D6BE064" w14:textId="0E3FE2B6" w:rsidR="00957F84" w:rsidRDefault="00957F84" w:rsidP="00957F84">
      <w:pPr>
        <w:rPr>
          <w:lang w:val="en-AU"/>
        </w:rPr>
      </w:pPr>
      <w:r>
        <w:rPr>
          <w:lang w:val="en-AU"/>
        </w:rPr>
        <w:t>Article 1, paragraph 5, of the Montreal Protocol states,</w:t>
      </w:r>
    </w:p>
    <w:p w14:paraId="4B4B9D40" w14:textId="5D7ADC8C" w:rsidR="00957F84" w:rsidRPr="00957F84" w:rsidRDefault="00957F84" w:rsidP="00957F84">
      <w:pPr>
        <w:ind w:left="284"/>
        <w:rPr>
          <w:lang w:val="en-AU"/>
        </w:rPr>
      </w:pPr>
      <w:r w:rsidRPr="00957F84">
        <w:rPr>
          <w:i/>
          <w:lang w:val="en-AU"/>
        </w:rPr>
        <w:t xml:space="preserve">“Production” means the amount of controlled substances produced, minus the amount destroyed by technologies to be approved by the Parties and minus the amount entirely used as feedstock in the manufacture of other chemicals. The amount recycled and reused is not to be considered as “production”. </w:t>
      </w:r>
      <w:r w:rsidRPr="00957F84">
        <w:rPr>
          <w:rFonts w:ascii="MS Mincho" w:eastAsia="MS Mincho" w:hAnsi="MS Mincho" w:cs="MS Mincho" w:hint="eastAsia"/>
          <w:lang w:val="en-AU"/>
        </w:rPr>
        <w:t> </w:t>
      </w:r>
    </w:p>
    <w:p w14:paraId="4A63BEA9" w14:textId="10EA4AA1" w:rsidR="00A64273" w:rsidRDefault="00A64273" w:rsidP="0086638D">
      <w:pPr>
        <w:rPr>
          <w:lang w:val="en-AU"/>
        </w:rPr>
      </w:pPr>
      <w:r w:rsidRPr="00A64273">
        <w:rPr>
          <w:lang w:val="en-AU"/>
        </w:rPr>
        <w:t>In accordance with Artic</w:t>
      </w:r>
      <w:r>
        <w:rPr>
          <w:lang w:val="en-AU"/>
        </w:rPr>
        <w:t xml:space="preserve">le 7 of the Montreal Protocol, </w:t>
      </w:r>
      <w:r w:rsidRPr="00A64273">
        <w:rPr>
          <w:lang w:val="en-AU"/>
        </w:rPr>
        <w:t>Parties are required to report data on the production</w:t>
      </w:r>
      <w:r>
        <w:rPr>
          <w:lang w:val="en-AU"/>
        </w:rPr>
        <w:t xml:space="preserve"> of controlled ozone-</w:t>
      </w:r>
      <w:r w:rsidRPr="00A64273">
        <w:rPr>
          <w:lang w:val="en-AU"/>
        </w:rPr>
        <w:t>depleting substances</w:t>
      </w:r>
      <w:r>
        <w:rPr>
          <w:lang w:val="en-AU"/>
        </w:rPr>
        <w:t xml:space="preserve"> (ODS).</w:t>
      </w:r>
    </w:p>
    <w:p w14:paraId="2A129823" w14:textId="00B7D19A" w:rsidR="0086638D" w:rsidRDefault="00A64273" w:rsidP="0086638D">
      <w:pPr>
        <w:rPr>
          <w:lang w:val="en-AU"/>
        </w:rPr>
      </w:pPr>
      <w:r>
        <w:rPr>
          <w:lang w:val="en-AU"/>
        </w:rPr>
        <w:t>These</w:t>
      </w:r>
      <w:r w:rsidRPr="008A207D">
        <w:rPr>
          <w:lang w:val="en-AU"/>
        </w:rPr>
        <w:t xml:space="preserve"> </w:t>
      </w:r>
      <w:r w:rsidR="0086638D">
        <w:rPr>
          <w:lang w:val="en-AU"/>
        </w:rPr>
        <w:t>definition</w:t>
      </w:r>
      <w:r>
        <w:rPr>
          <w:lang w:val="en-AU"/>
        </w:rPr>
        <w:t>s</w:t>
      </w:r>
      <w:r w:rsidR="0086638D">
        <w:rPr>
          <w:lang w:val="en-AU"/>
        </w:rPr>
        <w:t xml:space="preserve"> </w:t>
      </w:r>
      <w:r w:rsidR="00C1010C">
        <w:rPr>
          <w:lang w:val="en-AU"/>
        </w:rPr>
        <w:t>require</w:t>
      </w:r>
      <w:r w:rsidR="0086638D">
        <w:rPr>
          <w:lang w:val="en-AU"/>
        </w:rPr>
        <w:t xml:space="preserve"> parties </w:t>
      </w:r>
      <w:r w:rsidR="00D56DCD">
        <w:rPr>
          <w:lang w:val="en-AU"/>
        </w:rPr>
        <w:t>to determine</w:t>
      </w:r>
      <w:r w:rsidR="0086638D" w:rsidRPr="008A207D">
        <w:rPr>
          <w:lang w:val="en-AU"/>
        </w:rPr>
        <w:t xml:space="preserve"> the </w:t>
      </w:r>
      <w:r w:rsidR="0086638D">
        <w:rPr>
          <w:lang w:val="en-AU"/>
        </w:rPr>
        <w:t>quantity</w:t>
      </w:r>
      <w:r w:rsidR="0086638D" w:rsidRPr="008A207D">
        <w:rPr>
          <w:lang w:val="en-AU"/>
        </w:rPr>
        <w:t xml:space="preserve"> of ODS </w:t>
      </w:r>
      <w:r w:rsidR="00C1010C">
        <w:rPr>
          <w:lang w:val="en-AU"/>
        </w:rPr>
        <w:t>destroyed in</w:t>
      </w:r>
      <w:r w:rsidR="0086638D" w:rsidRPr="008A207D">
        <w:rPr>
          <w:lang w:val="en-AU"/>
        </w:rPr>
        <w:t xml:space="preserve"> destruction facilit</w:t>
      </w:r>
      <w:r w:rsidR="00C1010C">
        <w:rPr>
          <w:lang w:val="en-AU"/>
        </w:rPr>
        <w:t>ies</w:t>
      </w:r>
      <w:r w:rsidR="0086638D">
        <w:rPr>
          <w:lang w:val="en-AU"/>
        </w:rPr>
        <w:t xml:space="preserve">, in order to meet </w:t>
      </w:r>
      <w:r w:rsidR="00C1010C">
        <w:rPr>
          <w:lang w:val="en-AU"/>
        </w:rPr>
        <w:t xml:space="preserve">their </w:t>
      </w:r>
      <w:r w:rsidR="0086638D">
        <w:rPr>
          <w:lang w:val="en-AU"/>
        </w:rPr>
        <w:t>reporting and</w:t>
      </w:r>
      <w:r w:rsidR="000253FC">
        <w:rPr>
          <w:lang w:val="en-AU"/>
        </w:rPr>
        <w:t xml:space="preserve"> </w:t>
      </w:r>
      <w:r w:rsidR="0086638D">
        <w:rPr>
          <w:lang w:val="en-AU"/>
        </w:rPr>
        <w:t xml:space="preserve">compliance obligations. </w:t>
      </w:r>
    </w:p>
    <w:p w14:paraId="1D0264BC" w14:textId="5AEFA655" w:rsidR="0086638D" w:rsidRDefault="008A207D" w:rsidP="008A207D">
      <w:pPr>
        <w:rPr>
          <w:lang w:val="en-AU"/>
        </w:rPr>
      </w:pPr>
      <w:r w:rsidRPr="008A207D">
        <w:rPr>
          <w:lang w:val="en-AU"/>
        </w:rPr>
        <w:t>The Montreal Proto</w:t>
      </w:r>
      <w:r w:rsidR="005C22F5">
        <w:rPr>
          <w:lang w:val="en-AU"/>
        </w:rPr>
        <w:t xml:space="preserve">col </w:t>
      </w:r>
      <w:r w:rsidR="0086638D">
        <w:rPr>
          <w:lang w:val="en-AU"/>
        </w:rPr>
        <w:t xml:space="preserve">also </w:t>
      </w:r>
      <w:r w:rsidR="005C22F5">
        <w:rPr>
          <w:lang w:val="en-AU"/>
        </w:rPr>
        <w:t>allows remanufacture of ODS</w:t>
      </w:r>
      <w:r w:rsidRPr="008A207D">
        <w:rPr>
          <w:lang w:val="en-AU"/>
        </w:rPr>
        <w:t xml:space="preserve"> to replace a portion of ODS destroyed under specific conditions (within the same year as destruction, within the same group of substances, etc.). </w:t>
      </w:r>
      <w:r w:rsidR="005C22F5">
        <w:rPr>
          <w:lang w:val="en-AU"/>
        </w:rPr>
        <w:t xml:space="preserve">In practice, parties have not typically remanufactured ODS to offset quantities </w:t>
      </w:r>
      <w:r w:rsidR="00A73007">
        <w:rPr>
          <w:lang w:val="en-AU"/>
        </w:rPr>
        <w:t xml:space="preserve">otherwise </w:t>
      </w:r>
      <w:r w:rsidR="005C22F5">
        <w:rPr>
          <w:lang w:val="en-AU"/>
        </w:rPr>
        <w:t xml:space="preserve">destroyed. </w:t>
      </w:r>
    </w:p>
    <w:p w14:paraId="070C01E5" w14:textId="1708C640" w:rsidR="005C22F5" w:rsidRDefault="0060118F" w:rsidP="008A207D">
      <w:pPr>
        <w:rPr>
          <w:lang w:val="en-AU"/>
        </w:rPr>
      </w:pPr>
      <w:r>
        <w:rPr>
          <w:lang w:val="en-AU"/>
        </w:rPr>
        <w:t xml:space="preserve">In addition to these obligations, ODS </w:t>
      </w:r>
      <w:r w:rsidR="00A4342B">
        <w:rPr>
          <w:lang w:val="en-AU"/>
        </w:rPr>
        <w:t xml:space="preserve">destruction </w:t>
      </w:r>
      <w:r>
        <w:rPr>
          <w:lang w:val="en-AU"/>
        </w:rPr>
        <w:t xml:space="preserve">has been developed to meet regulatory requirements and voluntary objectives to help protect </w:t>
      </w:r>
      <w:r w:rsidR="00A73007">
        <w:rPr>
          <w:lang w:val="en-AU"/>
        </w:rPr>
        <w:t>stratospheric ozone and climate</w:t>
      </w:r>
      <w:r>
        <w:rPr>
          <w:lang w:val="en-AU"/>
        </w:rPr>
        <w:t>.</w:t>
      </w:r>
      <w:r w:rsidR="00A73007">
        <w:rPr>
          <w:lang w:val="en-AU"/>
        </w:rPr>
        <w:t xml:space="preserve"> </w:t>
      </w:r>
    </w:p>
    <w:p w14:paraId="5887E401" w14:textId="0666AA8F" w:rsidR="000B7D4E" w:rsidRPr="00774115" w:rsidRDefault="000B7D4E" w:rsidP="000B7D4E">
      <w:pPr>
        <w:rPr>
          <w:lang w:val="en-AU"/>
        </w:rPr>
      </w:pPr>
      <w:r>
        <w:rPr>
          <w:lang w:val="en-AU"/>
        </w:rPr>
        <w:lastRenderedPageBreak/>
        <w:t xml:space="preserve">More recently, </w:t>
      </w:r>
      <w:r w:rsidR="00EB1361">
        <w:rPr>
          <w:lang w:val="en-AU"/>
        </w:rPr>
        <w:t xml:space="preserve">the </w:t>
      </w:r>
      <w:r w:rsidRPr="00774115">
        <w:rPr>
          <w:lang w:val="en-AU"/>
        </w:rPr>
        <w:t xml:space="preserve">Kigali Amendment to the </w:t>
      </w:r>
      <w:r>
        <w:rPr>
          <w:lang w:val="en-AU"/>
        </w:rPr>
        <w:t xml:space="preserve">Montreal Protocol in 2016 </w:t>
      </w:r>
      <w:r w:rsidRPr="00774115">
        <w:rPr>
          <w:lang w:val="en-AU"/>
        </w:rPr>
        <w:t>include</w:t>
      </w:r>
      <w:r>
        <w:rPr>
          <w:lang w:val="en-AU"/>
        </w:rPr>
        <w:t>s</w:t>
      </w:r>
      <w:r w:rsidRPr="00774115">
        <w:rPr>
          <w:lang w:val="en-AU"/>
        </w:rPr>
        <w:t xml:space="preserve"> </w:t>
      </w:r>
      <w:r w:rsidR="00064527">
        <w:rPr>
          <w:lang w:val="en-AU"/>
        </w:rPr>
        <w:t>hydrofluorocarbons (</w:t>
      </w:r>
      <w:r w:rsidRPr="00774115">
        <w:rPr>
          <w:lang w:val="en-AU"/>
        </w:rPr>
        <w:t>HFCs</w:t>
      </w:r>
      <w:r w:rsidR="00064527">
        <w:rPr>
          <w:lang w:val="en-AU"/>
        </w:rPr>
        <w:t>)</w:t>
      </w:r>
      <w:r w:rsidRPr="00774115">
        <w:rPr>
          <w:lang w:val="en-AU"/>
        </w:rPr>
        <w:t xml:space="preserve"> as controlled substances and, in relation t</w:t>
      </w:r>
      <w:r>
        <w:rPr>
          <w:lang w:val="en-AU"/>
        </w:rPr>
        <w:t>o their destruction, states</w:t>
      </w:r>
      <w:r w:rsidRPr="00774115">
        <w:rPr>
          <w:lang w:val="en-AU"/>
        </w:rPr>
        <w:t xml:space="preserve"> in Article 2J, paragraphs 6 and 7, that</w:t>
      </w:r>
      <w:r>
        <w:rPr>
          <w:rStyle w:val="FootnoteReference"/>
          <w:lang w:val="en-AU"/>
        </w:rPr>
        <w:footnoteReference w:id="3"/>
      </w:r>
      <w:r w:rsidRPr="00774115">
        <w:rPr>
          <w:lang w:val="en-AU"/>
        </w:rPr>
        <w:t>:</w:t>
      </w:r>
    </w:p>
    <w:p w14:paraId="7042CCA2" w14:textId="77777777" w:rsidR="000B7D4E" w:rsidRPr="008A207D" w:rsidRDefault="000B7D4E" w:rsidP="000B7D4E">
      <w:pPr>
        <w:ind w:left="284"/>
        <w:rPr>
          <w:i/>
          <w:lang w:val="en-AU"/>
        </w:rPr>
      </w:pPr>
      <w:r w:rsidRPr="008A207D">
        <w:rPr>
          <w:i/>
          <w:iCs/>
          <w:lang w:val="en-AU"/>
        </w:rPr>
        <w:t>6. Each Party manufacturing Annex C, Group I, or Annex F substances shall ensure that for the twelve-month period commencing on 1 January 2020, and in each twelve-month period thereafter, its emissions of Annex F, Group II, substances generated in each production facility that manufactures Annex C, Group I, or Annex F substances are destroyed to the extent practicable using technology approved by the Parties in the same twelve-month period.</w:t>
      </w:r>
    </w:p>
    <w:p w14:paraId="4DB14DA0" w14:textId="77777777" w:rsidR="000B7D4E" w:rsidRDefault="000B7D4E" w:rsidP="000B7D4E">
      <w:pPr>
        <w:ind w:left="284"/>
        <w:rPr>
          <w:i/>
          <w:iCs/>
          <w:lang w:val="en-AU"/>
        </w:rPr>
      </w:pPr>
      <w:r w:rsidRPr="008A207D">
        <w:rPr>
          <w:i/>
          <w:iCs/>
          <w:lang w:val="en-AU"/>
        </w:rPr>
        <w:t>7. Each Party shall ensure that any destruction of Annex F, Group II, substances generated by facilities that produce Annex C, Group I, or Annex F substances shall occur only by technologies approved by the Parties.</w:t>
      </w:r>
    </w:p>
    <w:p w14:paraId="59A7AD1C" w14:textId="7FD35841" w:rsidR="00A73007" w:rsidRDefault="00A73007" w:rsidP="008A207D">
      <w:pPr>
        <w:rPr>
          <w:lang w:val="en-AU"/>
        </w:rPr>
      </w:pPr>
      <w:r>
        <w:rPr>
          <w:lang w:val="en-AU"/>
        </w:rPr>
        <w:t xml:space="preserve">From its beginnings, the </w:t>
      </w:r>
      <w:r w:rsidR="00D56DCD">
        <w:rPr>
          <w:lang w:val="en-AU"/>
        </w:rPr>
        <w:t xml:space="preserve">parties to the </w:t>
      </w:r>
      <w:r>
        <w:rPr>
          <w:lang w:val="en-AU"/>
        </w:rPr>
        <w:t>Montreal Protocol</w:t>
      </w:r>
      <w:r w:rsidR="00957F84">
        <w:rPr>
          <w:lang w:val="en-AU"/>
        </w:rPr>
        <w:t xml:space="preserve"> ha</w:t>
      </w:r>
      <w:r w:rsidR="00D56DCD">
        <w:rPr>
          <w:lang w:val="en-AU"/>
        </w:rPr>
        <w:t>ve</w:t>
      </w:r>
      <w:r>
        <w:rPr>
          <w:lang w:val="en-AU"/>
        </w:rPr>
        <w:t xml:space="preserve"> periodically requested the TEAP to assess and provide advice on destruction technologies</w:t>
      </w:r>
      <w:r w:rsidR="000B7D4E">
        <w:rPr>
          <w:lang w:val="en-AU"/>
        </w:rPr>
        <w:t xml:space="preserve"> in order to meet </w:t>
      </w:r>
      <w:r w:rsidR="00341EDC">
        <w:rPr>
          <w:lang w:val="en-AU"/>
        </w:rPr>
        <w:t xml:space="preserve">relevant </w:t>
      </w:r>
      <w:r w:rsidR="000B7D4E">
        <w:rPr>
          <w:lang w:val="en-AU"/>
        </w:rPr>
        <w:t>requirements under the Protocol</w:t>
      </w:r>
      <w:r>
        <w:rPr>
          <w:lang w:val="en-AU"/>
        </w:rPr>
        <w:t>.</w:t>
      </w:r>
      <w:r w:rsidR="00341EDC">
        <w:rPr>
          <w:lang w:val="en-AU"/>
        </w:rPr>
        <w:t xml:space="preserve"> </w:t>
      </w:r>
    </w:p>
    <w:p w14:paraId="3733EF8B" w14:textId="3BF92562" w:rsidR="00A73007" w:rsidRPr="00A73007" w:rsidRDefault="00514300" w:rsidP="00A73007">
      <w:pPr>
        <w:rPr>
          <w:lang w:val="en-AU"/>
        </w:rPr>
      </w:pPr>
      <w:r>
        <w:rPr>
          <w:lang w:val="en-AU"/>
        </w:rPr>
        <w:t>The First Meeting of the p</w:t>
      </w:r>
      <w:r w:rsidR="00A73007" w:rsidRPr="00A73007">
        <w:rPr>
          <w:lang w:val="en-AU"/>
        </w:rPr>
        <w:t xml:space="preserve">arties decided in </w:t>
      </w:r>
      <w:r w:rsidR="00A73007">
        <w:rPr>
          <w:lang w:val="en-AU"/>
        </w:rPr>
        <w:t>Decision</w:t>
      </w:r>
      <w:r w:rsidR="00A73007" w:rsidRPr="00A73007">
        <w:rPr>
          <w:lang w:val="en-AU"/>
        </w:rPr>
        <w:t xml:space="preserve"> I/12F with regard to destruction: </w:t>
      </w:r>
    </w:p>
    <w:p w14:paraId="5E796D67" w14:textId="42A42AF4" w:rsidR="00A73007" w:rsidRPr="00957F84" w:rsidRDefault="00A73007" w:rsidP="00A73007">
      <w:pPr>
        <w:ind w:left="284"/>
        <w:rPr>
          <w:i/>
          <w:lang w:val="en-AU"/>
        </w:rPr>
      </w:pPr>
      <w:r w:rsidRPr="00957F84">
        <w:rPr>
          <w:i/>
          <w:lang w:val="en-AU"/>
        </w:rPr>
        <w:t>(a)</w:t>
      </w:r>
      <w:r w:rsidR="00514300">
        <w:rPr>
          <w:i/>
          <w:lang w:val="en-AU"/>
        </w:rPr>
        <w:t xml:space="preserve"> </w:t>
      </w:r>
      <w:r w:rsidRPr="00957F84">
        <w:rPr>
          <w:i/>
          <w:lang w:val="en-AU"/>
        </w:rPr>
        <w:t xml:space="preserve">to agree to the following clarification of the definition of Article 1, paragraph 5 of the Protocol: </w:t>
      </w:r>
      <w:r w:rsidRPr="00957F84">
        <w:rPr>
          <w:rFonts w:ascii="MS Mincho" w:eastAsia="MS Mincho" w:hAnsi="MS Mincho" w:cs="MS Mincho" w:hint="eastAsia"/>
          <w:i/>
          <w:lang w:val="en-AU"/>
        </w:rPr>
        <w:t> </w:t>
      </w:r>
      <w:r w:rsidRPr="00957F84">
        <w:rPr>
          <w:i/>
          <w:lang w:val="en-AU"/>
        </w:rPr>
        <w:t xml:space="preserve">“a destruction process is one which, when applied to controlled substances, results in the permanent transformation, or decomposition of all or a significant portion of such substances”; </w:t>
      </w:r>
      <w:r w:rsidRPr="00957F84">
        <w:rPr>
          <w:rFonts w:ascii="MS Mincho" w:eastAsia="MS Mincho" w:hAnsi="MS Mincho" w:cs="MS Mincho" w:hint="eastAsia"/>
          <w:i/>
          <w:lang w:val="en-AU"/>
        </w:rPr>
        <w:t> </w:t>
      </w:r>
    </w:p>
    <w:p w14:paraId="2199D53C" w14:textId="2F0BCCF8" w:rsidR="00957F84" w:rsidRPr="00957F84" w:rsidRDefault="00957F84" w:rsidP="00957F84">
      <w:pPr>
        <w:ind w:left="284"/>
        <w:rPr>
          <w:i/>
          <w:lang w:val="en-AU"/>
        </w:rPr>
      </w:pPr>
      <w:r w:rsidRPr="00957F84">
        <w:rPr>
          <w:i/>
          <w:lang w:val="en-AU"/>
        </w:rPr>
        <w:t>(b)</w:t>
      </w:r>
      <w:r w:rsidR="00514300">
        <w:rPr>
          <w:i/>
          <w:lang w:val="en-AU"/>
        </w:rPr>
        <w:t xml:space="preserve"> </w:t>
      </w:r>
      <w:r w:rsidRPr="00957F84">
        <w:rPr>
          <w:i/>
          <w:lang w:val="en-AU"/>
        </w:rPr>
        <w:t xml:space="preserve">to request the Panel for Technical Assessment to address this subject for the Parties to return to it at its second and subsequent meetings with a view to determining whether it would be necessary to have a Standing Technical Committee to review and recommend for approval by the Parties methods for transformation or decomposition and to determine the amount of controlled substances that are transformed or decomposed by each method. </w:t>
      </w:r>
      <w:r w:rsidRPr="00957F84">
        <w:rPr>
          <w:rFonts w:ascii="MS Mincho" w:eastAsia="MS Mincho" w:hAnsi="MS Mincho" w:cs="MS Mincho" w:hint="eastAsia"/>
          <w:i/>
          <w:lang w:val="en-AU"/>
        </w:rPr>
        <w:t> </w:t>
      </w:r>
    </w:p>
    <w:p w14:paraId="2E1EB786" w14:textId="1B7E11B6" w:rsidR="00957F84" w:rsidRPr="00957F84" w:rsidRDefault="00957F84" w:rsidP="00957F84">
      <w:pPr>
        <w:rPr>
          <w:lang w:val="en-AU"/>
        </w:rPr>
      </w:pPr>
      <w:r w:rsidRPr="00957F84">
        <w:rPr>
          <w:lang w:val="en-AU"/>
        </w:rPr>
        <w:t>Decision II/11</w:t>
      </w:r>
      <w:r>
        <w:rPr>
          <w:lang w:val="en-AU"/>
        </w:rPr>
        <w:t xml:space="preserve"> established </w:t>
      </w:r>
      <w:r w:rsidRPr="00957F84">
        <w:rPr>
          <w:lang w:val="en-AU"/>
        </w:rPr>
        <w:t>an Ad Hoc Technical Advisory Committee on Destruction Technologies</w:t>
      </w:r>
      <w:r>
        <w:rPr>
          <w:lang w:val="en-AU"/>
        </w:rPr>
        <w:t xml:space="preserve"> under the Protocol’s Panel</w:t>
      </w:r>
      <w:r w:rsidRPr="00957F84">
        <w:rPr>
          <w:lang w:val="en-AU"/>
        </w:rPr>
        <w:t xml:space="preserve"> </w:t>
      </w:r>
      <w:r>
        <w:rPr>
          <w:lang w:val="en-AU"/>
        </w:rPr>
        <w:t>for Technical Assessment to analys</w:t>
      </w:r>
      <w:r w:rsidRPr="00957F84">
        <w:rPr>
          <w:lang w:val="en-AU"/>
        </w:rPr>
        <w:t xml:space="preserve">e destruction technologies and assess their efficiency and environmental acceptability and develop approval criteria and measurements. </w:t>
      </w:r>
    </w:p>
    <w:p w14:paraId="79CE7A2A" w14:textId="78B27231" w:rsidR="0086638D" w:rsidRDefault="00957F84" w:rsidP="00957F84">
      <w:pPr>
        <w:rPr>
          <w:lang w:val="en-AU"/>
        </w:rPr>
      </w:pPr>
      <w:r>
        <w:rPr>
          <w:lang w:val="en-AU"/>
        </w:rPr>
        <w:t xml:space="preserve">At the Fourth Meeting, </w:t>
      </w:r>
      <w:r w:rsidR="00CE1FFB">
        <w:rPr>
          <w:lang w:val="en-AU"/>
        </w:rPr>
        <w:t xml:space="preserve">parties decided in </w:t>
      </w:r>
      <w:r>
        <w:rPr>
          <w:lang w:val="en-AU"/>
        </w:rPr>
        <w:t>decision IV/11</w:t>
      </w:r>
      <w:r w:rsidRPr="00957F84">
        <w:rPr>
          <w:lang w:val="en-AU"/>
        </w:rPr>
        <w:t xml:space="preserve">, </w:t>
      </w:r>
    </w:p>
    <w:p w14:paraId="42F7E66F" w14:textId="77777777" w:rsidR="00616625" w:rsidRDefault="0086638D" w:rsidP="0086638D">
      <w:pPr>
        <w:ind w:left="284"/>
        <w:rPr>
          <w:i/>
          <w:lang w:val="en-AU"/>
        </w:rPr>
      </w:pPr>
      <w:r w:rsidRPr="0086638D">
        <w:rPr>
          <w:i/>
          <w:lang w:val="en-AU"/>
        </w:rPr>
        <w:t>“</w:t>
      </w:r>
      <w:r w:rsidR="00616625">
        <w:rPr>
          <w:i/>
          <w:lang w:val="en-AU"/>
        </w:rPr>
        <w:t xml:space="preserve">2. </w:t>
      </w:r>
      <w:r w:rsidR="00CE1FFB">
        <w:rPr>
          <w:i/>
          <w:lang w:val="en-AU"/>
        </w:rPr>
        <w:t xml:space="preserve">to approve, </w:t>
      </w:r>
      <w:r w:rsidR="00957F84" w:rsidRPr="0086638D">
        <w:rPr>
          <w:i/>
          <w:lang w:val="en-AU"/>
        </w:rPr>
        <w:t>for the purposes of paragraph 5 of Article 1 of the Protocol, those destruction technologies that are listed in Annex VI to the report on the work of the Fourth Meeting of the Parties which are operated in accordance with the suggested minimum standards identified in Annex VII to the report of the Fourth Meeting of the Parties unless similar standards currently exist domestically;</w:t>
      </w:r>
    </w:p>
    <w:p w14:paraId="750AECAD" w14:textId="77777777" w:rsidR="00616625" w:rsidRPr="00616625" w:rsidRDefault="00616625" w:rsidP="001A2FDF">
      <w:pPr>
        <w:ind w:left="284"/>
        <w:rPr>
          <w:i/>
          <w:lang w:val="en-AU"/>
        </w:rPr>
      </w:pPr>
      <w:r>
        <w:rPr>
          <w:i/>
          <w:lang w:val="en-AU"/>
        </w:rPr>
        <w:t xml:space="preserve">3. </w:t>
      </w:r>
      <w:r w:rsidRPr="00616625">
        <w:rPr>
          <w:i/>
          <w:lang w:val="en-AU"/>
        </w:rPr>
        <w:t xml:space="preserve">to call on each Party that operates, or plans to operate, facilities for the destruction of ozone-depleting substances: </w:t>
      </w:r>
    </w:p>
    <w:p w14:paraId="3F26AAB3" w14:textId="3E1AFA22" w:rsidR="00616625" w:rsidRPr="001A2FDF" w:rsidRDefault="00616625" w:rsidP="001A2FDF">
      <w:pPr>
        <w:numPr>
          <w:ilvl w:val="1"/>
          <w:numId w:val="49"/>
        </w:numPr>
        <w:ind w:left="709"/>
        <w:rPr>
          <w:i/>
          <w:lang w:val="en-AU"/>
        </w:rPr>
      </w:pPr>
      <w:r w:rsidRPr="00616625">
        <w:rPr>
          <w:i/>
          <w:lang w:val="en-AU"/>
        </w:rPr>
        <w:t>(a)</w:t>
      </w:r>
      <w:r w:rsidR="00514300">
        <w:rPr>
          <w:i/>
          <w:lang w:val="en-AU"/>
        </w:rPr>
        <w:t xml:space="preserve"> </w:t>
      </w:r>
      <w:r w:rsidRPr="00616625">
        <w:rPr>
          <w:i/>
          <w:lang w:val="en-AU"/>
        </w:rPr>
        <w:t xml:space="preserve">to ensure that its destruction facilities are operated in accordance with the Code of Good Housekeeping Procedures set out in section 5.5 of the report of the Ad Hoc </w:t>
      </w:r>
      <w:r w:rsidRPr="00616625">
        <w:rPr>
          <w:i/>
          <w:lang w:val="en-AU"/>
        </w:rPr>
        <w:lastRenderedPageBreak/>
        <w:t xml:space="preserve">Technical Advisory Committee on Destruction Technologies, unless similar procedures currently exist domestically; and </w:t>
      </w:r>
      <w:r w:rsidRPr="00616625">
        <w:rPr>
          <w:rFonts w:ascii="MS Mincho" w:eastAsia="MS Mincho" w:hAnsi="MS Mincho" w:cs="MS Mincho" w:hint="eastAsia"/>
          <w:i/>
          <w:lang w:val="en-AU"/>
        </w:rPr>
        <w:t> </w:t>
      </w:r>
    </w:p>
    <w:p w14:paraId="03329B98" w14:textId="4C9BF09D" w:rsidR="00957F84" w:rsidRPr="00616625" w:rsidRDefault="00616625" w:rsidP="001A2FDF">
      <w:pPr>
        <w:numPr>
          <w:ilvl w:val="1"/>
          <w:numId w:val="49"/>
        </w:numPr>
        <w:ind w:left="709"/>
        <w:rPr>
          <w:i/>
          <w:lang w:val="en-AU"/>
        </w:rPr>
      </w:pPr>
      <w:r w:rsidRPr="00616625">
        <w:rPr>
          <w:i/>
          <w:lang w:val="en-AU"/>
        </w:rPr>
        <w:t>(b)</w:t>
      </w:r>
      <w:r w:rsidR="00514300">
        <w:rPr>
          <w:i/>
          <w:lang w:val="en-AU"/>
        </w:rPr>
        <w:t xml:space="preserve"> </w:t>
      </w:r>
      <w:r w:rsidRPr="00616625">
        <w:rPr>
          <w:i/>
          <w:lang w:val="en-AU"/>
        </w:rPr>
        <w:t>for the purposes of paragraph 5 of Article 1 of the Protocol, to provide each year, in its report under Article 7 of the Protocol, statistical data on the actual quantities of ozone-depleting substances it has destroyed, calculated on the basis of the destruction efficiency of the facility employed;</w:t>
      </w:r>
      <w:r w:rsidR="0086638D" w:rsidRPr="00616625">
        <w:rPr>
          <w:i/>
          <w:lang w:val="en-AU"/>
        </w:rPr>
        <w:t>”</w:t>
      </w:r>
      <w:r w:rsidR="00957F84" w:rsidRPr="00616625">
        <w:rPr>
          <w:i/>
          <w:lang w:val="en-AU"/>
        </w:rPr>
        <w:t xml:space="preserve"> </w:t>
      </w:r>
      <w:r w:rsidR="00957F84" w:rsidRPr="00616625">
        <w:rPr>
          <w:rFonts w:ascii="MS Mincho" w:eastAsia="MS Mincho" w:hAnsi="MS Mincho" w:cs="MS Mincho" w:hint="eastAsia"/>
          <w:i/>
          <w:lang w:val="en-AU"/>
        </w:rPr>
        <w:t> </w:t>
      </w:r>
    </w:p>
    <w:p w14:paraId="1416D770" w14:textId="5D78086D" w:rsidR="00616625" w:rsidRDefault="00616625" w:rsidP="00587D2E">
      <w:pPr>
        <w:rPr>
          <w:lang w:val="en-AU"/>
        </w:rPr>
      </w:pPr>
      <w:r>
        <w:rPr>
          <w:lang w:val="en-AU"/>
        </w:rPr>
        <w:t>The Code of Good Housekeeping Procedures, adopted by decision IV/11 were later updated by decision XV/9 in Annex III to the 15</w:t>
      </w:r>
      <w:r w:rsidRPr="001A2FDF">
        <w:rPr>
          <w:vertAlign w:val="superscript"/>
          <w:lang w:val="en-AU"/>
        </w:rPr>
        <w:t>th</w:t>
      </w:r>
      <w:r>
        <w:rPr>
          <w:lang w:val="en-AU"/>
        </w:rPr>
        <w:t xml:space="preserve"> Meeting of the Parties. The Code</w:t>
      </w:r>
      <w:r w:rsidR="004D6B5B">
        <w:rPr>
          <w:lang w:val="en-AU"/>
        </w:rPr>
        <w:t xml:space="preserve"> was intended t</w:t>
      </w:r>
      <w:r w:rsidRPr="00616625">
        <w:rPr>
          <w:lang w:val="en-AU"/>
        </w:rPr>
        <w:t>o provide additiona</w:t>
      </w:r>
      <w:r w:rsidR="004D6B5B">
        <w:rPr>
          <w:lang w:val="en-AU"/>
        </w:rPr>
        <w:t>l guidance to facility operator</w:t>
      </w:r>
      <w:r w:rsidRPr="00616625">
        <w:rPr>
          <w:lang w:val="en-AU"/>
        </w:rPr>
        <w:t>s</w:t>
      </w:r>
      <w:r w:rsidR="004D6B5B">
        <w:rPr>
          <w:lang w:val="en-AU"/>
        </w:rPr>
        <w:t xml:space="preserve"> with</w:t>
      </w:r>
      <w:r w:rsidRPr="00616625">
        <w:rPr>
          <w:lang w:val="en-AU"/>
        </w:rPr>
        <w:t xml:space="preserve"> a b</w:t>
      </w:r>
      <w:r w:rsidR="004D6B5B">
        <w:rPr>
          <w:lang w:val="en-AU"/>
        </w:rPr>
        <w:t>rief outline of measures that sh</w:t>
      </w:r>
      <w:r w:rsidRPr="00616625">
        <w:rPr>
          <w:lang w:val="en-AU"/>
        </w:rPr>
        <w:t>ould be considered to ensure that environmental releases of ODS through all media are minimized. This Code</w:t>
      </w:r>
      <w:r w:rsidR="004D6B5B">
        <w:rPr>
          <w:lang w:val="en-AU"/>
        </w:rPr>
        <w:t xml:space="preserve"> was</w:t>
      </w:r>
      <w:r w:rsidRPr="00616625">
        <w:rPr>
          <w:lang w:val="en-AU"/>
        </w:rPr>
        <w:t xml:space="preserve"> also intended to provide a framework of practices and measures that should normally be adopted at facilities undertaking the destruction of ODS. </w:t>
      </w:r>
    </w:p>
    <w:p w14:paraId="488EBB73" w14:textId="0AD5C9C6" w:rsidR="0002780C" w:rsidRDefault="00341EDC" w:rsidP="0002780C">
      <w:pPr>
        <w:rPr>
          <w:lang w:val="en-AU"/>
        </w:rPr>
      </w:pPr>
      <w:r>
        <w:rPr>
          <w:lang w:val="en-AU"/>
        </w:rPr>
        <w:t xml:space="preserve">Parties have taken a number of </w:t>
      </w:r>
      <w:r w:rsidR="00CE1FFB">
        <w:rPr>
          <w:lang w:val="en-AU"/>
        </w:rPr>
        <w:t xml:space="preserve">related </w:t>
      </w:r>
      <w:r w:rsidR="004D6B5B">
        <w:rPr>
          <w:lang w:val="en-AU"/>
        </w:rPr>
        <w:t xml:space="preserve">subsequent </w:t>
      </w:r>
      <w:r>
        <w:rPr>
          <w:lang w:val="en-AU"/>
        </w:rPr>
        <w:t>decisions to approve destruction technologies for the purposes of Montreal Protocol requirements.</w:t>
      </w:r>
      <w:r w:rsidR="00CE1FFB">
        <w:rPr>
          <w:lang w:val="en-AU"/>
        </w:rPr>
        <w:t xml:space="preserve"> Over time, </w:t>
      </w:r>
      <w:r w:rsidR="0002780C">
        <w:rPr>
          <w:lang w:val="en-AU"/>
        </w:rPr>
        <w:t xml:space="preserve">a list of </w:t>
      </w:r>
      <w:r w:rsidR="00CE1FFB">
        <w:rPr>
          <w:lang w:val="en-AU"/>
        </w:rPr>
        <w:t xml:space="preserve">destruction technologies </w:t>
      </w:r>
      <w:r w:rsidR="0002780C">
        <w:rPr>
          <w:lang w:val="en-AU"/>
        </w:rPr>
        <w:t>approved by parties has</w:t>
      </w:r>
      <w:r w:rsidR="00CE1FFB">
        <w:rPr>
          <w:lang w:val="en-AU"/>
        </w:rPr>
        <w:t xml:space="preserve"> been updated</w:t>
      </w:r>
      <w:r w:rsidR="0002780C">
        <w:rPr>
          <w:lang w:val="en-AU"/>
        </w:rPr>
        <w:t xml:space="preserve"> and included in progressive decisions</w:t>
      </w:r>
      <w:r w:rsidR="00CE1FFB">
        <w:rPr>
          <w:lang w:val="en-AU"/>
        </w:rPr>
        <w:t>, with the most recent list of approved destruction processes contained in the Annex to decision XXIII/12</w:t>
      </w:r>
      <w:r w:rsidR="00CE1FFB">
        <w:rPr>
          <w:rStyle w:val="FootnoteReference"/>
          <w:lang w:val="en-AU"/>
        </w:rPr>
        <w:footnoteReference w:id="4"/>
      </w:r>
      <w:r w:rsidR="0002780C">
        <w:rPr>
          <w:lang w:val="en-AU"/>
        </w:rPr>
        <w:t>, as presented in Table 1</w:t>
      </w:r>
      <w:r w:rsidR="00C47E0A">
        <w:rPr>
          <w:lang w:val="en-AU"/>
        </w:rPr>
        <w:t>-1</w:t>
      </w:r>
      <w:r w:rsidR="00CE1FFB">
        <w:rPr>
          <w:lang w:val="en-AU"/>
        </w:rPr>
        <w:t>.</w:t>
      </w:r>
    </w:p>
    <w:p w14:paraId="26B9F3C2" w14:textId="77777777" w:rsidR="0002780C" w:rsidRDefault="0002780C" w:rsidP="0002780C">
      <w:pPr>
        <w:rPr>
          <w:lang w:val="en-AU"/>
        </w:rPr>
      </w:pPr>
    </w:p>
    <w:p w14:paraId="46C9302B" w14:textId="77777777" w:rsidR="0002780C" w:rsidRDefault="0002780C" w:rsidP="0002780C">
      <w:pPr>
        <w:rPr>
          <w:lang w:val="en-AU"/>
        </w:rPr>
        <w:sectPr w:rsidR="0002780C" w:rsidSect="00C73234">
          <w:headerReference w:type="even" r:id="rId31"/>
          <w:headerReference w:type="default" r:id="rId32"/>
          <w:footerReference w:type="even" r:id="rId33"/>
          <w:headerReference w:type="first" r:id="rId34"/>
          <w:type w:val="oddPage"/>
          <w:pgSz w:w="11907" w:h="16839" w:code="9"/>
          <w:pgMar w:top="1526" w:right="1800" w:bottom="1440" w:left="1800" w:header="720" w:footer="792" w:gutter="0"/>
          <w:pgNumType w:start="1"/>
          <w:cols w:space="720"/>
          <w:docGrid w:linePitch="299"/>
        </w:sectPr>
      </w:pPr>
    </w:p>
    <w:p w14:paraId="2F49C188" w14:textId="1E8EBCDB" w:rsidR="0002780C" w:rsidRDefault="0002780C" w:rsidP="0002780C">
      <w:pPr>
        <w:ind w:hanging="426"/>
        <w:rPr>
          <w:lang w:val="en-AU" w:eastAsia="en-US"/>
        </w:rPr>
      </w:pPr>
      <w:r>
        <w:rPr>
          <w:b/>
          <w:lang w:val="en-AU" w:eastAsia="en-US"/>
        </w:rPr>
        <w:lastRenderedPageBreak/>
        <w:t>Table 1</w:t>
      </w:r>
      <w:r w:rsidR="001E5746">
        <w:rPr>
          <w:b/>
          <w:lang w:val="en-AU" w:eastAsia="en-US"/>
        </w:rPr>
        <w:t>-1</w:t>
      </w:r>
      <w:r>
        <w:rPr>
          <w:b/>
          <w:lang w:val="en-AU" w:eastAsia="en-US"/>
        </w:rPr>
        <w:t xml:space="preserve">: </w:t>
      </w:r>
      <w:r w:rsidR="002F65A9">
        <w:rPr>
          <w:b/>
          <w:lang w:val="en-AU" w:eastAsia="en-US"/>
        </w:rPr>
        <w:t>Current list of a</w:t>
      </w:r>
      <w:r w:rsidRPr="001E78FA">
        <w:rPr>
          <w:b/>
          <w:lang w:val="en-AU" w:eastAsia="en-US"/>
        </w:rPr>
        <w:t xml:space="preserve">pproved destruction </w:t>
      </w:r>
      <w:r w:rsidR="002F65A9">
        <w:rPr>
          <w:b/>
          <w:lang w:val="en-AU" w:eastAsia="en-US"/>
        </w:rPr>
        <w:t>technologies</w:t>
      </w:r>
      <w:r w:rsidRPr="001E78FA">
        <w:rPr>
          <w:b/>
          <w:lang w:val="en-AU" w:eastAsia="en-US"/>
        </w:rPr>
        <w:t xml:space="preserve"> (2011)</w:t>
      </w:r>
      <w:r w:rsidRPr="00650CEB">
        <w:rPr>
          <w:lang w:val="en-AU" w:eastAsia="en-US"/>
        </w:rPr>
        <w:t xml:space="preserve"> </w:t>
      </w:r>
      <w:r>
        <w:rPr>
          <w:lang w:val="en-AU" w:eastAsia="en-US"/>
        </w:rPr>
        <w:t xml:space="preserve">(Source: Annex to decision XXIII/12, reordered into </w:t>
      </w:r>
      <w:r w:rsidR="002F65A9">
        <w:rPr>
          <w:lang w:val="en-AU" w:eastAsia="en-US"/>
        </w:rPr>
        <w:t xml:space="preserve">destruction </w:t>
      </w:r>
      <w:r>
        <w:rPr>
          <w:lang w:val="en-AU" w:eastAsia="en-US"/>
        </w:rPr>
        <w:t>categories)</w:t>
      </w:r>
    </w:p>
    <w:tbl>
      <w:tblPr>
        <w:tblW w:w="14601" w:type="dxa"/>
        <w:tblInd w:w="-318" w:type="dxa"/>
        <w:tblBorders>
          <w:left w:val="nil"/>
          <w:right w:val="nil"/>
        </w:tblBorders>
        <w:tblLayout w:type="fixed"/>
        <w:tblLook w:val="0000" w:firstRow="0" w:lastRow="0" w:firstColumn="0" w:lastColumn="0" w:noHBand="0" w:noVBand="0"/>
      </w:tblPr>
      <w:tblGrid>
        <w:gridCol w:w="1986"/>
        <w:gridCol w:w="1559"/>
        <w:gridCol w:w="1701"/>
        <w:gridCol w:w="1417"/>
        <w:gridCol w:w="1560"/>
        <w:gridCol w:w="1559"/>
        <w:gridCol w:w="1583"/>
        <w:gridCol w:w="1677"/>
        <w:gridCol w:w="1559"/>
      </w:tblGrid>
      <w:tr w:rsidR="0002780C" w:rsidRPr="00A54649" w14:paraId="72797553" w14:textId="77777777" w:rsidTr="005834DD">
        <w:tc>
          <w:tcPr>
            <w:tcW w:w="1986" w:type="dxa"/>
            <w:vMerge w:val="restart"/>
            <w:tcBorders>
              <w:top w:val="single" w:sz="8" w:space="0" w:color="000000"/>
              <w:left w:val="single" w:sz="8" w:space="0" w:color="000000"/>
              <w:bottom w:val="single" w:sz="8" w:space="0" w:color="000000"/>
              <w:right w:val="single" w:sz="8" w:space="0" w:color="000000"/>
            </w:tcBorders>
            <w:vAlign w:val="center"/>
          </w:tcPr>
          <w:p w14:paraId="3B924510" w14:textId="77777777" w:rsidR="0002780C" w:rsidRPr="00A54649" w:rsidRDefault="0002780C" w:rsidP="005834DD">
            <w:pPr>
              <w:rPr>
                <w:b/>
                <w:sz w:val="18"/>
                <w:szCs w:val="18"/>
                <w:lang w:val="en-AU" w:eastAsia="en-US"/>
              </w:rPr>
            </w:pPr>
            <w:r w:rsidRPr="00A54649">
              <w:rPr>
                <w:b/>
                <w:sz w:val="18"/>
                <w:szCs w:val="18"/>
                <w:lang w:val="en-AU" w:eastAsia="en-US"/>
              </w:rPr>
              <w:t>Technology</w:t>
            </w:r>
          </w:p>
        </w:tc>
        <w:tc>
          <w:tcPr>
            <w:tcW w:w="12615" w:type="dxa"/>
            <w:gridSpan w:val="8"/>
            <w:tcBorders>
              <w:top w:val="single" w:sz="8" w:space="0" w:color="000000"/>
              <w:bottom w:val="single" w:sz="8" w:space="0" w:color="000000"/>
              <w:right w:val="single" w:sz="8" w:space="0" w:color="000000"/>
            </w:tcBorders>
            <w:vAlign w:val="center"/>
          </w:tcPr>
          <w:p w14:paraId="75705BAA" w14:textId="77777777" w:rsidR="0002780C" w:rsidRPr="00A54649" w:rsidRDefault="0002780C" w:rsidP="005834DD">
            <w:pPr>
              <w:spacing w:after="0"/>
              <w:jc w:val="center"/>
              <w:rPr>
                <w:b/>
                <w:sz w:val="18"/>
                <w:szCs w:val="18"/>
                <w:lang w:val="en-AU" w:eastAsia="en-US"/>
              </w:rPr>
            </w:pPr>
            <w:r w:rsidRPr="00A54649">
              <w:rPr>
                <w:b/>
                <w:sz w:val="18"/>
                <w:szCs w:val="18"/>
                <w:lang w:val="en-AU" w:eastAsia="en-US"/>
              </w:rPr>
              <w:t>Applicability</w:t>
            </w:r>
          </w:p>
        </w:tc>
      </w:tr>
      <w:tr w:rsidR="0002780C" w:rsidRPr="00A54649" w14:paraId="4E5E68F3" w14:textId="77777777" w:rsidTr="005834DD">
        <w:tc>
          <w:tcPr>
            <w:tcW w:w="1986" w:type="dxa"/>
            <w:vMerge/>
            <w:tcBorders>
              <w:top w:val="single" w:sz="8" w:space="0" w:color="000000"/>
              <w:left w:val="single" w:sz="8" w:space="0" w:color="000000"/>
              <w:bottom w:val="single" w:sz="8" w:space="0" w:color="000000"/>
              <w:right w:val="single" w:sz="8" w:space="0" w:color="000000"/>
            </w:tcBorders>
            <w:vAlign w:val="center"/>
          </w:tcPr>
          <w:p w14:paraId="3896F900" w14:textId="77777777" w:rsidR="0002780C" w:rsidRPr="00A54649" w:rsidRDefault="0002780C" w:rsidP="005834DD">
            <w:pPr>
              <w:rPr>
                <w:b/>
                <w:sz w:val="18"/>
                <w:szCs w:val="18"/>
                <w:lang w:val="en-AU" w:eastAsia="en-US"/>
              </w:rPr>
            </w:pPr>
          </w:p>
        </w:tc>
        <w:tc>
          <w:tcPr>
            <w:tcW w:w="11056" w:type="dxa"/>
            <w:gridSpan w:val="7"/>
            <w:tcBorders>
              <w:top w:val="single" w:sz="8" w:space="0" w:color="000000"/>
              <w:bottom w:val="single" w:sz="8" w:space="0" w:color="000000"/>
              <w:right w:val="single" w:sz="8" w:space="0" w:color="000000"/>
            </w:tcBorders>
            <w:vAlign w:val="center"/>
          </w:tcPr>
          <w:p w14:paraId="12DB349E" w14:textId="77777777" w:rsidR="0002780C" w:rsidRPr="00A54649" w:rsidRDefault="0002780C" w:rsidP="005834DD">
            <w:pPr>
              <w:spacing w:after="0"/>
              <w:jc w:val="center"/>
              <w:rPr>
                <w:b/>
                <w:sz w:val="18"/>
                <w:szCs w:val="18"/>
                <w:lang w:val="en-AU" w:eastAsia="en-US"/>
              </w:rPr>
            </w:pPr>
            <w:r w:rsidRPr="00A54649">
              <w:rPr>
                <w:b/>
                <w:sz w:val="18"/>
                <w:szCs w:val="18"/>
                <w:lang w:val="en-AU" w:eastAsia="en-US"/>
              </w:rPr>
              <w:t>Concentrated Sources</w:t>
            </w:r>
          </w:p>
        </w:tc>
        <w:tc>
          <w:tcPr>
            <w:tcW w:w="1559" w:type="dxa"/>
            <w:tcBorders>
              <w:bottom w:val="single" w:sz="8" w:space="0" w:color="000000"/>
              <w:right w:val="single" w:sz="8" w:space="0" w:color="000000"/>
            </w:tcBorders>
            <w:vAlign w:val="center"/>
          </w:tcPr>
          <w:p w14:paraId="7E7E4D0A" w14:textId="77777777" w:rsidR="0002780C" w:rsidRPr="00A54649" w:rsidRDefault="0002780C" w:rsidP="005834DD">
            <w:pPr>
              <w:spacing w:after="0"/>
              <w:jc w:val="center"/>
              <w:rPr>
                <w:b/>
                <w:sz w:val="18"/>
                <w:szCs w:val="18"/>
                <w:lang w:val="en-AU" w:eastAsia="en-US"/>
              </w:rPr>
            </w:pPr>
            <w:r w:rsidRPr="00A54649">
              <w:rPr>
                <w:b/>
                <w:sz w:val="18"/>
                <w:szCs w:val="18"/>
                <w:lang w:val="en-AU" w:eastAsia="en-US"/>
              </w:rPr>
              <w:t>Dilute Sources</w:t>
            </w:r>
          </w:p>
        </w:tc>
      </w:tr>
      <w:tr w:rsidR="0002780C" w:rsidRPr="00A54649" w14:paraId="7213AD6A" w14:textId="77777777" w:rsidTr="000D5CF7">
        <w:tc>
          <w:tcPr>
            <w:tcW w:w="1986" w:type="dxa"/>
            <w:vMerge/>
            <w:tcBorders>
              <w:top w:val="single" w:sz="8" w:space="0" w:color="000000"/>
              <w:left w:val="single" w:sz="8" w:space="0" w:color="000000"/>
              <w:bottom w:val="single" w:sz="8" w:space="0" w:color="000000"/>
              <w:right w:val="single" w:sz="8" w:space="0" w:color="000000"/>
            </w:tcBorders>
            <w:vAlign w:val="center"/>
          </w:tcPr>
          <w:p w14:paraId="16ED16E9" w14:textId="77777777" w:rsidR="0002780C" w:rsidRPr="00A54649" w:rsidRDefault="0002780C" w:rsidP="005834DD">
            <w:pPr>
              <w:rPr>
                <w:b/>
                <w:sz w:val="18"/>
                <w:szCs w:val="18"/>
                <w:lang w:val="en-AU" w:eastAsia="en-US"/>
              </w:rPr>
            </w:pPr>
          </w:p>
        </w:tc>
        <w:tc>
          <w:tcPr>
            <w:tcW w:w="3260" w:type="dxa"/>
            <w:gridSpan w:val="2"/>
            <w:tcBorders>
              <w:top w:val="single" w:sz="8" w:space="0" w:color="000000"/>
              <w:bottom w:val="single" w:sz="8" w:space="0" w:color="000000"/>
              <w:right w:val="single" w:sz="8" w:space="0" w:color="000000"/>
            </w:tcBorders>
            <w:vAlign w:val="center"/>
          </w:tcPr>
          <w:p w14:paraId="209499F3" w14:textId="77777777" w:rsidR="0002780C" w:rsidRPr="00A54649" w:rsidRDefault="0002780C" w:rsidP="005834DD">
            <w:pPr>
              <w:spacing w:after="0"/>
              <w:jc w:val="center"/>
              <w:rPr>
                <w:b/>
                <w:sz w:val="18"/>
                <w:szCs w:val="18"/>
                <w:lang w:val="en-AU" w:eastAsia="en-US"/>
              </w:rPr>
            </w:pPr>
            <w:r w:rsidRPr="00A54649">
              <w:rPr>
                <w:b/>
                <w:sz w:val="18"/>
                <w:szCs w:val="18"/>
                <w:lang w:val="en-AU" w:eastAsia="en-US"/>
              </w:rPr>
              <w:t>Annex A</w:t>
            </w:r>
          </w:p>
        </w:tc>
        <w:tc>
          <w:tcPr>
            <w:tcW w:w="4536" w:type="dxa"/>
            <w:gridSpan w:val="3"/>
            <w:tcBorders>
              <w:top w:val="single" w:sz="8" w:space="0" w:color="000000"/>
              <w:bottom w:val="single" w:sz="8" w:space="0" w:color="000000"/>
              <w:right w:val="single" w:sz="8" w:space="0" w:color="000000"/>
            </w:tcBorders>
            <w:vAlign w:val="center"/>
          </w:tcPr>
          <w:p w14:paraId="7FE2C6AE" w14:textId="77777777" w:rsidR="0002780C" w:rsidRPr="00A54649" w:rsidRDefault="0002780C" w:rsidP="005834DD">
            <w:pPr>
              <w:spacing w:after="0"/>
              <w:jc w:val="center"/>
              <w:rPr>
                <w:b/>
                <w:sz w:val="18"/>
                <w:szCs w:val="18"/>
                <w:lang w:val="en-AU" w:eastAsia="en-US"/>
              </w:rPr>
            </w:pPr>
            <w:r w:rsidRPr="00A54649">
              <w:rPr>
                <w:b/>
                <w:sz w:val="18"/>
                <w:szCs w:val="18"/>
                <w:lang w:val="en-AU" w:eastAsia="en-US"/>
              </w:rPr>
              <w:t>Annex B</w:t>
            </w:r>
          </w:p>
        </w:tc>
        <w:tc>
          <w:tcPr>
            <w:tcW w:w="1583" w:type="dxa"/>
            <w:tcBorders>
              <w:bottom w:val="single" w:sz="8" w:space="0" w:color="000000"/>
              <w:right w:val="single" w:sz="8" w:space="0" w:color="000000"/>
            </w:tcBorders>
            <w:vAlign w:val="center"/>
          </w:tcPr>
          <w:p w14:paraId="39ED0563" w14:textId="77777777" w:rsidR="0002780C" w:rsidRPr="00A54649" w:rsidRDefault="0002780C" w:rsidP="005834DD">
            <w:pPr>
              <w:spacing w:after="0"/>
              <w:jc w:val="center"/>
              <w:rPr>
                <w:b/>
                <w:sz w:val="18"/>
                <w:szCs w:val="18"/>
                <w:lang w:val="en-AU" w:eastAsia="en-US"/>
              </w:rPr>
            </w:pPr>
            <w:r w:rsidRPr="00A54649">
              <w:rPr>
                <w:b/>
                <w:sz w:val="18"/>
                <w:szCs w:val="18"/>
                <w:lang w:val="en-AU" w:eastAsia="en-US"/>
              </w:rPr>
              <w:t>Annex C</w:t>
            </w:r>
          </w:p>
        </w:tc>
        <w:tc>
          <w:tcPr>
            <w:tcW w:w="1677" w:type="dxa"/>
            <w:tcBorders>
              <w:bottom w:val="single" w:sz="8" w:space="0" w:color="000000"/>
              <w:right w:val="single" w:sz="8" w:space="0" w:color="000000"/>
            </w:tcBorders>
            <w:vAlign w:val="center"/>
          </w:tcPr>
          <w:p w14:paraId="54F46A53" w14:textId="77777777" w:rsidR="0002780C" w:rsidRPr="00A54649" w:rsidRDefault="0002780C" w:rsidP="005834DD">
            <w:pPr>
              <w:spacing w:after="0"/>
              <w:jc w:val="center"/>
              <w:rPr>
                <w:b/>
                <w:sz w:val="18"/>
                <w:szCs w:val="18"/>
                <w:lang w:val="en-AU" w:eastAsia="en-US"/>
              </w:rPr>
            </w:pPr>
            <w:r w:rsidRPr="00A54649">
              <w:rPr>
                <w:b/>
                <w:sz w:val="18"/>
                <w:szCs w:val="18"/>
                <w:lang w:val="en-AU" w:eastAsia="en-US"/>
              </w:rPr>
              <w:t>Annex E</w:t>
            </w:r>
          </w:p>
        </w:tc>
        <w:tc>
          <w:tcPr>
            <w:tcW w:w="1559" w:type="dxa"/>
            <w:tcBorders>
              <w:bottom w:val="single" w:sz="8" w:space="0" w:color="000000"/>
              <w:right w:val="single" w:sz="8" w:space="0" w:color="000000"/>
            </w:tcBorders>
            <w:vAlign w:val="center"/>
          </w:tcPr>
          <w:p w14:paraId="3F9FD74E" w14:textId="77777777" w:rsidR="0002780C" w:rsidRPr="00A54649" w:rsidRDefault="0002780C" w:rsidP="005834DD">
            <w:pPr>
              <w:spacing w:after="0"/>
              <w:jc w:val="center"/>
              <w:rPr>
                <w:b/>
                <w:sz w:val="18"/>
                <w:szCs w:val="18"/>
                <w:lang w:val="en-AU" w:eastAsia="en-US"/>
              </w:rPr>
            </w:pPr>
          </w:p>
        </w:tc>
      </w:tr>
      <w:tr w:rsidR="0002780C" w:rsidRPr="00A54649" w14:paraId="33F48443" w14:textId="77777777" w:rsidTr="000D5CF7">
        <w:tc>
          <w:tcPr>
            <w:tcW w:w="1986" w:type="dxa"/>
            <w:vMerge/>
            <w:tcBorders>
              <w:top w:val="single" w:sz="8" w:space="0" w:color="000000"/>
              <w:left w:val="single" w:sz="8" w:space="0" w:color="000000"/>
              <w:bottom w:val="single" w:sz="8" w:space="0" w:color="000000"/>
              <w:right w:val="single" w:sz="8" w:space="0" w:color="000000"/>
            </w:tcBorders>
            <w:vAlign w:val="center"/>
          </w:tcPr>
          <w:p w14:paraId="77F0B2CA" w14:textId="77777777" w:rsidR="0002780C" w:rsidRPr="00A54649" w:rsidRDefault="0002780C" w:rsidP="005834DD">
            <w:pPr>
              <w:rPr>
                <w:b/>
                <w:sz w:val="18"/>
                <w:szCs w:val="18"/>
                <w:lang w:val="en-AU" w:eastAsia="en-US"/>
              </w:rPr>
            </w:pPr>
          </w:p>
        </w:tc>
        <w:tc>
          <w:tcPr>
            <w:tcW w:w="1559" w:type="dxa"/>
            <w:tcBorders>
              <w:bottom w:val="single" w:sz="8" w:space="0" w:color="000000"/>
              <w:right w:val="single" w:sz="8" w:space="0" w:color="000000"/>
            </w:tcBorders>
            <w:vAlign w:val="center"/>
          </w:tcPr>
          <w:p w14:paraId="6807F62D" w14:textId="77777777" w:rsidR="0002780C" w:rsidRPr="00A54649" w:rsidRDefault="0002780C" w:rsidP="005834DD">
            <w:pPr>
              <w:spacing w:after="0"/>
              <w:jc w:val="center"/>
              <w:rPr>
                <w:b/>
                <w:sz w:val="18"/>
                <w:szCs w:val="18"/>
                <w:lang w:val="en-AU" w:eastAsia="en-US"/>
              </w:rPr>
            </w:pPr>
            <w:r w:rsidRPr="00A54649">
              <w:rPr>
                <w:b/>
                <w:sz w:val="18"/>
                <w:szCs w:val="18"/>
                <w:lang w:val="en-AU" w:eastAsia="en-US"/>
              </w:rPr>
              <w:t>Group 1</w:t>
            </w:r>
          </w:p>
        </w:tc>
        <w:tc>
          <w:tcPr>
            <w:tcW w:w="1701" w:type="dxa"/>
            <w:tcBorders>
              <w:bottom w:val="single" w:sz="8" w:space="0" w:color="000000"/>
              <w:right w:val="single" w:sz="8" w:space="0" w:color="000000"/>
            </w:tcBorders>
            <w:vAlign w:val="center"/>
          </w:tcPr>
          <w:p w14:paraId="147C13DC" w14:textId="77777777" w:rsidR="0002780C" w:rsidRPr="00A54649" w:rsidRDefault="0002780C" w:rsidP="005834DD">
            <w:pPr>
              <w:spacing w:after="0"/>
              <w:jc w:val="center"/>
              <w:rPr>
                <w:b/>
                <w:sz w:val="18"/>
                <w:szCs w:val="18"/>
                <w:lang w:val="en-AU" w:eastAsia="en-US"/>
              </w:rPr>
            </w:pPr>
            <w:r w:rsidRPr="00A54649">
              <w:rPr>
                <w:b/>
                <w:sz w:val="18"/>
                <w:szCs w:val="18"/>
                <w:lang w:val="en-AU" w:eastAsia="en-US"/>
              </w:rPr>
              <w:t>Group 2</w:t>
            </w:r>
          </w:p>
        </w:tc>
        <w:tc>
          <w:tcPr>
            <w:tcW w:w="1417" w:type="dxa"/>
            <w:tcBorders>
              <w:bottom w:val="single" w:sz="8" w:space="0" w:color="000000"/>
              <w:right w:val="single" w:sz="8" w:space="0" w:color="000000"/>
            </w:tcBorders>
            <w:vAlign w:val="center"/>
          </w:tcPr>
          <w:p w14:paraId="7712ADE5" w14:textId="77777777" w:rsidR="0002780C" w:rsidRPr="00A54649" w:rsidRDefault="0002780C" w:rsidP="005834DD">
            <w:pPr>
              <w:spacing w:after="0"/>
              <w:jc w:val="center"/>
              <w:rPr>
                <w:b/>
                <w:sz w:val="18"/>
                <w:szCs w:val="18"/>
                <w:lang w:val="en-AU" w:eastAsia="en-US"/>
              </w:rPr>
            </w:pPr>
            <w:r w:rsidRPr="00A54649">
              <w:rPr>
                <w:b/>
                <w:sz w:val="18"/>
                <w:szCs w:val="18"/>
                <w:lang w:val="en-AU" w:eastAsia="en-US"/>
              </w:rPr>
              <w:t>Group 1</w:t>
            </w:r>
          </w:p>
        </w:tc>
        <w:tc>
          <w:tcPr>
            <w:tcW w:w="1560" w:type="dxa"/>
            <w:tcBorders>
              <w:bottom w:val="single" w:sz="8" w:space="0" w:color="000000"/>
              <w:right w:val="single" w:sz="8" w:space="0" w:color="000000"/>
            </w:tcBorders>
            <w:vAlign w:val="center"/>
          </w:tcPr>
          <w:p w14:paraId="22A61544" w14:textId="77777777" w:rsidR="0002780C" w:rsidRPr="00A54649" w:rsidRDefault="0002780C" w:rsidP="005834DD">
            <w:pPr>
              <w:spacing w:after="0"/>
              <w:jc w:val="center"/>
              <w:rPr>
                <w:b/>
                <w:sz w:val="18"/>
                <w:szCs w:val="18"/>
                <w:lang w:val="en-AU" w:eastAsia="en-US"/>
              </w:rPr>
            </w:pPr>
            <w:r w:rsidRPr="00A54649">
              <w:rPr>
                <w:b/>
                <w:sz w:val="18"/>
                <w:szCs w:val="18"/>
                <w:lang w:val="en-AU" w:eastAsia="en-US"/>
              </w:rPr>
              <w:t>Group 2</w:t>
            </w:r>
          </w:p>
        </w:tc>
        <w:tc>
          <w:tcPr>
            <w:tcW w:w="1559" w:type="dxa"/>
            <w:tcBorders>
              <w:bottom w:val="single" w:sz="8" w:space="0" w:color="000000"/>
              <w:right w:val="single" w:sz="8" w:space="0" w:color="000000"/>
            </w:tcBorders>
            <w:vAlign w:val="center"/>
          </w:tcPr>
          <w:p w14:paraId="588A9AE8" w14:textId="77777777" w:rsidR="0002780C" w:rsidRPr="00A54649" w:rsidRDefault="0002780C" w:rsidP="005834DD">
            <w:pPr>
              <w:spacing w:after="0"/>
              <w:jc w:val="center"/>
              <w:rPr>
                <w:b/>
                <w:sz w:val="18"/>
                <w:szCs w:val="18"/>
                <w:lang w:val="en-AU" w:eastAsia="en-US"/>
              </w:rPr>
            </w:pPr>
            <w:r w:rsidRPr="00A54649">
              <w:rPr>
                <w:b/>
                <w:sz w:val="18"/>
                <w:szCs w:val="18"/>
                <w:lang w:val="en-AU" w:eastAsia="en-US"/>
              </w:rPr>
              <w:t>Group 3</w:t>
            </w:r>
          </w:p>
        </w:tc>
        <w:tc>
          <w:tcPr>
            <w:tcW w:w="1583" w:type="dxa"/>
            <w:tcBorders>
              <w:bottom w:val="single" w:sz="8" w:space="0" w:color="000000"/>
              <w:right w:val="single" w:sz="8" w:space="0" w:color="000000"/>
            </w:tcBorders>
            <w:vAlign w:val="center"/>
          </w:tcPr>
          <w:p w14:paraId="5865A1E1" w14:textId="77777777" w:rsidR="0002780C" w:rsidRPr="00A54649" w:rsidRDefault="0002780C" w:rsidP="005834DD">
            <w:pPr>
              <w:spacing w:after="0"/>
              <w:jc w:val="center"/>
              <w:rPr>
                <w:b/>
                <w:sz w:val="18"/>
                <w:szCs w:val="18"/>
                <w:lang w:val="en-AU" w:eastAsia="en-US"/>
              </w:rPr>
            </w:pPr>
            <w:r w:rsidRPr="00A54649">
              <w:rPr>
                <w:b/>
                <w:sz w:val="18"/>
                <w:szCs w:val="18"/>
                <w:lang w:val="en-AU" w:eastAsia="en-US"/>
              </w:rPr>
              <w:t>Group 1</w:t>
            </w:r>
          </w:p>
        </w:tc>
        <w:tc>
          <w:tcPr>
            <w:tcW w:w="1677" w:type="dxa"/>
            <w:tcBorders>
              <w:bottom w:val="single" w:sz="8" w:space="0" w:color="000000"/>
              <w:right w:val="single" w:sz="8" w:space="0" w:color="000000"/>
            </w:tcBorders>
            <w:vAlign w:val="center"/>
          </w:tcPr>
          <w:p w14:paraId="4E000848" w14:textId="77777777" w:rsidR="0002780C" w:rsidRPr="00A54649" w:rsidRDefault="0002780C" w:rsidP="005834DD">
            <w:pPr>
              <w:spacing w:after="0"/>
              <w:jc w:val="center"/>
              <w:rPr>
                <w:b/>
                <w:sz w:val="18"/>
                <w:szCs w:val="18"/>
                <w:lang w:val="en-AU" w:eastAsia="en-US"/>
              </w:rPr>
            </w:pPr>
            <w:r w:rsidRPr="00A54649">
              <w:rPr>
                <w:b/>
                <w:sz w:val="18"/>
                <w:szCs w:val="18"/>
                <w:lang w:val="en-AU" w:eastAsia="en-US"/>
              </w:rPr>
              <w:t>Group 1</w:t>
            </w:r>
          </w:p>
        </w:tc>
        <w:tc>
          <w:tcPr>
            <w:tcW w:w="1559" w:type="dxa"/>
            <w:tcBorders>
              <w:bottom w:val="single" w:sz="8" w:space="0" w:color="000000"/>
              <w:right w:val="single" w:sz="8" w:space="0" w:color="000000"/>
            </w:tcBorders>
            <w:vAlign w:val="center"/>
          </w:tcPr>
          <w:p w14:paraId="724AA04C" w14:textId="77777777" w:rsidR="0002780C" w:rsidRPr="00A54649" w:rsidRDefault="0002780C" w:rsidP="005834DD">
            <w:pPr>
              <w:spacing w:after="0"/>
              <w:jc w:val="center"/>
              <w:rPr>
                <w:b/>
                <w:sz w:val="18"/>
                <w:szCs w:val="18"/>
                <w:lang w:val="en-AU" w:eastAsia="en-US"/>
              </w:rPr>
            </w:pPr>
          </w:p>
        </w:tc>
      </w:tr>
      <w:tr w:rsidR="0002780C" w:rsidRPr="00A54649" w14:paraId="4E3C8508" w14:textId="77777777" w:rsidTr="000D5CF7">
        <w:tc>
          <w:tcPr>
            <w:tcW w:w="1986" w:type="dxa"/>
            <w:vMerge/>
            <w:tcBorders>
              <w:top w:val="single" w:sz="8" w:space="0" w:color="000000"/>
              <w:left w:val="single" w:sz="8" w:space="0" w:color="000000"/>
              <w:bottom w:val="single" w:sz="8" w:space="0" w:color="000000"/>
              <w:right w:val="single" w:sz="8" w:space="0" w:color="000000"/>
            </w:tcBorders>
            <w:vAlign w:val="center"/>
          </w:tcPr>
          <w:p w14:paraId="4682D389" w14:textId="77777777" w:rsidR="0002780C" w:rsidRPr="00A54649" w:rsidRDefault="0002780C" w:rsidP="005834DD">
            <w:pPr>
              <w:rPr>
                <w:b/>
                <w:sz w:val="18"/>
                <w:szCs w:val="18"/>
                <w:lang w:val="en-AU" w:eastAsia="en-US"/>
              </w:rPr>
            </w:pPr>
          </w:p>
        </w:tc>
        <w:tc>
          <w:tcPr>
            <w:tcW w:w="1559" w:type="dxa"/>
            <w:tcBorders>
              <w:bottom w:val="single" w:sz="8" w:space="0" w:color="000000"/>
              <w:right w:val="single" w:sz="8" w:space="0" w:color="000000"/>
            </w:tcBorders>
            <w:vAlign w:val="center"/>
          </w:tcPr>
          <w:p w14:paraId="23F9F667" w14:textId="77777777" w:rsidR="0002780C" w:rsidRPr="00A54649" w:rsidRDefault="0002780C" w:rsidP="005834DD">
            <w:pPr>
              <w:spacing w:after="0"/>
              <w:jc w:val="center"/>
              <w:rPr>
                <w:b/>
                <w:sz w:val="18"/>
                <w:szCs w:val="18"/>
                <w:lang w:val="en-AU" w:eastAsia="en-US"/>
              </w:rPr>
            </w:pPr>
            <w:r w:rsidRPr="00A54649">
              <w:rPr>
                <w:b/>
                <w:sz w:val="18"/>
                <w:szCs w:val="18"/>
                <w:lang w:val="en-AU" w:eastAsia="en-US"/>
              </w:rPr>
              <w:t>Primary CFCs</w:t>
            </w:r>
          </w:p>
        </w:tc>
        <w:tc>
          <w:tcPr>
            <w:tcW w:w="1701" w:type="dxa"/>
            <w:tcBorders>
              <w:bottom w:val="single" w:sz="8" w:space="0" w:color="000000"/>
              <w:right w:val="single" w:sz="8" w:space="0" w:color="000000"/>
            </w:tcBorders>
            <w:vAlign w:val="center"/>
          </w:tcPr>
          <w:p w14:paraId="476E99C5" w14:textId="77777777" w:rsidR="0002780C" w:rsidRPr="00A54649" w:rsidRDefault="0002780C" w:rsidP="005834DD">
            <w:pPr>
              <w:spacing w:after="0"/>
              <w:jc w:val="center"/>
              <w:rPr>
                <w:b/>
                <w:sz w:val="18"/>
                <w:szCs w:val="18"/>
                <w:lang w:val="en-AU" w:eastAsia="en-US"/>
              </w:rPr>
            </w:pPr>
            <w:r w:rsidRPr="00A54649">
              <w:rPr>
                <w:b/>
                <w:sz w:val="18"/>
                <w:szCs w:val="18"/>
                <w:lang w:val="en-AU" w:eastAsia="en-US"/>
              </w:rPr>
              <w:t>Halons</w:t>
            </w:r>
          </w:p>
        </w:tc>
        <w:tc>
          <w:tcPr>
            <w:tcW w:w="1417" w:type="dxa"/>
            <w:tcBorders>
              <w:bottom w:val="single" w:sz="8" w:space="0" w:color="000000"/>
              <w:right w:val="single" w:sz="8" w:space="0" w:color="000000"/>
            </w:tcBorders>
            <w:vAlign w:val="center"/>
          </w:tcPr>
          <w:p w14:paraId="790DF7ED" w14:textId="77777777" w:rsidR="0002780C" w:rsidRPr="00A54649" w:rsidRDefault="0002780C" w:rsidP="005834DD">
            <w:pPr>
              <w:spacing w:after="0"/>
              <w:jc w:val="center"/>
              <w:rPr>
                <w:b/>
                <w:sz w:val="18"/>
                <w:szCs w:val="18"/>
                <w:lang w:val="en-AU" w:eastAsia="en-US"/>
              </w:rPr>
            </w:pPr>
            <w:r w:rsidRPr="00A54649">
              <w:rPr>
                <w:b/>
                <w:sz w:val="18"/>
                <w:szCs w:val="18"/>
                <w:lang w:val="en-AU" w:eastAsia="en-US"/>
              </w:rPr>
              <w:t>Other CFCs</w:t>
            </w:r>
          </w:p>
        </w:tc>
        <w:tc>
          <w:tcPr>
            <w:tcW w:w="1560" w:type="dxa"/>
            <w:tcBorders>
              <w:bottom w:val="single" w:sz="8" w:space="0" w:color="000000"/>
              <w:right w:val="single" w:sz="8" w:space="0" w:color="000000"/>
            </w:tcBorders>
            <w:vAlign w:val="center"/>
          </w:tcPr>
          <w:p w14:paraId="27ED2560" w14:textId="77777777" w:rsidR="0002780C" w:rsidRPr="00A54649" w:rsidRDefault="0002780C" w:rsidP="005834DD">
            <w:pPr>
              <w:spacing w:after="0"/>
              <w:jc w:val="center"/>
              <w:rPr>
                <w:b/>
                <w:sz w:val="18"/>
                <w:szCs w:val="18"/>
                <w:lang w:val="en-AU" w:eastAsia="en-US"/>
              </w:rPr>
            </w:pPr>
            <w:r w:rsidRPr="00A54649">
              <w:rPr>
                <w:b/>
                <w:sz w:val="18"/>
                <w:szCs w:val="18"/>
                <w:lang w:val="en-AU" w:eastAsia="en-US"/>
              </w:rPr>
              <w:t>Carbon Tetrachloride</w:t>
            </w:r>
          </w:p>
        </w:tc>
        <w:tc>
          <w:tcPr>
            <w:tcW w:w="1559" w:type="dxa"/>
            <w:tcBorders>
              <w:bottom w:val="single" w:sz="8" w:space="0" w:color="000000"/>
              <w:right w:val="single" w:sz="8" w:space="0" w:color="000000"/>
            </w:tcBorders>
            <w:vAlign w:val="center"/>
          </w:tcPr>
          <w:p w14:paraId="4FBFAB77" w14:textId="77777777" w:rsidR="0002780C" w:rsidRPr="00A54649" w:rsidRDefault="0002780C" w:rsidP="005834DD">
            <w:pPr>
              <w:spacing w:after="0"/>
              <w:jc w:val="center"/>
              <w:rPr>
                <w:b/>
                <w:sz w:val="18"/>
                <w:szCs w:val="18"/>
                <w:lang w:val="en-AU" w:eastAsia="en-US"/>
              </w:rPr>
            </w:pPr>
            <w:r w:rsidRPr="00A54649">
              <w:rPr>
                <w:b/>
                <w:sz w:val="18"/>
                <w:szCs w:val="18"/>
                <w:lang w:val="en-AU" w:eastAsia="en-US"/>
              </w:rPr>
              <w:t>Methyl Chloroform</w:t>
            </w:r>
          </w:p>
        </w:tc>
        <w:tc>
          <w:tcPr>
            <w:tcW w:w="1583" w:type="dxa"/>
            <w:tcBorders>
              <w:bottom w:val="single" w:sz="8" w:space="0" w:color="000000"/>
              <w:right w:val="single" w:sz="8" w:space="0" w:color="000000"/>
            </w:tcBorders>
            <w:vAlign w:val="center"/>
          </w:tcPr>
          <w:p w14:paraId="0721DB09" w14:textId="77777777" w:rsidR="0002780C" w:rsidRPr="00A54649" w:rsidRDefault="0002780C" w:rsidP="005834DD">
            <w:pPr>
              <w:spacing w:after="0"/>
              <w:jc w:val="center"/>
              <w:rPr>
                <w:b/>
                <w:sz w:val="18"/>
                <w:szCs w:val="18"/>
                <w:lang w:val="en-AU" w:eastAsia="en-US"/>
              </w:rPr>
            </w:pPr>
            <w:r w:rsidRPr="00A54649">
              <w:rPr>
                <w:b/>
                <w:sz w:val="18"/>
                <w:szCs w:val="18"/>
                <w:lang w:val="en-AU" w:eastAsia="en-US"/>
              </w:rPr>
              <w:t>HCFCs</w:t>
            </w:r>
          </w:p>
        </w:tc>
        <w:tc>
          <w:tcPr>
            <w:tcW w:w="1677" w:type="dxa"/>
            <w:tcBorders>
              <w:bottom w:val="single" w:sz="8" w:space="0" w:color="000000"/>
              <w:right w:val="single" w:sz="8" w:space="0" w:color="000000"/>
            </w:tcBorders>
            <w:vAlign w:val="center"/>
          </w:tcPr>
          <w:p w14:paraId="38DCA3D7" w14:textId="77777777" w:rsidR="0002780C" w:rsidRPr="00A54649" w:rsidRDefault="0002780C" w:rsidP="005834DD">
            <w:pPr>
              <w:spacing w:after="0"/>
              <w:jc w:val="center"/>
              <w:rPr>
                <w:b/>
                <w:sz w:val="18"/>
                <w:szCs w:val="18"/>
                <w:lang w:val="en-AU" w:eastAsia="en-US"/>
              </w:rPr>
            </w:pPr>
            <w:r w:rsidRPr="00A54649">
              <w:rPr>
                <w:b/>
                <w:sz w:val="18"/>
                <w:szCs w:val="18"/>
                <w:lang w:val="en-AU" w:eastAsia="en-US"/>
              </w:rPr>
              <w:t>Methyl Bromide</w:t>
            </w:r>
          </w:p>
        </w:tc>
        <w:tc>
          <w:tcPr>
            <w:tcW w:w="1559" w:type="dxa"/>
            <w:tcBorders>
              <w:bottom w:val="single" w:sz="8" w:space="0" w:color="000000"/>
              <w:right w:val="single" w:sz="8" w:space="0" w:color="000000"/>
            </w:tcBorders>
            <w:vAlign w:val="center"/>
          </w:tcPr>
          <w:p w14:paraId="03863218" w14:textId="77777777" w:rsidR="0002780C" w:rsidRPr="00A54649" w:rsidRDefault="0002780C" w:rsidP="005834DD">
            <w:pPr>
              <w:spacing w:after="0"/>
              <w:jc w:val="center"/>
              <w:rPr>
                <w:b/>
                <w:sz w:val="18"/>
                <w:szCs w:val="18"/>
                <w:lang w:val="en-AU" w:eastAsia="en-US"/>
              </w:rPr>
            </w:pPr>
          </w:p>
        </w:tc>
      </w:tr>
      <w:tr w:rsidR="0002780C" w:rsidRPr="00A54649" w14:paraId="236EB03B" w14:textId="77777777" w:rsidTr="000D5CF7">
        <w:tc>
          <w:tcPr>
            <w:tcW w:w="1986" w:type="dxa"/>
            <w:tcBorders>
              <w:left w:val="single" w:sz="8" w:space="0" w:color="000000"/>
              <w:bottom w:val="single" w:sz="8" w:space="0" w:color="000000"/>
              <w:right w:val="single" w:sz="8" w:space="0" w:color="000000"/>
            </w:tcBorders>
            <w:vAlign w:val="center"/>
          </w:tcPr>
          <w:p w14:paraId="02C8543C" w14:textId="19D3BFF1" w:rsidR="0002780C" w:rsidRPr="00A54649" w:rsidRDefault="0002780C" w:rsidP="005834DD">
            <w:pPr>
              <w:spacing w:after="0"/>
              <w:rPr>
                <w:b/>
                <w:sz w:val="18"/>
                <w:szCs w:val="18"/>
                <w:lang w:val="en-AU" w:eastAsia="en-US"/>
              </w:rPr>
            </w:pPr>
            <w:r w:rsidRPr="00A54649">
              <w:rPr>
                <w:b/>
                <w:sz w:val="18"/>
                <w:szCs w:val="18"/>
                <w:lang w:val="en-AU" w:eastAsia="en-US"/>
              </w:rPr>
              <w:t>DRE</w:t>
            </w:r>
            <w:r w:rsidR="00A54649">
              <w:rPr>
                <w:b/>
                <w:sz w:val="18"/>
                <w:szCs w:val="18"/>
                <w:lang w:val="en-AU" w:eastAsia="en-US"/>
              </w:rPr>
              <w:t>*</w:t>
            </w:r>
          </w:p>
        </w:tc>
        <w:tc>
          <w:tcPr>
            <w:tcW w:w="1559" w:type="dxa"/>
            <w:tcBorders>
              <w:bottom w:val="single" w:sz="8" w:space="0" w:color="000000"/>
              <w:right w:val="single" w:sz="8" w:space="0" w:color="000000"/>
            </w:tcBorders>
            <w:vAlign w:val="center"/>
          </w:tcPr>
          <w:p w14:paraId="5A542A7B" w14:textId="77777777" w:rsidR="0002780C" w:rsidRPr="00A54649" w:rsidRDefault="0002780C" w:rsidP="005834DD">
            <w:pPr>
              <w:spacing w:after="0"/>
              <w:jc w:val="center"/>
              <w:rPr>
                <w:sz w:val="18"/>
                <w:szCs w:val="18"/>
                <w:lang w:val="en-AU" w:eastAsia="en-US"/>
              </w:rPr>
            </w:pPr>
            <w:r w:rsidRPr="00A54649">
              <w:rPr>
                <w:sz w:val="18"/>
                <w:szCs w:val="18"/>
                <w:lang w:val="en-AU" w:eastAsia="en-US"/>
              </w:rPr>
              <w:t>99.99%</w:t>
            </w:r>
          </w:p>
        </w:tc>
        <w:tc>
          <w:tcPr>
            <w:tcW w:w="1701" w:type="dxa"/>
            <w:tcBorders>
              <w:bottom w:val="single" w:sz="8" w:space="0" w:color="000000"/>
              <w:right w:val="single" w:sz="8" w:space="0" w:color="000000"/>
            </w:tcBorders>
            <w:vAlign w:val="center"/>
          </w:tcPr>
          <w:p w14:paraId="69EEA2B9" w14:textId="77777777" w:rsidR="0002780C" w:rsidRPr="00A54649" w:rsidRDefault="0002780C" w:rsidP="005834DD">
            <w:pPr>
              <w:spacing w:after="0"/>
              <w:jc w:val="center"/>
              <w:rPr>
                <w:sz w:val="18"/>
                <w:szCs w:val="18"/>
                <w:lang w:val="en-AU" w:eastAsia="en-US"/>
              </w:rPr>
            </w:pPr>
            <w:r w:rsidRPr="00A54649">
              <w:rPr>
                <w:sz w:val="18"/>
                <w:szCs w:val="18"/>
                <w:lang w:val="en-AU" w:eastAsia="en-US"/>
              </w:rPr>
              <w:t>99.99%</w:t>
            </w:r>
          </w:p>
        </w:tc>
        <w:tc>
          <w:tcPr>
            <w:tcW w:w="1417" w:type="dxa"/>
            <w:tcBorders>
              <w:bottom w:val="single" w:sz="8" w:space="0" w:color="000000"/>
              <w:right w:val="single" w:sz="8" w:space="0" w:color="000000"/>
            </w:tcBorders>
            <w:vAlign w:val="center"/>
          </w:tcPr>
          <w:p w14:paraId="02E59596" w14:textId="77777777" w:rsidR="0002780C" w:rsidRPr="00A54649" w:rsidRDefault="0002780C" w:rsidP="005834DD">
            <w:pPr>
              <w:spacing w:after="0"/>
              <w:jc w:val="center"/>
              <w:rPr>
                <w:sz w:val="18"/>
                <w:szCs w:val="18"/>
                <w:lang w:val="en-AU" w:eastAsia="en-US"/>
              </w:rPr>
            </w:pPr>
            <w:r w:rsidRPr="00A54649">
              <w:rPr>
                <w:sz w:val="18"/>
                <w:szCs w:val="18"/>
                <w:lang w:val="en-AU" w:eastAsia="en-US"/>
              </w:rPr>
              <w:t>99.99%</w:t>
            </w:r>
          </w:p>
        </w:tc>
        <w:tc>
          <w:tcPr>
            <w:tcW w:w="1560" w:type="dxa"/>
            <w:tcBorders>
              <w:bottom w:val="single" w:sz="8" w:space="0" w:color="000000"/>
              <w:right w:val="single" w:sz="8" w:space="0" w:color="000000"/>
            </w:tcBorders>
            <w:vAlign w:val="center"/>
          </w:tcPr>
          <w:p w14:paraId="3CA85111" w14:textId="77777777" w:rsidR="0002780C" w:rsidRPr="00A54649" w:rsidRDefault="0002780C" w:rsidP="005834DD">
            <w:pPr>
              <w:spacing w:after="0"/>
              <w:jc w:val="center"/>
              <w:rPr>
                <w:sz w:val="18"/>
                <w:szCs w:val="18"/>
                <w:lang w:val="en-AU" w:eastAsia="en-US"/>
              </w:rPr>
            </w:pPr>
            <w:r w:rsidRPr="00A54649">
              <w:rPr>
                <w:sz w:val="18"/>
                <w:szCs w:val="18"/>
                <w:lang w:val="en-AU" w:eastAsia="en-US"/>
              </w:rPr>
              <w:t>99.99%</w:t>
            </w:r>
          </w:p>
        </w:tc>
        <w:tc>
          <w:tcPr>
            <w:tcW w:w="1559" w:type="dxa"/>
            <w:tcBorders>
              <w:bottom w:val="single" w:sz="8" w:space="0" w:color="000000"/>
              <w:right w:val="single" w:sz="8" w:space="0" w:color="000000"/>
            </w:tcBorders>
            <w:vAlign w:val="center"/>
          </w:tcPr>
          <w:p w14:paraId="203ACE26" w14:textId="77777777" w:rsidR="0002780C" w:rsidRPr="00A54649" w:rsidRDefault="0002780C" w:rsidP="005834DD">
            <w:pPr>
              <w:spacing w:after="0"/>
              <w:jc w:val="center"/>
              <w:rPr>
                <w:sz w:val="18"/>
                <w:szCs w:val="18"/>
                <w:lang w:val="en-AU" w:eastAsia="en-US"/>
              </w:rPr>
            </w:pPr>
            <w:r w:rsidRPr="00A54649">
              <w:rPr>
                <w:sz w:val="18"/>
                <w:szCs w:val="18"/>
                <w:lang w:val="en-AU" w:eastAsia="en-US"/>
              </w:rPr>
              <w:t>99.99%</w:t>
            </w:r>
          </w:p>
        </w:tc>
        <w:tc>
          <w:tcPr>
            <w:tcW w:w="1583" w:type="dxa"/>
            <w:tcBorders>
              <w:bottom w:val="single" w:sz="8" w:space="0" w:color="000000"/>
              <w:right w:val="single" w:sz="8" w:space="0" w:color="000000"/>
            </w:tcBorders>
            <w:vAlign w:val="center"/>
          </w:tcPr>
          <w:p w14:paraId="0B03518A" w14:textId="77777777" w:rsidR="0002780C" w:rsidRPr="00A54649" w:rsidRDefault="0002780C" w:rsidP="005834DD">
            <w:pPr>
              <w:spacing w:after="0"/>
              <w:jc w:val="center"/>
              <w:rPr>
                <w:sz w:val="18"/>
                <w:szCs w:val="18"/>
                <w:lang w:val="en-AU" w:eastAsia="en-US"/>
              </w:rPr>
            </w:pPr>
            <w:r w:rsidRPr="00A54649">
              <w:rPr>
                <w:sz w:val="18"/>
                <w:szCs w:val="18"/>
                <w:lang w:val="en-AU" w:eastAsia="en-US"/>
              </w:rPr>
              <w:t>99.99%</w:t>
            </w:r>
          </w:p>
        </w:tc>
        <w:tc>
          <w:tcPr>
            <w:tcW w:w="1677" w:type="dxa"/>
            <w:tcBorders>
              <w:bottom w:val="single" w:sz="8" w:space="0" w:color="000000"/>
              <w:right w:val="single" w:sz="8" w:space="0" w:color="000000"/>
            </w:tcBorders>
            <w:vAlign w:val="center"/>
          </w:tcPr>
          <w:p w14:paraId="195BC46C" w14:textId="77777777" w:rsidR="0002780C" w:rsidRPr="00A54649" w:rsidRDefault="0002780C" w:rsidP="005834DD">
            <w:pPr>
              <w:spacing w:after="0"/>
              <w:jc w:val="center"/>
              <w:rPr>
                <w:sz w:val="18"/>
                <w:szCs w:val="18"/>
                <w:lang w:val="en-AU" w:eastAsia="en-US"/>
              </w:rPr>
            </w:pPr>
            <w:r w:rsidRPr="00A54649">
              <w:rPr>
                <w:sz w:val="18"/>
                <w:szCs w:val="18"/>
                <w:lang w:val="en-AU" w:eastAsia="en-US"/>
              </w:rPr>
              <w:t>99.99%</w:t>
            </w:r>
          </w:p>
        </w:tc>
        <w:tc>
          <w:tcPr>
            <w:tcW w:w="1559" w:type="dxa"/>
            <w:tcBorders>
              <w:bottom w:val="single" w:sz="8" w:space="0" w:color="000000"/>
              <w:right w:val="single" w:sz="8" w:space="0" w:color="000000"/>
            </w:tcBorders>
            <w:vAlign w:val="center"/>
          </w:tcPr>
          <w:p w14:paraId="708B19EE" w14:textId="77777777" w:rsidR="0002780C" w:rsidRPr="00A54649" w:rsidRDefault="0002780C" w:rsidP="005834DD">
            <w:pPr>
              <w:spacing w:after="0"/>
              <w:jc w:val="center"/>
              <w:rPr>
                <w:sz w:val="18"/>
                <w:szCs w:val="18"/>
                <w:lang w:val="en-AU" w:eastAsia="en-US"/>
              </w:rPr>
            </w:pPr>
            <w:r w:rsidRPr="00A54649">
              <w:rPr>
                <w:sz w:val="18"/>
                <w:szCs w:val="18"/>
                <w:lang w:val="en-AU" w:eastAsia="en-US"/>
              </w:rPr>
              <w:t>95%</w:t>
            </w:r>
          </w:p>
        </w:tc>
      </w:tr>
      <w:tr w:rsidR="0002780C" w:rsidRPr="00A54649" w14:paraId="35994F55" w14:textId="77777777" w:rsidTr="000D5CF7">
        <w:tc>
          <w:tcPr>
            <w:tcW w:w="1986" w:type="dxa"/>
            <w:tcBorders>
              <w:left w:val="single" w:sz="8" w:space="0" w:color="000000"/>
              <w:bottom w:val="single" w:sz="8" w:space="0" w:color="000000"/>
              <w:right w:val="single" w:sz="8" w:space="0" w:color="000000"/>
            </w:tcBorders>
            <w:vAlign w:val="center"/>
          </w:tcPr>
          <w:p w14:paraId="686B8925" w14:textId="77777777" w:rsidR="0002780C" w:rsidRPr="00A54649" w:rsidRDefault="0002780C" w:rsidP="005834DD">
            <w:pPr>
              <w:spacing w:after="0"/>
              <w:rPr>
                <w:sz w:val="18"/>
                <w:szCs w:val="18"/>
                <w:lang w:val="en-AU" w:eastAsia="en-US"/>
              </w:rPr>
            </w:pPr>
            <w:r w:rsidRPr="00A54649">
              <w:rPr>
                <w:sz w:val="18"/>
                <w:szCs w:val="18"/>
                <w:lang w:val="en-AU" w:eastAsia="en-US"/>
              </w:rPr>
              <w:t>Cement Kilns</w:t>
            </w:r>
          </w:p>
        </w:tc>
        <w:tc>
          <w:tcPr>
            <w:tcW w:w="1559" w:type="dxa"/>
            <w:tcBorders>
              <w:bottom w:val="single" w:sz="8" w:space="0" w:color="000000"/>
              <w:right w:val="single" w:sz="8" w:space="0" w:color="000000"/>
            </w:tcBorders>
            <w:vAlign w:val="center"/>
          </w:tcPr>
          <w:p w14:paraId="007935C0" w14:textId="77777777" w:rsidR="0002780C" w:rsidRPr="00A54649" w:rsidRDefault="0002780C" w:rsidP="005834DD">
            <w:pPr>
              <w:spacing w:after="0"/>
              <w:jc w:val="center"/>
              <w:rPr>
                <w:sz w:val="18"/>
                <w:szCs w:val="18"/>
                <w:lang w:val="en-AU" w:eastAsia="en-US"/>
              </w:rPr>
            </w:pPr>
            <w:r w:rsidRPr="00A54649">
              <w:rPr>
                <w:sz w:val="18"/>
                <w:szCs w:val="18"/>
                <w:lang w:val="en-AU" w:eastAsia="en-US"/>
              </w:rPr>
              <w:t>Approved</w:t>
            </w:r>
          </w:p>
        </w:tc>
        <w:tc>
          <w:tcPr>
            <w:tcW w:w="1701" w:type="dxa"/>
            <w:tcBorders>
              <w:bottom w:val="single" w:sz="8" w:space="0" w:color="000000"/>
              <w:right w:val="single" w:sz="8" w:space="0" w:color="000000"/>
            </w:tcBorders>
            <w:vAlign w:val="center"/>
          </w:tcPr>
          <w:p w14:paraId="450FAA0B" w14:textId="77777777" w:rsidR="0002780C" w:rsidRPr="00A54649" w:rsidRDefault="0002780C" w:rsidP="005834DD">
            <w:pPr>
              <w:spacing w:after="0"/>
              <w:jc w:val="center"/>
              <w:rPr>
                <w:sz w:val="18"/>
                <w:szCs w:val="18"/>
                <w:lang w:val="en-AU" w:eastAsia="en-US"/>
              </w:rPr>
            </w:pPr>
            <w:r w:rsidRPr="00A54649">
              <w:rPr>
                <w:sz w:val="18"/>
                <w:szCs w:val="18"/>
                <w:lang w:val="en-AU" w:eastAsia="en-US"/>
              </w:rPr>
              <w:t>Not Approved</w:t>
            </w:r>
          </w:p>
        </w:tc>
        <w:tc>
          <w:tcPr>
            <w:tcW w:w="1417" w:type="dxa"/>
            <w:tcBorders>
              <w:bottom w:val="single" w:sz="8" w:space="0" w:color="000000"/>
              <w:right w:val="single" w:sz="8" w:space="0" w:color="000000"/>
            </w:tcBorders>
            <w:vAlign w:val="center"/>
          </w:tcPr>
          <w:p w14:paraId="04FB30AE" w14:textId="77777777" w:rsidR="0002780C" w:rsidRPr="00A54649" w:rsidRDefault="0002780C" w:rsidP="005834DD">
            <w:pPr>
              <w:spacing w:after="0"/>
              <w:jc w:val="center"/>
              <w:rPr>
                <w:sz w:val="18"/>
                <w:szCs w:val="18"/>
                <w:lang w:val="en-AU" w:eastAsia="en-US"/>
              </w:rPr>
            </w:pPr>
            <w:r w:rsidRPr="00A54649">
              <w:rPr>
                <w:sz w:val="18"/>
                <w:szCs w:val="18"/>
                <w:lang w:val="en-AU" w:eastAsia="en-US"/>
              </w:rPr>
              <w:t>Approved</w:t>
            </w:r>
          </w:p>
        </w:tc>
        <w:tc>
          <w:tcPr>
            <w:tcW w:w="1560" w:type="dxa"/>
            <w:tcBorders>
              <w:bottom w:val="single" w:sz="8" w:space="0" w:color="000000"/>
              <w:right w:val="single" w:sz="8" w:space="0" w:color="000000"/>
            </w:tcBorders>
            <w:vAlign w:val="center"/>
          </w:tcPr>
          <w:p w14:paraId="3387497F" w14:textId="77777777" w:rsidR="0002780C" w:rsidRPr="00A54649" w:rsidRDefault="0002780C" w:rsidP="005834DD">
            <w:pPr>
              <w:spacing w:after="0"/>
              <w:jc w:val="center"/>
              <w:rPr>
                <w:sz w:val="18"/>
                <w:szCs w:val="18"/>
                <w:lang w:val="en-AU" w:eastAsia="en-US"/>
              </w:rPr>
            </w:pPr>
            <w:r w:rsidRPr="00A54649">
              <w:rPr>
                <w:sz w:val="18"/>
                <w:szCs w:val="18"/>
                <w:lang w:val="en-AU" w:eastAsia="en-US"/>
              </w:rPr>
              <w:t>Approved</w:t>
            </w:r>
          </w:p>
        </w:tc>
        <w:tc>
          <w:tcPr>
            <w:tcW w:w="1559" w:type="dxa"/>
            <w:tcBorders>
              <w:bottom w:val="single" w:sz="8" w:space="0" w:color="000000"/>
              <w:right w:val="single" w:sz="8" w:space="0" w:color="000000"/>
            </w:tcBorders>
            <w:vAlign w:val="center"/>
          </w:tcPr>
          <w:p w14:paraId="681B4F25" w14:textId="77777777" w:rsidR="0002780C" w:rsidRPr="00A54649" w:rsidRDefault="0002780C" w:rsidP="005834DD">
            <w:pPr>
              <w:spacing w:after="0"/>
              <w:jc w:val="center"/>
              <w:rPr>
                <w:sz w:val="18"/>
                <w:szCs w:val="18"/>
                <w:lang w:val="en-AU" w:eastAsia="en-US"/>
              </w:rPr>
            </w:pPr>
            <w:r w:rsidRPr="00A54649">
              <w:rPr>
                <w:sz w:val="18"/>
                <w:szCs w:val="18"/>
                <w:lang w:val="en-AU" w:eastAsia="en-US"/>
              </w:rPr>
              <w:t>Approved</w:t>
            </w:r>
          </w:p>
        </w:tc>
        <w:tc>
          <w:tcPr>
            <w:tcW w:w="1583" w:type="dxa"/>
            <w:tcBorders>
              <w:bottom w:val="single" w:sz="8" w:space="0" w:color="000000"/>
              <w:right w:val="single" w:sz="8" w:space="0" w:color="000000"/>
            </w:tcBorders>
            <w:vAlign w:val="center"/>
          </w:tcPr>
          <w:p w14:paraId="7AB83F9D" w14:textId="77777777" w:rsidR="0002780C" w:rsidRPr="00A54649" w:rsidRDefault="0002780C" w:rsidP="005834DD">
            <w:pPr>
              <w:spacing w:after="0"/>
              <w:jc w:val="center"/>
              <w:rPr>
                <w:sz w:val="18"/>
                <w:szCs w:val="18"/>
                <w:lang w:val="en-AU" w:eastAsia="en-US"/>
              </w:rPr>
            </w:pPr>
            <w:r w:rsidRPr="00A54649">
              <w:rPr>
                <w:sz w:val="18"/>
                <w:szCs w:val="18"/>
                <w:lang w:val="en-AU" w:eastAsia="en-US"/>
              </w:rPr>
              <w:t>Approved</w:t>
            </w:r>
          </w:p>
        </w:tc>
        <w:tc>
          <w:tcPr>
            <w:tcW w:w="1677" w:type="dxa"/>
            <w:tcBorders>
              <w:bottom w:val="single" w:sz="8" w:space="0" w:color="000000"/>
              <w:right w:val="single" w:sz="8" w:space="0" w:color="000000"/>
            </w:tcBorders>
            <w:vAlign w:val="center"/>
          </w:tcPr>
          <w:p w14:paraId="096D6FF0" w14:textId="77777777" w:rsidR="0002780C" w:rsidRPr="00A54649" w:rsidRDefault="0002780C" w:rsidP="005834DD">
            <w:pPr>
              <w:spacing w:after="0"/>
              <w:jc w:val="center"/>
              <w:rPr>
                <w:sz w:val="18"/>
                <w:szCs w:val="18"/>
                <w:lang w:val="en-AU" w:eastAsia="en-US"/>
              </w:rPr>
            </w:pPr>
            <w:r w:rsidRPr="00A54649">
              <w:rPr>
                <w:sz w:val="18"/>
                <w:szCs w:val="18"/>
                <w:lang w:val="en-AU" w:eastAsia="en-US"/>
              </w:rPr>
              <w:t>Not Determined</w:t>
            </w:r>
          </w:p>
        </w:tc>
        <w:tc>
          <w:tcPr>
            <w:tcW w:w="1559" w:type="dxa"/>
            <w:tcBorders>
              <w:bottom w:val="single" w:sz="8" w:space="0" w:color="000000"/>
              <w:right w:val="single" w:sz="8" w:space="0" w:color="000000"/>
            </w:tcBorders>
            <w:vAlign w:val="center"/>
          </w:tcPr>
          <w:p w14:paraId="466BEE14" w14:textId="59765099" w:rsidR="0002780C" w:rsidRPr="00A54649" w:rsidRDefault="0002780C" w:rsidP="005834DD">
            <w:pPr>
              <w:spacing w:after="0"/>
              <w:jc w:val="center"/>
              <w:rPr>
                <w:sz w:val="18"/>
                <w:szCs w:val="18"/>
                <w:lang w:val="en-AU" w:eastAsia="en-US"/>
              </w:rPr>
            </w:pPr>
          </w:p>
        </w:tc>
      </w:tr>
      <w:tr w:rsidR="0002780C" w:rsidRPr="00A54649" w14:paraId="14522916" w14:textId="77777777" w:rsidTr="000D5CF7">
        <w:tc>
          <w:tcPr>
            <w:tcW w:w="1986" w:type="dxa"/>
            <w:tcBorders>
              <w:left w:val="single" w:sz="8" w:space="0" w:color="000000"/>
              <w:bottom w:val="single" w:sz="8" w:space="0" w:color="000000"/>
              <w:right w:val="single" w:sz="8" w:space="0" w:color="000000"/>
            </w:tcBorders>
            <w:vAlign w:val="center"/>
          </w:tcPr>
          <w:p w14:paraId="55853017" w14:textId="77777777" w:rsidR="0002780C" w:rsidRPr="00A54649" w:rsidRDefault="0002780C" w:rsidP="005834DD">
            <w:pPr>
              <w:spacing w:after="0"/>
              <w:rPr>
                <w:sz w:val="18"/>
                <w:szCs w:val="18"/>
                <w:lang w:val="en-AU" w:eastAsia="en-US"/>
              </w:rPr>
            </w:pPr>
            <w:r w:rsidRPr="00A54649">
              <w:rPr>
                <w:sz w:val="18"/>
                <w:szCs w:val="18"/>
                <w:lang w:val="en-AU" w:eastAsia="en-US"/>
              </w:rPr>
              <w:t>Gaseous/Fume Oxidation</w:t>
            </w:r>
          </w:p>
        </w:tc>
        <w:tc>
          <w:tcPr>
            <w:tcW w:w="1559" w:type="dxa"/>
            <w:tcBorders>
              <w:bottom w:val="single" w:sz="8" w:space="0" w:color="000000"/>
              <w:right w:val="single" w:sz="8" w:space="0" w:color="000000"/>
            </w:tcBorders>
            <w:vAlign w:val="center"/>
          </w:tcPr>
          <w:p w14:paraId="7192D5BE" w14:textId="77777777" w:rsidR="0002780C" w:rsidRPr="00A54649" w:rsidRDefault="0002780C" w:rsidP="005834DD">
            <w:pPr>
              <w:spacing w:after="0"/>
              <w:jc w:val="center"/>
              <w:rPr>
                <w:sz w:val="18"/>
                <w:szCs w:val="18"/>
                <w:lang w:val="en-AU" w:eastAsia="en-US"/>
              </w:rPr>
            </w:pPr>
            <w:r w:rsidRPr="00A54649">
              <w:rPr>
                <w:sz w:val="18"/>
                <w:szCs w:val="18"/>
                <w:lang w:val="en-AU" w:eastAsia="en-US"/>
              </w:rPr>
              <w:t>Approved</w:t>
            </w:r>
          </w:p>
        </w:tc>
        <w:tc>
          <w:tcPr>
            <w:tcW w:w="1701" w:type="dxa"/>
            <w:tcBorders>
              <w:bottom w:val="single" w:sz="8" w:space="0" w:color="000000"/>
              <w:right w:val="single" w:sz="8" w:space="0" w:color="000000"/>
            </w:tcBorders>
            <w:vAlign w:val="center"/>
          </w:tcPr>
          <w:p w14:paraId="291ECFBD" w14:textId="77777777" w:rsidR="0002780C" w:rsidRPr="00A54649" w:rsidRDefault="0002780C" w:rsidP="005834DD">
            <w:pPr>
              <w:spacing w:after="0"/>
              <w:jc w:val="center"/>
              <w:rPr>
                <w:sz w:val="18"/>
                <w:szCs w:val="18"/>
                <w:lang w:val="en-AU" w:eastAsia="en-US"/>
              </w:rPr>
            </w:pPr>
            <w:r w:rsidRPr="00A54649">
              <w:rPr>
                <w:sz w:val="18"/>
                <w:szCs w:val="18"/>
                <w:lang w:val="en-AU" w:eastAsia="en-US"/>
              </w:rPr>
              <w:t>Not Determined</w:t>
            </w:r>
          </w:p>
        </w:tc>
        <w:tc>
          <w:tcPr>
            <w:tcW w:w="1417" w:type="dxa"/>
            <w:tcBorders>
              <w:bottom w:val="single" w:sz="8" w:space="0" w:color="000000"/>
              <w:right w:val="single" w:sz="8" w:space="0" w:color="000000"/>
            </w:tcBorders>
            <w:vAlign w:val="center"/>
          </w:tcPr>
          <w:p w14:paraId="1E1446ED" w14:textId="77777777" w:rsidR="0002780C" w:rsidRPr="00A54649" w:rsidRDefault="0002780C" w:rsidP="005834DD">
            <w:pPr>
              <w:spacing w:after="0"/>
              <w:jc w:val="center"/>
              <w:rPr>
                <w:sz w:val="18"/>
                <w:szCs w:val="18"/>
                <w:lang w:val="en-AU" w:eastAsia="en-US"/>
              </w:rPr>
            </w:pPr>
            <w:r w:rsidRPr="00A54649">
              <w:rPr>
                <w:sz w:val="18"/>
                <w:szCs w:val="18"/>
                <w:lang w:val="en-AU" w:eastAsia="en-US"/>
              </w:rPr>
              <w:t>Approved</w:t>
            </w:r>
          </w:p>
        </w:tc>
        <w:tc>
          <w:tcPr>
            <w:tcW w:w="1560" w:type="dxa"/>
            <w:tcBorders>
              <w:bottom w:val="single" w:sz="8" w:space="0" w:color="000000"/>
              <w:right w:val="single" w:sz="8" w:space="0" w:color="000000"/>
            </w:tcBorders>
            <w:vAlign w:val="center"/>
          </w:tcPr>
          <w:p w14:paraId="0AF1AD98" w14:textId="77777777" w:rsidR="0002780C" w:rsidRPr="00A54649" w:rsidRDefault="0002780C" w:rsidP="005834DD">
            <w:pPr>
              <w:spacing w:after="0"/>
              <w:jc w:val="center"/>
              <w:rPr>
                <w:sz w:val="18"/>
                <w:szCs w:val="18"/>
                <w:lang w:val="en-AU" w:eastAsia="en-US"/>
              </w:rPr>
            </w:pPr>
            <w:r w:rsidRPr="00A54649">
              <w:rPr>
                <w:sz w:val="18"/>
                <w:szCs w:val="18"/>
                <w:lang w:val="en-AU" w:eastAsia="en-US"/>
              </w:rPr>
              <w:t>Approved</w:t>
            </w:r>
          </w:p>
        </w:tc>
        <w:tc>
          <w:tcPr>
            <w:tcW w:w="1559" w:type="dxa"/>
            <w:tcBorders>
              <w:bottom w:val="single" w:sz="8" w:space="0" w:color="000000"/>
              <w:right w:val="single" w:sz="8" w:space="0" w:color="000000"/>
            </w:tcBorders>
            <w:vAlign w:val="center"/>
          </w:tcPr>
          <w:p w14:paraId="749D5C3C" w14:textId="77777777" w:rsidR="0002780C" w:rsidRPr="00A54649" w:rsidRDefault="0002780C" w:rsidP="005834DD">
            <w:pPr>
              <w:spacing w:after="0"/>
              <w:jc w:val="center"/>
              <w:rPr>
                <w:sz w:val="18"/>
                <w:szCs w:val="18"/>
                <w:lang w:val="en-AU" w:eastAsia="en-US"/>
              </w:rPr>
            </w:pPr>
            <w:r w:rsidRPr="00A54649">
              <w:rPr>
                <w:sz w:val="18"/>
                <w:szCs w:val="18"/>
                <w:lang w:val="en-AU" w:eastAsia="en-US"/>
              </w:rPr>
              <w:t>Approved</w:t>
            </w:r>
          </w:p>
        </w:tc>
        <w:tc>
          <w:tcPr>
            <w:tcW w:w="1583" w:type="dxa"/>
            <w:tcBorders>
              <w:bottom w:val="single" w:sz="8" w:space="0" w:color="000000"/>
              <w:right w:val="single" w:sz="8" w:space="0" w:color="000000"/>
            </w:tcBorders>
            <w:vAlign w:val="center"/>
          </w:tcPr>
          <w:p w14:paraId="53E85698" w14:textId="77777777" w:rsidR="0002780C" w:rsidRPr="00A54649" w:rsidRDefault="0002780C" w:rsidP="005834DD">
            <w:pPr>
              <w:spacing w:after="0"/>
              <w:jc w:val="center"/>
              <w:rPr>
                <w:sz w:val="18"/>
                <w:szCs w:val="18"/>
                <w:lang w:val="en-AU" w:eastAsia="en-US"/>
              </w:rPr>
            </w:pPr>
            <w:r w:rsidRPr="00A54649">
              <w:rPr>
                <w:sz w:val="18"/>
                <w:szCs w:val="18"/>
                <w:lang w:val="en-AU" w:eastAsia="en-US"/>
              </w:rPr>
              <w:t>Approved</w:t>
            </w:r>
          </w:p>
        </w:tc>
        <w:tc>
          <w:tcPr>
            <w:tcW w:w="1677" w:type="dxa"/>
            <w:tcBorders>
              <w:bottom w:val="single" w:sz="8" w:space="0" w:color="000000"/>
              <w:right w:val="single" w:sz="8" w:space="0" w:color="000000"/>
            </w:tcBorders>
            <w:vAlign w:val="center"/>
          </w:tcPr>
          <w:p w14:paraId="134ED52C" w14:textId="77777777" w:rsidR="0002780C" w:rsidRPr="00A54649" w:rsidRDefault="0002780C" w:rsidP="005834DD">
            <w:pPr>
              <w:spacing w:after="0"/>
              <w:jc w:val="center"/>
              <w:rPr>
                <w:sz w:val="18"/>
                <w:szCs w:val="18"/>
                <w:lang w:val="en-AU" w:eastAsia="en-US"/>
              </w:rPr>
            </w:pPr>
            <w:r w:rsidRPr="00A54649">
              <w:rPr>
                <w:sz w:val="18"/>
                <w:szCs w:val="18"/>
                <w:lang w:val="en-AU" w:eastAsia="en-US"/>
              </w:rPr>
              <w:t>Not Determined</w:t>
            </w:r>
          </w:p>
        </w:tc>
        <w:tc>
          <w:tcPr>
            <w:tcW w:w="1559" w:type="dxa"/>
            <w:tcBorders>
              <w:bottom w:val="single" w:sz="8" w:space="0" w:color="000000"/>
              <w:right w:val="single" w:sz="8" w:space="0" w:color="000000"/>
            </w:tcBorders>
            <w:vAlign w:val="center"/>
          </w:tcPr>
          <w:p w14:paraId="5254A531" w14:textId="77777777" w:rsidR="0002780C" w:rsidRPr="00A54649" w:rsidRDefault="0002780C" w:rsidP="005834DD">
            <w:pPr>
              <w:spacing w:after="0"/>
              <w:jc w:val="center"/>
              <w:rPr>
                <w:sz w:val="18"/>
                <w:szCs w:val="18"/>
                <w:lang w:val="en-AU" w:eastAsia="en-US"/>
              </w:rPr>
            </w:pPr>
          </w:p>
        </w:tc>
      </w:tr>
      <w:tr w:rsidR="0002780C" w:rsidRPr="00A54649" w14:paraId="7830C5CA" w14:textId="77777777" w:rsidTr="000D5CF7">
        <w:tc>
          <w:tcPr>
            <w:tcW w:w="1986" w:type="dxa"/>
            <w:tcBorders>
              <w:left w:val="single" w:sz="8" w:space="0" w:color="000000"/>
              <w:bottom w:val="single" w:sz="8" w:space="0" w:color="000000"/>
              <w:right w:val="single" w:sz="8" w:space="0" w:color="000000"/>
            </w:tcBorders>
            <w:vAlign w:val="center"/>
          </w:tcPr>
          <w:p w14:paraId="2EFEF421" w14:textId="77777777" w:rsidR="0002780C" w:rsidRPr="00A54649" w:rsidRDefault="0002780C" w:rsidP="005834DD">
            <w:pPr>
              <w:spacing w:after="0"/>
              <w:rPr>
                <w:sz w:val="18"/>
                <w:szCs w:val="18"/>
                <w:lang w:val="en-AU" w:eastAsia="en-US"/>
              </w:rPr>
            </w:pPr>
            <w:r w:rsidRPr="00A54649">
              <w:rPr>
                <w:sz w:val="18"/>
                <w:szCs w:val="18"/>
                <w:lang w:val="en-AU" w:eastAsia="en-US"/>
              </w:rPr>
              <w:t>Liquid Injection Incineration</w:t>
            </w:r>
          </w:p>
        </w:tc>
        <w:tc>
          <w:tcPr>
            <w:tcW w:w="1559" w:type="dxa"/>
            <w:tcBorders>
              <w:bottom w:val="single" w:sz="8" w:space="0" w:color="000000"/>
              <w:right w:val="single" w:sz="8" w:space="0" w:color="000000"/>
            </w:tcBorders>
            <w:vAlign w:val="center"/>
          </w:tcPr>
          <w:p w14:paraId="05E8663E" w14:textId="77777777" w:rsidR="0002780C" w:rsidRPr="00A54649" w:rsidRDefault="0002780C" w:rsidP="005834DD">
            <w:pPr>
              <w:spacing w:after="0"/>
              <w:jc w:val="center"/>
              <w:rPr>
                <w:sz w:val="18"/>
                <w:szCs w:val="18"/>
                <w:lang w:val="en-AU" w:eastAsia="en-US"/>
              </w:rPr>
            </w:pPr>
            <w:r w:rsidRPr="00A54649">
              <w:rPr>
                <w:sz w:val="18"/>
                <w:szCs w:val="18"/>
                <w:lang w:val="en-AU" w:eastAsia="en-US"/>
              </w:rPr>
              <w:t>Approved</w:t>
            </w:r>
          </w:p>
        </w:tc>
        <w:tc>
          <w:tcPr>
            <w:tcW w:w="1701" w:type="dxa"/>
            <w:tcBorders>
              <w:bottom w:val="single" w:sz="8" w:space="0" w:color="000000"/>
              <w:right w:val="single" w:sz="8" w:space="0" w:color="000000"/>
            </w:tcBorders>
            <w:vAlign w:val="center"/>
          </w:tcPr>
          <w:p w14:paraId="3FA6FA3E" w14:textId="77777777" w:rsidR="0002780C" w:rsidRPr="00A54649" w:rsidRDefault="0002780C" w:rsidP="005834DD">
            <w:pPr>
              <w:spacing w:after="0"/>
              <w:jc w:val="center"/>
              <w:rPr>
                <w:sz w:val="18"/>
                <w:szCs w:val="18"/>
                <w:lang w:val="en-AU" w:eastAsia="en-US"/>
              </w:rPr>
            </w:pPr>
            <w:r w:rsidRPr="00A54649">
              <w:rPr>
                <w:sz w:val="18"/>
                <w:szCs w:val="18"/>
                <w:lang w:val="en-AU" w:eastAsia="en-US"/>
              </w:rPr>
              <w:t>Approved</w:t>
            </w:r>
          </w:p>
        </w:tc>
        <w:tc>
          <w:tcPr>
            <w:tcW w:w="1417" w:type="dxa"/>
            <w:tcBorders>
              <w:bottom w:val="single" w:sz="8" w:space="0" w:color="000000"/>
              <w:right w:val="single" w:sz="8" w:space="0" w:color="000000"/>
            </w:tcBorders>
            <w:vAlign w:val="center"/>
          </w:tcPr>
          <w:p w14:paraId="03DAEC53" w14:textId="77777777" w:rsidR="0002780C" w:rsidRPr="00A54649" w:rsidRDefault="0002780C" w:rsidP="005834DD">
            <w:pPr>
              <w:spacing w:after="0"/>
              <w:jc w:val="center"/>
              <w:rPr>
                <w:sz w:val="18"/>
                <w:szCs w:val="18"/>
                <w:lang w:val="en-AU" w:eastAsia="en-US"/>
              </w:rPr>
            </w:pPr>
            <w:r w:rsidRPr="00A54649">
              <w:rPr>
                <w:sz w:val="18"/>
                <w:szCs w:val="18"/>
                <w:lang w:val="en-AU" w:eastAsia="en-US"/>
              </w:rPr>
              <w:t>Approved</w:t>
            </w:r>
          </w:p>
        </w:tc>
        <w:tc>
          <w:tcPr>
            <w:tcW w:w="1560" w:type="dxa"/>
            <w:tcBorders>
              <w:bottom w:val="single" w:sz="8" w:space="0" w:color="000000"/>
              <w:right w:val="single" w:sz="8" w:space="0" w:color="000000"/>
            </w:tcBorders>
            <w:vAlign w:val="center"/>
          </w:tcPr>
          <w:p w14:paraId="00A8F0CA" w14:textId="77777777" w:rsidR="0002780C" w:rsidRPr="00A54649" w:rsidRDefault="0002780C" w:rsidP="005834DD">
            <w:pPr>
              <w:spacing w:after="0"/>
              <w:jc w:val="center"/>
              <w:rPr>
                <w:sz w:val="18"/>
                <w:szCs w:val="18"/>
                <w:lang w:val="en-AU" w:eastAsia="en-US"/>
              </w:rPr>
            </w:pPr>
            <w:r w:rsidRPr="00A54649">
              <w:rPr>
                <w:sz w:val="18"/>
                <w:szCs w:val="18"/>
                <w:lang w:val="en-AU" w:eastAsia="en-US"/>
              </w:rPr>
              <w:t>Approved</w:t>
            </w:r>
          </w:p>
        </w:tc>
        <w:tc>
          <w:tcPr>
            <w:tcW w:w="1559" w:type="dxa"/>
            <w:tcBorders>
              <w:bottom w:val="single" w:sz="8" w:space="0" w:color="000000"/>
              <w:right w:val="single" w:sz="8" w:space="0" w:color="000000"/>
            </w:tcBorders>
            <w:vAlign w:val="center"/>
          </w:tcPr>
          <w:p w14:paraId="6C2A378B" w14:textId="77777777" w:rsidR="0002780C" w:rsidRPr="00A54649" w:rsidRDefault="0002780C" w:rsidP="005834DD">
            <w:pPr>
              <w:spacing w:after="0"/>
              <w:jc w:val="center"/>
              <w:rPr>
                <w:sz w:val="18"/>
                <w:szCs w:val="18"/>
                <w:lang w:val="en-AU" w:eastAsia="en-US"/>
              </w:rPr>
            </w:pPr>
            <w:r w:rsidRPr="00A54649">
              <w:rPr>
                <w:sz w:val="18"/>
                <w:szCs w:val="18"/>
                <w:lang w:val="en-AU" w:eastAsia="en-US"/>
              </w:rPr>
              <w:t>Approved</w:t>
            </w:r>
          </w:p>
        </w:tc>
        <w:tc>
          <w:tcPr>
            <w:tcW w:w="1583" w:type="dxa"/>
            <w:tcBorders>
              <w:bottom w:val="single" w:sz="8" w:space="0" w:color="000000"/>
              <w:right w:val="single" w:sz="8" w:space="0" w:color="000000"/>
            </w:tcBorders>
            <w:vAlign w:val="center"/>
          </w:tcPr>
          <w:p w14:paraId="2AA1B840" w14:textId="77777777" w:rsidR="0002780C" w:rsidRPr="00A54649" w:rsidRDefault="0002780C" w:rsidP="005834DD">
            <w:pPr>
              <w:spacing w:after="0"/>
              <w:jc w:val="center"/>
              <w:rPr>
                <w:sz w:val="18"/>
                <w:szCs w:val="18"/>
                <w:lang w:val="en-AU" w:eastAsia="en-US"/>
              </w:rPr>
            </w:pPr>
            <w:r w:rsidRPr="00A54649">
              <w:rPr>
                <w:sz w:val="18"/>
                <w:szCs w:val="18"/>
                <w:lang w:val="en-AU" w:eastAsia="en-US"/>
              </w:rPr>
              <w:t>Approved</w:t>
            </w:r>
          </w:p>
        </w:tc>
        <w:tc>
          <w:tcPr>
            <w:tcW w:w="1677" w:type="dxa"/>
            <w:tcBorders>
              <w:bottom w:val="single" w:sz="8" w:space="0" w:color="000000"/>
              <w:right w:val="single" w:sz="8" w:space="0" w:color="000000"/>
            </w:tcBorders>
            <w:vAlign w:val="center"/>
          </w:tcPr>
          <w:p w14:paraId="19262BB8" w14:textId="77777777" w:rsidR="0002780C" w:rsidRPr="00A54649" w:rsidRDefault="0002780C" w:rsidP="005834DD">
            <w:pPr>
              <w:spacing w:after="0"/>
              <w:jc w:val="center"/>
              <w:rPr>
                <w:sz w:val="18"/>
                <w:szCs w:val="18"/>
                <w:lang w:val="en-AU" w:eastAsia="en-US"/>
              </w:rPr>
            </w:pPr>
            <w:r w:rsidRPr="00A54649">
              <w:rPr>
                <w:sz w:val="18"/>
                <w:szCs w:val="18"/>
                <w:lang w:val="en-AU" w:eastAsia="en-US"/>
              </w:rPr>
              <w:t>Not Determined</w:t>
            </w:r>
          </w:p>
        </w:tc>
        <w:tc>
          <w:tcPr>
            <w:tcW w:w="1559" w:type="dxa"/>
            <w:tcBorders>
              <w:bottom w:val="single" w:sz="8" w:space="0" w:color="000000"/>
              <w:right w:val="single" w:sz="8" w:space="0" w:color="000000"/>
            </w:tcBorders>
            <w:vAlign w:val="center"/>
          </w:tcPr>
          <w:p w14:paraId="6867FBB9" w14:textId="77777777" w:rsidR="0002780C" w:rsidRPr="00A54649" w:rsidRDefault="0002780C" w:rsidP="005834DD">
            <w:pPr>
              <w:spacing w:after="0"/>
              <w:jc w:val="center"/>
              <w:rPr>
                <w:sz w:val="18"/>
                <w:szCs w:val="18"/>
                <w:lang w:val="en-AU" w:eastAsia="en-US"/>
              </w:rPr>
            </w:pPr>
          </w:p>
        </w:tc>
      </w:tr>
      <w:tr w:rsidR="0002780C" w:rsidRPr="00A54649" w14:paraId="7DDE177B" w14:textId="77777777" w:rsidTr="000D5CF7">
        <w:tc>
          <w:tcPr>
            <w:tcW w:w="1986" w:type="dxa"/>
            <w:tcBorders>
              <w:left w:val="single" w:sz="8" w:space="0" w:color="000000"/>
              <w:bottom w:val="single" w:sz="8" w:space="0" w:color="000000"/>
              <w:right w:val="single" w:sz="8" w:space="0" w:color="000000"/>
            </w:tcBorders>
            <w:vAlign w:val="center"/>
          </w:tcPr>
          <w:p w14:paraId="0220D192" w14:textId="77777777" w:rsidR="0002780C" w:rsidRPr="00A54649" w:rsidRDefault="0002780C" w:rsidP="005834DD">
            <w:pPr>
              <w:spacing w:after="0"/>
              <w:rPr>
                <w:sz w:val="18"/>
                <w:szCs w:val="18"/>
                <w:lang w:val="en-AU" w:eastAsia="en-US"/>
              </w:rPr>
            </w:pPr>
            <w:r w:rsidRPr="00A54649">
              <w:rPr>
                <w:sz w:val="18"/>
                <w:szCs w:val="18"/>
                <w:lang w:val="en-AU" w:eastAsia="en-US"/>
              </w:rPr>
              <w:t>Municipal Solid Waste Incineration</w:t>
            </w:r>
          </w:p>
        </w:tc>
        <w:tc>
          <w:tcPr>
            <w:tcW w:w="1559" w:type="dxa"/>
            <w:tcBorders>
              <w:bottom w:val="single" w:sz="8" w:space="0" w:color="000000"/>
              <w:right w:val="single" w:sz="8" w:space="0" w:color="000000"/>
            </w:tcBorders>
            <w:vAlign w:val="center"/>
          </w:tcPr>
          <w:p w14:paraId="401472D4" w14:textId="77777777" w:rsidR="0002780C" w:rsidRPr="00A54649" w:rsidRDefault="0002780C" w:rsidP="005834DD">
            <w:pPr>
              <w:spacing w:after="0"/>
              <w:jc w:val="center"/>
              <w:rPr>
                <w:sz w:val="18"/>
                <w:szCs w:val="18"/>
                <w:lang w:val="en-AU" w:eastAsia="en-US"/>
              </w:rPr>
            </w:pPr>
          </w:p>
        </w:tc>
        <w:tc>
          <w:tcPr>
            <w:tcW w:w="1701" w:type="dxa"/>
            <w:tcBorders>
              <w:bottom w:val="single" w:sz="8" w:space="0" w:color="000000"/>
              <w:right w:val="single" w:sz="8" w:space="0" w:color="000000"/>
            </w:tcBorders>
            <w:vAlign w:val="center"/>
          </w:tcPr>
          <w:p w14:paraId="6B860FF9" w14:textId="77777777" w:rsidR="0002780C" w:rsidRPr="00A54649" w:rsidRDefault="0002780C" w:rsidP="005834DD">
            <w:pPr>
              <w:spacing w:after="0"/>
              <w:jc w:val="center"/>
              <w:rPr>
                <w:sz w:val="18"/>
                <w:szCs w:val="18"/>
                <w:lang w:val="en-AU" w:eastAsia="en-US"/>
              </w:rPr>
            </w:pPr>
          </w:p>
        </w:tc>
        <w:tc>
          <w:tcPr>
            <w:tcW w:w="1417" w:type="dxa"/>
            <w:tcBorders>
              <w:bottom w:val="single" w:sz="8" w:space="0" w:color="000000"/>
              <w:right w:val="single" w:sz="8" w:space="0" w:color="000000"/>
            </w:tcBorders>
            <w:vAlign w:val="center"/>
          </w:tcPr>
          <w:p w14:paraId="111FB5F3" w14:textId="77777777" w:rsidR="0002780C" w:rsidRPr="00A54649" w:rsidRDefault="0002780C" w:rsidP="005834DD">
            <w:pPr>
              <w:spacing w:after="0"/>
              <w:jc w:val="center"/>
              <w:rPr>
                <w:sz w:val="18"/>
                <w:szCs w:val="18"/>
                <w:lang w:val="en-AU" w:eastAsia="en-US"/>
              </w:rPr>
            </w:pPr>
          </w:p>
        </w:tc>
        <w:tc>
          <w:tcPr>
            <w:tcW w:w="1560" w:type="dxa"/>
            <w:tcBorders>
              <w:bottom w:val="single" w:sz="8" w:space="0" w:color="000000"/>
              <w:right w:val="single" w:sz="8" w:space="0" w:color="000000"/>
            </w:tcBorders>
            <w:vAlign w:val="center"/>
          </w:tcPr>
          <w:p w14:paraId="0893F3BD" w14:textId="77777777" w:rsidR="0002780C" w:rsidRPr="00A54649" w:rsidRDefault="0002780C" w:rsidP="005834DD">
            <w:pPr>
              <w:spacing w:after="0"/>
              <w:jc w:val="center"/>
              <w:rPr>
                <w:sz w:val="18"/>
                <w:szCs w:val="18"/>
                <w:lang w:val="en-AU" w:eastAsia="en-US"/>
              </w:rPr>
            </w:pPr>
          </w:p>
        </w:tc>
        <w:tc>
          <w:tcPr>
            <w:tcW w:w="1559" w:type="dxa"/>
            <w:tcBorders>
              <w:bottom w:val="single" w:sz="8" w:space="0" w:color="000000"/>
              <w:right w:val="single" w:sz="8" w:space="0" w:color="000000"/>
            </w:tcBorders>
            <w:vAlign w:val="center"/>
          </w:tcPr>
          <w:p w14:paraId="2EFA3F93" w14:textId="77777777" w:rsidR="0002780C" w:rsidRPr="00A54649" w:rsidRDefault="0002780C" w:rsidP="005834DD">
            <w:pPr>
              <w:spacing w:after="0"/>
              <w:jc w:val="center"/>
              <w:rPr>
                <w:sz w:val="18"/>
                <w:szCs w:val="18"/>
                <w:lang w:val="en-AU" w:eastAsia="en-US"/>
              </w:rPr>
            </w:pPr>
          </w:p>
        </w:tc>
        <w:tc>
          <w:tcPr>
            <w:tcW w:w="1583" w:type="dxa"/>
            <w:tcBorders>
              <w:bottom w:val="single" w:sz="8" w:space="0" w:color="000000"/>
              <w:right w:val="single" w:sz="8" w:space="0" w:color="000000"/>
            </w:tcBorders>
            <w:vAlign w:val="center"/>
          </w:tcPr>
          <w:p w14:paraId="5165C0CB" w14:textId="77777777" w:rsidR="0002780C" w:rsidRPr="00A54649" w:rsidRDefault="0002780C" w:rsidP="005834DD">
            <w:pPr>
              <w:spacing w:after="0"/>
              <w:jc w:val="center"/>
              <w:rPr>
                <w:sz w:val="18"/>
                <w:szCs w:val="18"/>
                <w:lang w:val="en-AU" w:eastAsia="en-US"/>
              </w:rPr>
            </w:pPr>
          </w:p>
        </w:tc>
        <w:tc>
          <w:tcPr>
            <w:tcW w:w="1677" w:type="dxa"/>
            <w:tcBorders>
              <w:bottom w:val="single" w:sz="8" w:space="0" w:color="000000"/>
              <w:right w:val="single" w:sz="8" w:space="0" w:color="000000"/>
            </w:tcBorders>
            <w:vAlign w:val="center"/>
          </w:tcPr>
          <w:p w14:paraId="47A21625" w14:textId="77777777" w:rsidR="0002780C" w:rsidRPr="00A54649" w:rsidRDefault="0002780C" w:rsidP="005834DD">
            <w:pPr>
              <w:spacing w:after="0"/>
              <w:jc w:val="center"/>
              <w:rPr>
                <w:sz w:val="18"/>
                <w:szCs w:val="18"/>
                <w:lang w:val="en-AU" w:eastAsia="en-US"/>
              </w:rPr>
            </w:pPr>
          </w:p>
        </w:tc>
        <w:tc>
          <w:tcPr>
            <w:tcW w:w="1559" w:type="dxa"/>
            <w:tcBorders>
              <w:bottom w:val="single" w:sz="8" w:space="0" w:color="000000"/>
              <w:right w:val="single" w:sz="8" w:space="0" w:color="000000"/>
            </w:tcBorders>
            <w:vAlign w:val="center"/>
          </w:tcPr>
          <w:p w14:paraId="30386096" w14:textId="77777777" w:rsidR="0002780C" w:rsidRPr="00A54649" w:rsidRDefault="0002780C" w:rsidP="005834DD">
            <w:pPr>
              <w:spacing w:after="0"/>
              <w:jc w:val="center"/>
              <w:rPr>
                <w:sz w:val="18"/>
                <w:szCs w:val="18"/>
                <w:lang w:val="en-AU" w:eastAsia="en-US"/>
              </w:rPr>
            </w:pPr>
            <w:r w:rsidRPr="00A54649">
              <w:rPr>
                <w:sz w:val="18"/>
                <w:szCs w:val="18"/>
                <w:lang w:val="en-AU" w:eastAsia="en-US"/>
              </w:rPr>
              <w:t>Approved</w:t>
            </w:r>
          </w:p>
        </w:tc>
      </w:tr>
      <w:tr w:rsidR="0002780C" w:rsidRPr="00A54649" w14:paraId="6F5409BD" w14:textId="77777777" w:rsidTr="000D5CF7">
        <w:tc>
          <w:tcPr>
            <w:tcW w:w="1986" w:type="dxa"/>
            <w:tcBorders>
              <w:left w:val="single" w:sz="8" w:space="0" w:color="000000"/>
              <w:bottom w:val="single" w:sz="8" w:space="0" w:color="000000"/>
              <w:right w:val="single" w:sz="8" w:space="0" w:color="000000"/>
            </w:tcBorders>
            <w:vAlign w:val="center"/>
          </w:tcPr>
          <w:p w14:paraId="4C37C457" w14:textId="77777777" w:rsidR="0002780C" w:rsidRPr="00A54649" w:rsidRDefault="0002780C" w:rsidP="005834DD">
            <w:pPr>
              <w:spacing w:after="0"/>
              <w:rPr>
                <w:sz w:val="18"/>
                <w:szCs w:val="18"/>
                <w:lang w:val="en-AU" w:eastAsia="en-US"/>
              </w:rPr>
            </w:pPr>
            <w:r w:rsidRPr="00A54649">
              <w:rPr>
                <w:sz w:val="18"/>
                <w:szCs w:val="18"/>
                <w:lang w:val="en-AU" w:eastAsia="en-US"/>
              </w:rPr>
              <w:t>Porous Thermal Reactor</w:t>
            </w:r>
          </w:p>
        </w:tc>
        <w:tc>
          <w:tcPr>
            <w:tcW w:w="1559" w:type="dxa"/>
            <w:tcBorders>
              <w:bottom w:val="single" w:sz="8" w:space="0" w:color="000000"/>
              <w:right w:val="single" w:sz="8" w:space="0" w:color="000000"/>
            </w:tcBorders>
            <w:vAlign w:val="center"/>
          </w:tcPr>
          <w:p w14:paraId="127424C9" w14:textId="77777777" w:rsidR="0002780C" w:rsidRPr="00A54649" w:rsidRDefault="0002780C" w:rsidP="005834DD">
            <w:pPr>
              <w:spacing w:after="0"/>
              <w:jc w:val="center"/>
              <w:rPr>
                <w:sz w:val="18"/>
                <w:szCs w:val="18"/>
                <w:lang w:val="en-AU" w:eastAsia="en-US"/>
              </w:rPr>
            </w:pPr>
            <w:r w:rsidRPr="00A54649">
              <w:rPr>
                <w:sz w:val="18"/>
                <w:szCs w:val="18"/>
                <w:lang w:val="en-AU" w:eastAsia="en-US"/>
              </w:rPr>
              <w:t>Approved</w:t>
            </w:r>
          </w:p>
        </w:tc>
        <w:tc>
          <w:tcPr>
            <w:tcW w:w="1701" w:type="dxa"/>
            <w:tcBorders>
              <w:bottom w:val="single" w:sz="8" w:space="0" w:color="000000"/>
              <w:right w:val="single" w:sz="8" w:space="0" w:color="000000"/>
            </w:tcBorders>
            <w:vAlign w:val="center"/>
          </w:tcPr>
          <w:p w14:paraId="0CB3EB12" w14:textId="77777777" w:rsidR="0002780C" w:rsidRPr="00A54649" w:rsidRDefault="0002780C" w:rsidP="005834DD">
            <w:pPr>
              <w:spacing w:after="0"/>
              <w:jc w:val="center"/>
              <w:rPr>
                <w:sz w:val="18"/>
                <w:szCs w:val="18"/>
                <w:lang w:val="en-AU" w:eastAsia="en-US"/>
              </w:rPr>
            </w:pPr>
            <w:r w:rsidRPr="00A54649">
              <w:rPr>
                <w:sz w:val="18"/>
                <w:szCs w:val="18"/>
                <w:lang w:val="en-AU" w:eastAsia="en-US"/>
              </w:rPr>
              <w:t>Not Determined</w:t>
            </w:r>
          </w:p>
        </w:tc>
        <w:tc>
          <w:tcPr>
            <w:tcW w:w="1417" w:type="dxa"/>
            <w:tcBorders>
              <w:bottom w:val="single" w:sz="8" w:space="0" w:color="000000"/>
              <w:right w:val="single" w:sz="8" w:space="0" w:color="000000"/>
            </w:tcBorders>
            <w:vAlign w:val="center"/>
          </w:tcPr>
          <w:p w14:paraId="6D4DBFEB" w14:textId="77777777" w:rsidR="0002780C" w:rsidRPr="00A54649" w:rsidRDefault="0002780C" w:rsidP="005834DD">
            <w:pPr>
              <w:spacing w:after="0"/>
              <w:jc w:val="center"/>
              <w:rPr>
                <w:sz w:val="18"/>
                <w:szCs w:val="18"/>
                <w:lang w:val="en-AU" w:eastAsia="en-US"/>
              </w:rPr>
            </w:pPr>
            <w:r w:rsidRPr="00A54649">
              <w:rPr>
                <w:sz w:val="18"/>
                <w:szCs w:val="18"/>
                <w:lang w:val="en-AU" w:eastAsia="en-US"/>
              </w:rPr>
              <w:t>Approved</w:t>
            </w:r>
          </w:p>
        </w:tc>
        <w:tc>
          <w:tcPr>
            <w:tcW w:w="1560" w:type="dxa"/>
            <w:tcBorders>
              <w:bottom w:val="single" w:sz="8" w:space="0" w:color="000000"/>
              <w:right w:val="single" w:sz="8" w:space="0" w:color="000000"/>
            </w:tcBorders>
            <w:vAlign w:val="center"/>
          </w:tcPr>
          <w:p w14:paraId="5AC884EB" w14:textId="77777777" w:rsidR="0002780C" w:rsidRPr="00A54649" w:rsidRDefault="0002780C" w:rsidP="005834DD">
            <w:pPr>
              <w:spacing w:after="0"/>
              <w:jc w:val="center"/>
              <w:rPr>
                <w:sz w:val="18"/>
                <w:szCs w:val="18"/>
                <w:lang w:val="en-AU" w:eastAsia="en-US"/>
              </w:rPr>
            </w:pPr>
            <w:r w:rsidRPr="00A54649">
              <w:rPr>
                <w:sz w:val="18"/>
                <w:szCs w:val="18"/>
                <w:lang w:val="en-AU" w:eastAsia="en-US"/>
              </w:rPr>
              <w:t>Approved</w:t>
            </w:r>
          </w:p>
        </w:tc>
        <w:tc>
          <w:tcPr>
            <w:tcW w:w="1559" w:type="dxa"/>
            <w:tcBorders>
              <w:bottom w:val="single" w:sz="8" w:space="0" w:color="000000"/>
              <w:right w:val="single" w:sz="8" w:space="0" w:color="000000"/>
            </w:tcBorders>
            <w:vAlign w:val="center"/>
          </w:tcPr>
          <w:p w14:paraId="59A01099" w14:textId="77777777" w:rsidR="0002780C" w:rsidRPr="00A54649" w:rsidRDefault="0002780C" w:rsidP="005834DD">
            <w:pPr>
              <w:spacing w:after="0"/>
              <w:jc w:val="center"/>
              <w:rPr>
                <w:sz w:val="18"/>
                <w:szCs w:val="18"/>
                <w:lang w:val="en-AU" w:eastAsia="en-US"/>
              </w:rPr>
            </w:pPr>
            <w:r w:rsidRPr="00A54649">
              <w:rPr>
                <w:sz w:val="18"/>
                <w:szCs w:val="18"/>
                <w:lang w:val="en-AU" w:eastAsia="en-US"/>
              </w:rPr>
              <w:t>Approved</w:t>
            </w:r>
          </w:p>
        </w:tc>
        <w:tc>
          <w:tcPr>
            <w:tcW w:w="1583" w:type="dxa"/>
            <w:tcBorders>
              <w:bottom w:val="single" w:sz="8" w:space="0" w:color="000000"/>
              <w:right w:val="single" w:sz="8" w:space="0" w:color="000000"/>
            </w:tcBorders>
            <w:vAlign w:val="center"/>
          </w:tcPr>
          <w:p w14:paraId="6CA9A6A1" w14:textId="77777777" w:rsidR="0002780C" w:rsidRPr="00A54649" w:rsidRDefault="0002780C" w:rsidP="005834DD">
            <w:pPr>
              <w:spacing w:after="0"/>
              <w:jc w:val="center"/>
              <w:rPr>
                <w:sz w:val="18"/>
                <w:szCs w:val="18"/>
                <w:lang w:val="en-AU" w:eastAsia="en-US"/>
              </w:rPr>
            </w:pPr>
            <w:r w:rsidRPr="00A54649">
              <w:rPr>
                <w:sz w:val="18"/>
                <w:szCs w:val="18"/>
                <w:lang w:val="en-AU" w:eastAsia="en-US"/>
              </w:rPr>
              <w:t>Approved</w:t>
            </w:r>
          </w:p>
        </w:tc>
        <w:tc>
          <w:tcPr>
            <w:tcW w:w="1677" w:type="dxa"/>
            <w:tcBorders>
              <w:bottom w:val="single" w:sz="8" w:space="0" w:color="000000"/>
              <w:right w:val="single" w:sz="8" w:space="0" w:color="000000"/>
            </w:tcBorders>
            <w:vAlign w:val="center"/>
          </w:tcPr>
          <w:p w14:paraId="436A61A7" w14:textId="77777777" w:rsidR="0002780C" w:rsidRPr="00A54649" w:rsidRDefault="0002780C" w:rsidP="005834DD">
            <w:pPr>
              <w:spacing w:after="0"/>
              <w:jc w:val="center"/>
              <w:rPr>
                <w:sz w:val="18"/>
                <w:szCs w:val="18"/>
                <w:lang w:val="en-AU" w:eastAsia="en-US"/>
              </w:rPr>
            </w:pPr>
            <w:r w:rsidRPr="00A54649">
              <w:rPr>
                <w:sz w:val="18"/>
                <w:szCs w:val="18"/>
                <w:lang w:val="en-AU" w:eastAsia="en-US"/>
              </w:rPr>
              <w:t>Not Determined</w:t>
            </w:r>
          </w:p>
        </w:tc>
        <w:tc>
          <w:tcPr>
            <w:tcW w:w="1559" w:type="dxa"/>
            <w:tcBorders>
              <w:bottom w:val="single" w:sz="8" w:space="0" w:color="000000"/>
              <w:right w:val="single" w:sz="8" w:space="0" w:color="000000"/>
            </w:tcBorders>
            <w:vAlign w:val="center"/>
          </w:tcPr>
          <w:p w14:paraId="6331248C" w14:textId="77777777" w:rsidR="0002780C" w:rsidRPr="00A54649" w:rsidRDefault="0002780C" w:rsidP="005834DD">
            <w:pPr>
              <w:spacing w:after="0"/>
              <w:jc w:val="center"/>
              <w:rPr>
                <w:sz w:val="18"/>
                <w:szCs w:val="18"/>
                <w:lang w:val="en-AU" w:eastAsia="en-US"/>
              </w:rPr>
            </w:pPr>
          </w:p>
        </w:tc>
      </w:tr>
      <w:tr w:rsidR="0002780C" w:rsidRPr="00A54649" w14:paraId="336F21AB" w14:textId="77777777" w:rsidTr="000D5CF7">
        <w:tc>
          <w:tcPr>
            <w:tcW w:w="1986" w:type="dxa"/>
            <w:tcBorders>
              <w:left w:val="single" w:sz="8" w:space="0" w:color="000000"/>
              <w:bottom w:val="single" w:sz="8" w:space="0" w:color="000000"/>
              <w:right w:val="single" w:sz="8" w:space="0" w:color="000000"/>
            </w:tcBorders>
            <w:vAlign w:val="center"/>
          </w:tcPr>
          <w:p w14:paraId="060693AC" w14:textId="77777777" w:rsidR="0002780C" w:rsidRPr="00A54649" w:rsidRDefault="0002780C" w:rsidP="005834DD">
            <w:pPr>
              <w:spacing w:after="0"/>
              <w:rPr>
                <w:sz w:val="18"/>
                <w:szCs w:val="18"/>
                <w:lang w:val="en-AU" w:eastAsia="en-US"/>
              </w:rPr>
            </w:pPr>
            <w:r w:rsidRPr="00A54649">
              <w:rPr>
                <w:sz w:val="18"/>
                <w:szCs w:val="18"/>
                <w:lang w:val="en-AU" w:eastAsia="en-US"/>
              </w:rPr>
              <w:t>Reactor Cracking</w:t>
            </w:r>
          </w:p>
        </w:tc>
        <w:tc>
          <w:tcPr>
            <w:tcW w:w="1559" w:type="dxa"/>
            <w:tcBorders>
              <w:bottom w:val="single" w:sz="8" w:space="0" w:color="000000"/>
              <w:right w:val="single" w:sz="8" w:space="0" w:color="000000"/>
            </w:tcBorders>
            <w:vAlign w:val="center"/>
          </w:tcPr>
          <w:p w14:paraId="455BD246" w14:textId="77777777" w:rsidR="0002780C" w:rsidRPr="00A54649" w:rsidRDefault="0002780C" w:rsidP="005834DD">
            <w:pPr>
              <w:spacing w:after="0"/>
              <w:jc w:val="center"/>
              <w:rPr>
                <w:sz w:val="18"/>
                <w:szCs w:val="18"/>
                <w:lang w:val="en-AU" w:eastAsia="en-US"/>
              </w:rPr>
            </w:pPr>
            <w:r w:rsidRPr="00A54649">
              <w:rPr>
                <w:sz w:val="18"/>
                <w:szCs w:val="18"/>
                <w:lang w:val="en-AU" w:eastAsia="en-US"/>
              </w:rPr>
              <w:t>Approved</w:t>
            </w:r>
          </w:p>
        </w:tc>
        <w:tc>
          <w:tcPr>
            <w:tcW w:w="1701" w:type="dxa"/>
            <w:tcBorders>
              <w:bottom w:val="single" w:sz="8" w:space="0" w:color="000000"/>
              <w:right w:val="single" w:sz="8" w:space="0" w:color="000000"/>
            </w:tcBorders>
            <w:vAlign w:val="center"/>
          </w:tcPr>
          <w:p w14:paraId="6E9EA862" w14:textId="77777777" w:rsidR="0002780C" w:rsidRPr="00A54649" w:rsidRDefault="0002780C" w:rsidP="005834DD">
            <w:pPr>
              <w:spacing w:after="0"/>
              <w:jc w:val="center"/>
              <w:rPr>
                <w:sz w:val="18"/>
                <w:szCs w:val="18"/>
                <w:lang w:val="en-AU" w:eastAsia="en-US"/>
              </w:rPr>
            </w:pPr>
            <w:r w:rsidRPr="00A54649">
              <w:rPr>
                <w:sz w:val="18"/>
                <w:szCs w:val="18"/>
                <w:lang w:val="en-AU" w:eastAsia="en-US"/>
              </w:rPr>
              <w:t>Not Approved</w:t>
            </w:r>
          </w:p>
        </w:tc>
        <w:tc>
          <w:tcPr>
            <w:tcW w:w="1417" w:type="dxa"/>
            <w:tcBorders>
              <w:bottom w:val="single" w:sz="8" w:space="0" w:color="000000"/>
              <w:right w:val="single" w:sz="8" w:space="0" w:color="000000"/>
            </w:tcBorders>
            <w:vAlign w:val="center"/>
          </w:tcPr>
          <w:p w14:paraId="57AEB974" w14:textId="77777777" w:rsidR="0002780C" w:rsidRPr="00A54649" w:rsidRDefault="0002780C" w:rsidP="005834DD">
            <w:pPr>
              <w:spacing w:after="0"/>
              <w:jc w:val="center"/>
              <w:rPr>
                <w:sz w:val="18"/>
                <w:szCs w:val="18"/>
                <w:lang w:val="en-AU" w:eastAsia="en-US"/>
              </w:rPr>
            </w:pPr>
            <w:r w:rsidRPr="00A54649">
              <w:rPr>
                <w:sz w:val="18"/>
                <w:szCs w:val="18"/>
                <w:lang w:val="en-AU" w:eastAsia="en-US"/>
              </w:rPr>
              <w:t>Approved</w:t>
            </w:r>
          </w:p>
        </w:tc>
        <w:tc>
          <w:tcPr>
            <w:tcW w:w="1560" w:type="dxa"/>
            <w:tcBorders>
              <w:bottom w:val="single" w:sz="8" w:space="0" w:color="000000"/>
              <w:right w:val="single" w:sz="8" w:space="0" w:color="000000"/>
            </w:tcBorders>
            <w:vAlign w:val="center"/>
          </w:tcPr>
          <w:p w14:paraId="650D68BC" w14:textId="77777777" w:rsidR="0002780C" w:rsidRPr="00A54649" w:rsidRDefault="0002780C" w:rsidP="005834DD">
            <w:pPr>
              <w:spacing w:after="0"/>
              <w:jc w:val="center"/>
              <w:rPr>
                <w:sz w:val="18"/>
                <w:szCs w:val="18"/>
                <w:lang w:val="en-AU" w:eastAsia="en-US"/>
              </w:rPr>
            </w:pPr>
            <w:r w:rsidRPr="00A54649">
              <w:rPr>
                <w:sz w:val="18"/>
                <w:szCs w:val="18"/>
                <w:lang w:val="en-AU" w:eastAsia="en-US"/>
              </w:rPr>
              <w:t>Approved</w:t>
            </w:r>
          </w:p>
        </w:tc>
        <w:tc>
          <w:tcPr>
            <w:tcW w:w="1559" w:type="dxa"/>
            <w:tcBorders>
              <w:bottom w:val="single" w:sz="8" w:space="0" w:color="000000"/>
              <w:right w:val="single" w:sz="8" w:space="0" w:color="000000"/>
            </w:tcBorders>
            <w:vAlign w:val="center"/>
          </w:tcPr>
          <w:p w14:paraId="4E77ED15" w14:textId="77777777" w:rsidR="0002780C" w:rsidRPr="00A54649" w:rsidRDefault="0002780C" w:rsidP="005834DD">
            <w:pPr>
              <w:spacing w:after="0"/>
              <w:jc w:val="center"/>
              <w:rPr>
                <w:sz w:val="18"/>
                <w:szCs w:val="18"/>
                <w:lang w:val="en-AU" w:eastAsia="en-US"/>
              </w:rPr>
            </w:pPr>
            <w:r w:rsidRPr="00A54649">
              <w:rPr>
                <w:sz w:val="18"/>
                <w:szCs w:val="18"/>
                <w:lang w:val="en-AU" w:eastAsia="en-US"/>
              </w:rPr>
              <w:t>Approved</w:t>
            </w:r>
          </w:p>
        </w:tc>
        <w:tc>
          <w:tcPr>
            <w:tcW w:w="1583" w:type="dxa"/>
            <w:tcBorders>
              <w:bottom w:val="single" w:sz="8" w:space="0" w:color="000000"/>
              <w:right w:val="single" w:sz="8" w:space="0" w:color="000000"/>
            </w:tcBorders>
            <w:vAlign w:val="center"/>
          </w:tcPr>
          <w:p w14:paraId="69CF10F9" w14:textId="77777777" w:rsidR="0002780C" w:rsidRPr="00A54649" w:rsidRDefault="0002780C" w:rsidP="005834DD">
            <w:pPr>
              <w:spacing w:after="0"/>
              <w:jc w:val="center"/>
              <w:rPr>
                <w:sz w:val="18"/>
                <w:szCs w:val="18"/>
                <w:lang w:val="en-AU" w:eastAsia="en-US"/>
              </w:rPr>
            </w:pPr>
            <w:r w:rsidRPr="00A54649">
              <w:rPr>
                <w:sz w:val="18"/>
                <w:szCs w:val="18"/>
                <w:lang w:val="en-AU" w:eastAsia="en-US"/>
              </w:rPr>
              <w:t>Approved</w:t>
            </w:r>
          </w:p>
        </w:tc>
        <w:tc>
          <w:tcPr>
            <w:tcW w:w="1677" w:type="dxa"/>
            <w:tcBorders>
              <w:bottom w:val="single" w:sz="8" w:space="0" w:color="000000"/>
              <w:right w:val="single" w:sz="8" w:space="0" w:color="000000"/>
            </w:tcBorders>
            <w:vAlign w:val="center"/>
          </w:tcPr>
          <w:p w14:paraId="47CB1233" w14:textId="77777777" w:rsidR="0002780C" w:rsidRPr="00A54649" w:rsidRDefault="0002780C" w:rsidP="005834DD">
            <w:pPr>
              <w:spacing w:after="0"/>
              <w:jc w:val="center"/>
              <w:rPr>
                <w:sz w:val="18"/>
                <w:szCs w:val="18"/>
                <w:lang w:val="en-AU" w:eastAsia="en-US"/>
              </w:rPr>
            </w:pPr>
            <w:r w:rsidRPr="00A54649">
              <w:rPr>
                <w:sz w:val="18"/>
                <w:szCs w:val="18"/>
                <w:lang w:val="en-AU" w:eastAsia="en-US"/>
              </w:rPr>
              <w:t>Not Determined</w:t>
            </w:r>
          </w:p>
        </w:tc>
        <w:tc>
          <w:tcPr>
            <w:tcW w:w="1559" w:type="dxa"/>
            <w:tcBorders>
              <w:bottom w:val="single" w:sz="8" w:space="0" w:color="000000"/>
              <w:right w:val="single" w:sz="8" w:space="0" w:color="000000"/>
            </w:tcBorders>
            <w:vAlign w:val="center"/>
          </w:tcPr>
          <w:p w14:paraId="5485FE06" w14:textId="77777777" w:rsidR="0002780C" w:rsidRPr="00A54649" w:rsidRDefault="0002780C" w:rsidP="005834DD">
            <w:pPr>
              <w:spacing w:after="0"/>
              <w:jc w:val="center"/>
              <w:rPr>
                <w:sz w:val="18"/>
                <w:szCs w:val="18"/>
                <w:lang w:val="en-AU" w:eastAsia="en-US"/>
              </w:rPr>
            </w:pPr>
          </w:p>
        </w:tc>
      </w:tr>
      <w:tr w:rsidR="0002780C" w:rsidRPr="00A54649" w14:paraId="6D25370B" w14:textId="77777777" w:rsidTr="000D5CF7">
        <w:tc>
          <w:tcPr>
            <w:tcW w:w="1986" w:type="dxa"/>
            <w:tcBorders>
              <w:left w:val="single" w:sz="8" w:space="0" w:color="000000"/>
              <w:bottom w:val="single" w:sz="8" w:space="0" w:color="000000"/>
              <w:right w:val="single" w:sz="8" w:space="0" w:color="000000"/>
            </w:tcBorders>
            <w:vAlign w:val="center"/>
          </w:tcPr>
          <w:p w14:paraId="496B6FC4" w14:textId="77777777" w:rsidR="0002780C" w:rsidRPr="00A54649" w:rsidRDefault="0002780C" w:rsidP="005834DD">
            <w:pPr>
              <w:spacing w:after="0"/>
              <w:rPr>
                <w:sz w:val="18"/>
                <w:szCs w:val="18"/>
                <w:lang w:val="en-AU" w:eastAsia="en-US"/>
              </w:rPr>
            </w:pPr>
            <w:r w:rsidRPr="00A54649">
              <w:rPr>
                <w:sz w:val="18"/>
                <w:szCs w:val="18"/>
                <w:lang w:val="en-AU" w:eastAsia="en-US"/>
              </w:rPr>
              <w:t>Rotary Kiln Incineration</w:t>
            </w:r>
          </w:p>
        </w:tc>
        <w:tc>
          <w:tcPr>
            <w:tcW w:w="1559" w:type="dxa"/>
            <w:tcBorders>
              <w:bottom w:val="single" w:sz="8" w:space="0" w:color="000000"/>
              <w:right w:val="single" w:sz="8" w:space="0" w:color="000000"/>
            </w:tcBorders>
            <w:vAlign w:val="center"/>
          </w:tcPr>
          <w:p w14:paraId="39AB9974" w14:textId="77777777" w:rsidR="0002780C" w:rsidRPr="00A54649" w:rsidRDefault="0002780C" w:rsidP="005834DD">
            <w:pPr>
              <w:spacing w:after="0"/>
              <w:jc w:val="center"/>
              <w:rPr>
                <w:sz w:val="18"/>
                <w:szCs w:val="18"/>
                <w:lang w:val="en-AU" w:eastAsia="en-US"/>
              </w:rPr>
            </w:pPr>
            <w:r w:rsidRPr="00A54649">
              <w:rPr>
                <w:sz w:val="18"/>
                <w:szCs w:val="18"/>
                <w:lang w:val="en-AU" w:eastAsia="en-US"/>
              </w:rPr>
              <w:t>Approved</w:t>
            </w:r>
          </w:p>
        </w:tc>
        <w:tc>
          <w:tcPr>
            <w:tcW w:w="1701" w:type="dxa"/>
            <w:tcBorders>
              <w:bottom w:val="single" w:sz="8" w:space="0" w:color="000000"/>
              <w:right w:val="single" w:sz="8" w:space="0" w:color="000000"/>
            </w:tcBorders>
            <w:vAlign w:val="center"/>
          </w:tcPr>
          <w:p w14:paraId="072ADC86" w14:textId="77777777" w:rsidR="0002780C" w:rsidRPr="00A54649" w:rsidRDefault="0002780C" w:rsidP="005834DD">
            <w:pPr>
              <w:spacing w:after="0"/>
              <w:jc w:val="center"/>
              <w:rPr>
                <w:sz w:val="18"/>
                <w:szCs w:val="18"/>
                <w:lang w:val="en-AU" w:eastAsia="en-US"/>
              </w:rPr>
            </w:pPr>
            <w:r w:rsidRPr="00A54649">
              <w:rPr>
                <w:sz w:val="18"/>
                <w:szCs w:val="18"/>
                <w:lang w:val="en-AU" w:eastAsia="en-US"/>
              </w:rPr>
              <w:t>Approved</w:t>
            </w:r>
          </w:p>
        </w:tc>
        <w:tc>
          <w:tcPr>
            <w:tcW w:w="1417" w:type="dxa"/>
            <w:tcBorders>
              <w:bottom w:val="single" w:sz="8" w:space="0" w:color="000000"/>
              <w:right w:val="single" w:sz="8" w:space="0" w:color="000000"/>
            </w:tcBorders>
            <w:vAlign w:val="center"/>
          </w:tcPr>
          <w:p w14:paraId="125AAAF1" w14:textId="77777777" w:rsidR="0002780C" w:rsidRPr="00A54649" w:rsidRDefault="0002780C" w:rsidP="005834DD">
            <w:pPr>
              <w:spacing w:after="0"/>
              <w:jc w:val="center"/>
              <w:rPr>
                <w:sz w:val="18"/>
                <w:szCs w:val="18"/>
                <w:lang w:val="en-AU" w:eastAsia="en-US"/>
              </w:rPr>
            </w:pPr>
            <w:r w:rsidRPr="00A54649">
              <w:rPr>
                <w:sz w:val="18"/>
                <w:szCs w:val="18"/>
                <w:lang w:val="en-AU" w:eastAsia="en-US"/>
              </w:rPr>
              <w:t>Approved</w:t>
            </w:r>
          </w:p>
        </w:tc>
        <w:tc>
          <w:tcPr>
            <w:tcW w:w="1560" w:type="dxa"/>
            <w:tcBorders>
              <w:bottom w:val="single" w:sz="8" w:space="0" w:color="000000"/>
              <w:right w:val="single" w:sz="8" w:space="0" w:color="000000"/>
            </w:tcBorders>
            <w:vAlign w:val="center"/>
          </w:tcPr>
          <w:p w14:paraId="3B5CA41C" w14:textId="77777777" w:rsidR="0002780C" w:rsidRPr="00A54649" w:rsidRDefault="0002780C" w:rsidP="005834DD">
            <w:pPr>
              <w:spacing w:after="0"/>
              <w:jc w:val="center"/>
              <w:rPr>
                <w:sz w:val="18"/>
                <w:szCs w:val="18"/>
                <w:lang w:val="en-AU" w:eastAsia="en-US"/>
              </w:rPr>
            </w:pPr>
            <w:r w:rsidRPr="00A54649">
              <w:rPr>
                <w:sz w:val="18"/>
                <w:szCs w:val="18"/>
                <w:lang w:val="en-AU" w:eastAsia="en-US"/>
              </w:rPr>
              <w:t>Approved</w:t>
            </w:r>
          </w:p>
        </w:tc>
        <w:tc>
          <w:tcPr>
            <w:tcW w:w="1559" w:type="dxa"/>
            <w:tcBorders>
              <w:bottom w:val="single" w:sz="8" w:space="0" w:color="000000"/>
              <w:right w:val="single" w:sz="8" w:space="0" w:color="000000"/>
            </w:tcBorders>
            <w:vAlign w:val="center"/>
          </w:tcPr>
          <w:p w14:paraId="6C10A7BA" w14:textId="77777777" w:rsidR="0002780C" w:rsidRPr="00A54649" w:rsidRDefault="0002780C" w:rsidP="005834DD">
            <w:pPr>
              <w:spacing w:after="0"/>
              <w:jc w:val="center"/>
              <w:rPr>
                <w:sz w:val="18"/>
                <w:szCs w:val="18"/>
                <w:lang w:val="en-AU" w:eastAsia="en-US"/>
              </w:rPr>
            </w:pPr>
            <w:r w:rsidRPr="00A54649">
              <w:rPr>
                <w:sz w:val="18"/>
                <w:szCs w:val="18"/>
                <w:lang w:val="en-AU" w:eastAsia="en-US"/>
              </w:rPr>
              <w:t>Approved</w:t>
            </w:r>
          </w:p>
        </w:tc>
        <w:tc>
          <w:tcPr>
            <w:tcW w:w="1583" w:type="dxa"/>
            <w:tcBorders>
              <w:bottom w:val="single" w:sz="8" w:space="0" w:color="000000"/>
              <w:right w:val="single" w:sz="8" w:space="0" w:color="000000"/>
            </w:tcBorders>
            <w:vAlign w:val="center"/>
          </w:tcPr>
          <w:p w14:paraId="55FF7771" w14:textId="77777777" w:rsidR="0002780C" w:rsidRPr="00A54649" w:rsidRDefault="0002780C" w:rsidP="005834DD">
            <w:pPr>
              <w:spacing w:after="0"/>
              <w:jc w:val="center"/>
              <w:rPr>
                <w:sz w:val="18"/>
                <w:szCs w:val="18"/>
                <w:lang w:val="en-AU" w:eastAsia="en-US"/>
              </w:rPr>
            </w:pPr>
            <w:r w:rsidRPr="00A54649">
              <w:rPr>
                <w:sz w:val="18"/>
                <w:szCs w:val="18"/>
                <w:lang w:val="en-AU" w:eastAsia="en-US"/>
              </w:rPr>
              <w:t>Approved</w:t>
            </w:r>
          </w:p>
        </w:tc>
        <w:tc>
          <w:tcPr>
            <w:tcW w:w="1677" w:type="dxa"/>
            <w:tcBorders>
              <w:bottom w:val="single" w:sz="8" w:space="0" w:color="000000"/>
              <w:right w:val="single" w:sz="8" w:space="0" w:color="000000"/>
            </w:tcBorders>
            <w:vAlign w:val="center"/>
          </w:tcPr>
          <w:p w14:paraId="4496010B" w14:textId="77777777" w:rsidR="0002780C" w:rsidRPr="00A54649" w:rsidRDefault="0002780C" w:rsidP="005834DD">
            <w:pPr>
              <w:spacing w:after="0"/>
              <w:jc w:val="center"/>
              <w:rPr>
                <w:sz w:val="18"/>
                <w:szCs w:val="18"/>
                <w:lang w:val="en-AU" w:eastAsia="en-US"/>
              </w:rPr>
            </w:pPr>
            <w:r w:rsidRPr="00A54649">
              <w:rPr>
                <w:sz w:val="18"/>
                <w:szCs w:val="18"/>
                <w:lang w:val="en-AU" w:eastAsia="en-US"/>
              </w:rPr>
              <w:t>Not Determined</w:t>
            </w:r>
          </w:p>
        </w:tc>
        <w:tc>
          <w:tcPr>
            <w:tcW w:w="1559" w:type="dxa"/>
            <w:tcBorders>
              <w:bottom w:val="single" w:sz="8" w:space="0" w:color="000000"/>
              <w:right w:val="single" w:sz="8" w:space="0" w:color="000000"/>
            </w:tcBorders>
            <w:vAlign w:val="center"/>
          </w:tcPr>
          <w:p w14:paraId="49B2D86A" w14:textId="77777777" w:rsidR="0002780C" w:rsidRPr="00A54649" w:rsidRDefault="0002780C" w:rsidP="005834DD">
            <w:pPr>
              <w:spacing w:after="0"/>
              <w:jc w:val="center"/>
              <w:rPr>
                <w:sz w:val="18"/>
                <w:szCs w:val="18"/>
                <w:lang w:val="en-AU" w:eastAsia="en-US"/>
              </w:rPr>
            </w:pPr>
            <w:r w:rsidRPr="00A54649">
              <w:rPr>
                <w:sz w:val="18"/>
                <w:szCs w:val="18"/>
                <w:lang w:val="en-AU" w:eastAsia="en-US"/>
              </w:rPr>
              <w:t>Approved</w:t>
            </w:r>
          </w:p>
        </w:tc>
      </w:tr>
      <w:tr w:rsidR="0002780C" w:rsidRPr="00A54649" w14:paraId="59608E28" w14:textId="77777777" w:rsidTr="000D5CF7">
        <w:tc>
          <w:tcPr>
            <w:tcW w:w="1986" w:type="dxa"/>
            <w:tcBorders>
              <w:left w:val="single" w:sz="8" w:space="0" w:color="000000"/>
              <w:bottom w:val="single" w:sz="8" w:space="0" w:color="000000"/>
              <w:right w:val="single" w:sz="8" w:space="0" w:color="000000"/>
            </w:tcBorders>
            <w:vAlign w:val="center"/>
          </w:tcPr>
          <w:p w14:paraId="47BD8759" w14:textId="77777777" w:rsidR="0002780C" w:rsidRPr="00A54649" w:rsidRDefault="0002780C" w:rsidP="005834DD">
            <w:pPr>
              <w:spacing w:after="0"/>
              <w:rPr>
                <w:sz w:val="18"/>
                <w:szCs w:val="18"/>
                <w:lang w:val="en-AU" w:eastAsia="en-US"/>
              </w:rPr>
            </w:pPr>
            <w:r w:rsidRPr="00A54649">
              <w:rPr>
                <w:sz w:val="18"/>
                <w:szCs w:val="18"/>
                <w:lang w:val="en-AU" w:eastAsia="en-US"/>
              </w:rPr>
              <w:t>Argon Plasma Arc</w:t>
            </w:r>
          </w:p>
        </w:tc>
        <w:tc>
          <w:tcPr>
            <w:tcW w:w="1559" w:type="dxa"/>
            <w:tcBorders>
              <w:bottom w:val="single" w:sz="8" w:space="0" w:color="000000"/>
              <w:right w:val="single" w:sz="8" w:space="0" w:color="000000"/>
            </w:tcBorders>
            <w:vAlign w:val="center"/>
          </w:tcPr>
          <w:p w14:paraId="4CFE3FF7" w14:textId="77777777" w:rsidR="0002780C" w:rsidRPr="00A54649" w:rsidRDefault="0002780C" w:rsidP="005834DD">
            <w:pPr>
              <w:spacing w:after="0"/>
              <w:jc w:val="center"/>
              <w:rPr>
                <w:sz w:val="18"/>
                <w:szCs w:val="18"/>
                <w:lang w:val="en-AU" w:eastAsia="en-US"/>
              </w:rPr>
            </w:pPr>
            <w:r w:rsidRPr="00A54649">
              <w:rPr>
                <w:sz w:val="18"/>
                <w:szCs w:val="18"/>
                <w:lang w:val="en-AU" w:eastAsia="en-US"/>
              </w:rPr>
              <w:t>Approved</w:t>
            </w:r>
          </w:p>
        </w:tc>
        <w:tc>
          <w:tcPr>
            <w:tcW w:w="1701" w:type="dxa"/>
            <w:tcBorders>
              <w:bottom w:val="single" w:sz="8" w:space="0" w:color="000000"/>
              <w:right w:val="single" w:sz="8" w:space="0" w:color="000000"/>
            </w:tcBorders>
            <w:vAlign w:val="center"/>
          </w:tcPr>
          <w:p w14:paraId="50E8D061" w14:textId="77777777" w:rsidR="0002780C" w:rsidRPr="00A54649" w:rsidRDefault="0002780C" w:rsidP="005834DD">
            <w:pPr>
              <w:spacing w:after="0"/>
              <w:jc w:val="center"/>
              <w:rPr>
                <w:sz w:val="18"/>
                <w:szCs w:val="18"/>
                <w:lang w:val="en-AU" w:eastAsia="en-US"/>
              </w:rPr>
            </w:pPr>
            <w:r w:rsidRPr="00A54649">
              <w:rPr>
                <w:sz w:val="18"/>
                <w:szCs w:val="18"/>
                <w:lang w:val="en-AU" w:eastAsia="en-US"/>
              </w:rPr>
              <w:t>Approved</w:t>
            </w:r>
          </w:p>
        </w:tc>
        <w:tc>
          <w:tcPr>
            <w:tcW w:w="1417" w:type="dxa"/>
            <w:tcBorders>
              <w:bottom w:val="single" w:sz="8" w:space="0" w:color="000000"/>
              <w:right w:val="single" w:sz="8" w:space="0" w:color="000000"/>
            </w:tcBorders>
            <w:vAlign w:val="center"/>
          </w:tcPr>
          <w:p w14:paraId="0E8EF76D" w14:textId="77777777" w:rsidR="0002780C" w:rsidRPr="00A54649" w:rsidRDefault="0002780C" w:rsidP="005834DD">
            <w:pPr>
              <w:spacing w:after="0"/>
              <w:jc w:val="center"/>
              <w:rPr>
                <w:sz w:val="18"/>
                <w:szCs w:val="18"/>
                <w:lang w:val="en-AU" w:eastAsia="en-US"/>
              </w:rPr>
            </w:pPr>
            <w:r w:rsidRPr="00A54649">
              <w:rPr>
                <w:sz w:val="18"/>
                <w:szCs w:val="18"/>
                <w:lang w:val="en-AU" w:eastAsia="en-US"/>
              </w:rPr>
              <w:t>Approved</w:t>
            </w:r>
          </w:p>
        </w:tc>
        <w:tc>
          <w:tcPr>
            <w:tcW w:w="1560" w:type="dxa"/>
            <w:tcBorders>
              <w:bottom w:val="single" w:sz="8" w:space="0" w:color="000000"/>
              <w:right w:val="single" w:sz="8" w:space="0" w:color="000000"/>
            </w:tcBorders>
            <w:vAlign w:val="center"/>
          </w:tcPr>
          <w:p w14:paraId="1DB6D070" w14:textId="77777777" w:rsidR="0002780C" w:rsidRPr="00A54649" w:rsidRDefault="0002780C" w:rsidP="005834DD">
            <w:pPr>
              <w:spacing w:after="0"/>
              <w:jc w:val="center"/>
              <w:rPr>
                <w:sz w:val="18"/>
                <w:szCs w:val="18"/>
                <w:lang w:val="en-AU" w:eastAsia="en-US"/>
              </w:rPr>
            </w:pPr>
            <w:r w:rsidRPr="00A54649">
              <w:rPr>
                <w:sz w:val="18"/>
                <w:szCs w:val="18"/>
                <w:lang w:val="en-AU" w:eastAsia="en-US"/>
              </w:rPr>
              <w:t>Approved</w:t>
            </w:r>
          </w:p>
        </w:tc>
        <w:tc>
          <w:tcPr>
            <w:tcW w:w="1559" w:type="dxa"/>
            <w:tcBorders>
              <w:bottom w:val="single" w:sz="8" w:space="0" w:color="000000"/>
              <w:right w:val="single" w:sz="8" w:space="0" w:color="000000"/>
            </w:tcBorders>
            <w:vAlign w:val="center"/>
          </w:tcPr>
          <w:p w14:paraId="0967293D" w14:textId="77777777" w:rsidR="0002780C" w:rsidRPr="00A54649" w:rsidRDefault="0002780C" w:rsidP="005834DD">
            <w:pPr>
              <w:spacing w:after="0"/>
              <w:jc w:val="center"/>
              <w:rPr>
                <w:sz w:val="18"/>
                <w:szCs w:val="18"/>
                <w:lang w:val="en-AU" w:eastAsia="en-US"/>
              </w:rPr>
            </w:pPr>
            <w:r w:rsidRPr="00A54649">
              <w:rPr>
                <w:sz w:val="18"/>
                <w:szCs w:val="18"/>
                <w:lang w:val="en-AU" w:eastAsia="en-US"/>
              </w:rPr>
              <w:t>Approved</w:t>
            </w:r>
          </w:p>
        </w:tc>
        <w:tc>
          <w:tcPr>
            <w:tcW w:w="1583" w:type="dxa"/>
            <w:tcBorders>
              <w:bottom w:val="single" w:sz="8" w:space="0" w:color="000000"/>
              <w:right w:val="single" w:sz="8" w:space="0" w:color="000000"/>
            </w:tcBorders>
            <w:vAlign w:val="center"/>
          </w:tcPr>
          <w:p w14:paraId="55A5C6C0" w14:textId="77777777" w:rsidR="0002780C" w:rsidRPr="00A54649" w:rsidRDefault="0002780C" w:rsidP="005834DD">
            <w:pPr>
              <w:spacing w:after="0"/>
              <w:jc w:val="center"/>
              <w:rPr>
                <w:sz w:val="18"/>
                <w:szCs w:val="18"/>
                <w:lang w:val="en-AU" w:eastAsia="en-US"/>
              </w:rPr>
            </w:pPr>
            <w:r w:rsidRPr="00A54649">
              <w:rPr>
                <w:sz w:val="18"/>
                <w:szCs w:val="18"/>
                <w:lang w:val="en-AU" w:eastAsia="en-US"/>
              </w:rPr>
              <w:t>Approved</w:t>
            </w:r>
          </w:p>
        </w:tc>
        <w:tc>
          <w:tcPr>
            <w:tcW w:w="1677" w:type="dxa"/>
            <w:tcBorders>
              <w:bottom w:val="single" w:sz="8" w:space="0" w:color="000000"/>
              <w:right w:val="single" w:sz="8" w:space="0" w:color="000000"/>
            </w:tcBorders>
            <w:vAlign w:val="center"/>
          </w:tcPr>
          <w:p w14:paraId="53C6996D" w14:textId="77777777" w:rsidR="0002780C" w:rsidRPr="00A54649" w:rsidRDefault="0002780C" w:rsidP="005834DD">
            <w:pPr>
              <w:spacing w:after="0"/>
              <w:jc w:val="center"/>
              <w:rPr>
                <w:sz w:val="18"/>
                <w:szCs w:val="18"/>
                <w:lang w:val="en-AU" w:eastAsia="en-US"/>
              </w:rPr>
            </w:pPr>
            <w:r w:rsidRPr="00A54649">
              <w:rPr>
                <w:sz w:val="18"/>
                <w:szCs w:val="18"/>
                <w:lang w:val="en-AU" w:eastAsia="en-US"/>
              </w:rPr>
              <w:t>Not Determined</w:t>
            </w:r>
          </w:p>
        </w:tc>
        <w:tc>
          <w:tcPr>
            <w:tcW w:w="1559" w:type="dxa"/>
            <w:tcBorders>
              <w:bottom w:val="single" w:sz="8" w:space="0" w:color="000000"/>
              <w:right w:val="single" w:sz="8" w:space="0" w:color="000000"/>
            </w:tcBorders>
            <w:vAlign w:val="center"/>
          </w:tcPr>
          <w:p w14:paraId="04F8D719" w14:textId="77777777" w:rsidR="0002780C" w:rsidRPr="00A54649" w:rsidRDefault="0002780C" w:rsidP="005834DD">
            <w:pPr>
              <w:spacing w:after="0"/>
              <w:jc w:val="center"/>
              <w:rPr>
                <w:sz w:val="18"/>
                <w:szCs w:val="18"/>
                <w:lang w:val="en-AU" w:eastAsia="en-US"/>
              </w:rPr>
            </w:pPr>
          </w:p>
        </w:tc>
      </w:tr>
      <w:tr w:rsidR="0002780C" w:rsidRPr="00A54649" w14:paraId="73852271" w14:textId="77777777" w:rsidTr="000D5CF7">
        <w:tc>
          <w:tcPr>
            <w:tcW w:w="1986" w:type="dxa"/>
            <w:tcBorders>
              <w:left w:val="single" w:sz="8" w:space="0" w:color="000000"/>
              <w:bottom w:val="single" w:sz="8" w:space="0" w:color="000000"/>
              <w:right w:val="single" w:sz="8" w:space="0" w:color="000000"/>
            </w:tcBorders>
            <w:vAlign w:val="center"/>
          </w:tcPr>
          <w:p w14:paraId="683A7796" w14:textId="77777777" w:rsidR="0002780C" w:rsidRPr="00A54649" w:rsidRDefault="0002780C" w:rsidP="005834DD">
            <w:pPr>
              <w:spacing w:after="0"/>
              <w:rPr>
                <w:sz w:val="18"/>
                <w:szCs w:val="18"/>
                <w:lang w:val="en-AU" w:eastAsia="en-US"/>
              </w:rPr>
            </w:pPr>
            <w:r w:rsidRPr="00A54649">
              <w:rPr>
                <w:sz w:val="18"/>
                <w:szCs w:val="18"/>
                <w:lang w:val="en-AU" w:eastAsia="en-US"/>
              </w:rPr>
              <w:t>Inductively coupled radio frequency plasma</w:t>
            </w:r>
          </w:p>
        </w:tc>
        <w:tc>
          <w:tcPr>
            <w:tcW w:w="1559" w:type="dxa"/>
            <w:tcBorders>
              <w:bottom w:val="single" w:sz="8" w:space="0" w:color="000000"/>
              <w:right w:val="single" w:sz="8" w:space="0" w:color="000000"/>
            </w:tcBorders>
            <w:vAlign w:val="center"/>
          </w:tcPr>
          <w:p w14:paraId="260A9447" w14:textId="77777777" w:rsidR="0002780C" w:rsidRPr="00A54649" w:rsidRDefault="0002780C" w:rsidP="005834DD">
            <w:pPr>
              <w:spacing w:after="0"/>
              <w:jc w:val="center"/>
              <w:rPr>
                <w:sz w:val="18"/>
                <w:szCs w:val="18"/>
                <w:lang w:val="en-AU" w:eastAsia="en-US"/>
              </w:rPr>
            </w:pPr>
            <w:r w:rsidRPr="00A54649">
              <w:rPr>
                <w:sz w:val="18"/>
                <w:szCs w:val="18"/>
                <w:lang w:val="en-AU" w:eastAsia="en-US"/>
              </w:rPr>
              <w:t>Approved</w:t>
            </w:r>
          </w:p>
        </w:tc>
        <w:tc>
          <w:tcPr>
            <w:tcW w:w="1701" w:type="dxa"/>
            <w:tcBorders>
              <w:bottom w:val="single" w:sz="8" w:space="0" w:color="000000"/>
              <w:right w:val="single" w:sz="8" w:space="0" w:color="000000"/>
            </w:tcBorders>
            <w:vAlign w:val="center"/>
          </w:tcPr>
          <w:p w14:paraId="7EE73903" w14:textId="77777777" w:rsidR="0002780C" w:rsidRPr="00A54649" w:rsidRDefault="0002780C" w:rsidP="005834DD">
            <w:pPr>
              <w:spacing w:after="0"/>
              <w:jc w:val="center"/>
              <w:rPr>
                <w:sz w:val="18"/>
                <w:szCs w:val="18"/>
                <w:lang w:val="en-AU" w:eastAsia="en-US"/>
              </w:rPr>
            </w:pPr>
            <w:r w:rsidRPr="00A54649">
              <w:rPr>
                <w:sz w:val="18"/>
                <w:szCs w:val="18"/>
                <w:lang w:val="en-AU" w:eastAsia="en-US"/>
              </w:rPr>
              <w:t>Approved</w:t>
            </w:r>
          </w:p>
        </w:tc>
        <w:tc>
          <w:tcPr>
            <w:tcW w:w="1417" w:type="dxa"/>
            <w:tcBorders>
              <w:bottom w:val="single" w:sz="8" w:space="0" w:color="000000"/>
              <w:right w:val="single" w:sz="8" w:space="0" w:color="000000"/>
            </w:tcBorders>
            <w:vAlign w:val="center"/>
          </w:tcPr>
          <w:p w14:paraId="07832466" w14:textId="77777777" w:rsidR="0002780C" w:rsidRPr="00A54649" w:rsidRDefault="0002780C" w:rsidP="005834DD">
            <w:pPr>
              <w:spacing w:after="0"/>
              <w:jc w:val="center"/>
              <w:rPr>
                <w:sz w:val="18"/>
                <w:szCs w:val="18"/>
                <w:lang w:val="en-AU" w:eastAsia="en-US"/>
              </w:rPr>
            </w:pPr>
            <w:r w:rsidRPr="00A54649">
              <w:rPr>
                <w:sz w:val="18"/>
                <w:szCs w:val="18"/>
                <w:lang w:val="en-AU" w:eastAsia="en-US"/>
              </w:rPr>
              <w:t>Approved</w:t>
            </w:r>
          </w:p>
        </w:tc>
        <w:tc>
          <w:tcPr>
            <w:tcW w:w="1560" w:type="dxa"/>
            <w:tcBorders>
              <w:bottom w:val="single" w:sz="8" w:space="0" w:color="000000"/>
              <w:right w:val="single" w:sz="8" w:space="0" w:color="000000"/>
            </w:tcBorders>
            <w:vAlign w:val="center"/>
          </w:tcPr>
          <w:p w14:paraId="4D181DB8" w14:textId="77777777" w:rsidR="0002780C" w:rsidRPr="00A54649" w:rsidRDefault="0002780C" w:rsidP="005834DD">
            <w:pPr>
              <w:spacing w:after="0"/>
              <w:jc w:val="center"/>
              <w:rPr>
                <w:sz w:val="18"/>
                <w:szCs w:val="18"/>
                <w:lang w:val="en-AU" w:eastAsia="en-US"/>
              </w:rPr>
            </w:pPr>
            <w:r w:rsidRPr="00A54649">
              <w:rPr>
                <w:sz w:val="18"/>
                <w:szCs w:val="18"/>
                <w:lang w:val="en-AU" w:eastAsia="en-US"/>
              </w:rPr>
              <w:t>Approved</w:t>
            </w:r>
          </w:p>
        </w:tc>
        <w:tc>
          <w:tcPr>
            <w:tcW w:w="1559" w:type="dxa"/>
            <w:tcBorders>
              <w:bottom w:val="single" w:sz="8" w:space="0" w:color="000000"/>
              <w:right w:val="single" w:sz="8" w:space="0" w:color="000000"/>
            </w:tcBorders>
            <w:vAlign w:val="center"/>
          </w:tcPr>
          <w:p w14:paraId="3138EC51" w14:textId="77777777" w:rsidR="0002780C" w:rsidRPr="00A54649" w:rsidRDefault="0002780C" w:rsidP="005834DD">
            <w:pPr>
              <w:spacing w:after="0"/>
              <w:jc w:val="center"/>
              <w:rPr>
                <w:sz w:val="18"/>
                <w:szCs w:val="18"/>
                <w:lang w:val="en-AU" w:eastAsia="en-US"/>
              </w:rPr>
            </w:pPr>
            <w:r w:rsidRPr="00A54649">
              <w:rPr>
                <w:sz w:val="18"/>
                <w:szCs w:val="18"/>
                <w:lang w:val="en-AU" w:eastAsia="en-US"/>
              </w:rPr>
              <w:t>Approved</w:t>
            </w:r>
          </w:p>
        </w:tc>
        <w:tc>
          <w:tcPr>
            <w:tcW w:w="1583" w:type="dxa"/>
            <w:tcBorders>
              <w:bottom w:val="single" w:sz="8" w:space="0" w:color="000000"/>
              <w:right w:val="single" w:sz="8" w:space="0" w:color="000000"/>
            </w:tcBorders>
            <w:vAlign w:val="center"/>
          </w:tcPr>
          <w:p w14:paraId="6FCEBC69" w14:textId="77777777" w:rsidR="0002780C" w:rsidRPr="00A54649" w:rsidRDefault="0002780C" w:rsidP="005834DD">
            <w:pPr>
              <w:spacing w:after="0"/>
              <w:jc w:val="center"/>
              <w:rPr>
                <w:sz w:val="18"/>
                <w:szCs w:val="18"/>
                <w:lang w:val="en-AU" w:eastAsia="en-US"/>
              </w:rPr>
            </w:pPr>
            <w:r w:rsidRPr="00A54649">
              <w:rPr>
                <w:sz w:val="18"/>
                <w:szCs w:val="18"/>
                <w:lang w:val="en-AU" w:eastAsia="en-US"/>
              </w:rPr>
              <w:t>Approved</w:t>
            </w:r>
          </w:p>
        </w:tc>
        <w:tc>
          <w:tcPr>
            <w:tcW w:w="1677" w:type="dxa"/>
            <w:tcBorders>
              <w:bottom w:val="single" w:sz="8" w:space="0" w:color="000000"/>
              <w:right w:val="single" w:sz="8" w:space="0" w:color="000000"/>
            </w:tcBorders>
            <w:vAlign w:val="center"/>
          </w:tcPr>
          <w:p w14:paraId="691EF1F1" w14:textId="77777777" w:rsidR="0002780C" w:rsidRPr="00A54649" w:rsidRDefault="0002780C" w:rsidP="005834DD">
            <w:pPr>
              <w:spacing w:after="0"/>
              <w:jc w:val="center"/>
              <w:rPr>
                <w:sz w:val="18"/>
                <w:szCs w:val="18"/>
                <w:lang w:val="en-AU" w:eastAsia="en-US"/>
              </w:rPr>
            </w:pPr>
            <w:r w:rsidRPr="00A54649">
              <w:rPr>
                <w:sz w:val="18"/>
                <w:szCs w:val="18"/>
                <w:lang w:val="en-AU" w:eastAsia="en-US"/>
              </w:rPr>
              <w:t>Not Determined</w:t>
            </w:r>
          </w:p>
        </w:tc>
        <w:tc>
          <w:tcPr>
            <w:tcW w:w="1559" w:type="dxa"/>
            <w:tcBorders>
              <w:bottom w:val="single" w:sz="8" w:space="0" w:color="000000"/>
              <w:right w:val="single" w:sz="8" w:space="0" w:color="000000"/>
            </w:tcBorders>
            <w:vAlign w:val="center"/>
          </w:tcPr>
          <w:p w14:paraId="633496AC" w14:textId="77777777" w:rsidR="0002780C" w:rsidRPr="00A54649" w:rsidRDefault="0002780C" w:rsidP="005834DD">
            <w:pPr>
              <w:spacing w:after="0"/>
              <w:jc w:val="center"/>
              <w:rPr>
                <w:sz w:val="18"/>
                <w:szCs w:val="18"/>
                <w:lang w:val="en-AU" w:eastAsia="en-US"/>
              </w:rPr>
            </w:pPr>
          </w:p>
        </w:tc>
      </w:tr>
      <w:tr w:rsidR="0002780C" w:rsidRPr="00A54649" w14:paraId="74B28903" w14:textId="77777777" w:rsidTr="000D5CF7">
        <w:tc>
          <w:tcPr>
            <w:tcW w:w="1986" w:type="dxa"/>
            <w:tcBorders>
              <w:left w:val="single" w:sz="8" w:space="0" w:color="000000"/>
              <w:bottom w:val="single" w:sz="8" w:space="0" w:color="000000"/>
              <w:right w:val="single" w:sz="8" w:space="0" w:color="000000"/>
            </w:tcBorders>
            <w:vAlign w:val="center"/>
          </w:tcPr>
          <w:p w14:paraId="558740B6" w14:textId="77777777" w:rsidR="0002780C" w:rsidRPr="00A54649" w:rsidRDefault="0002780C" w:rsidP="005834DD">
            <w:pPr>
              <w:spacing w:after="0"/>
              <w:rPr>
                <w:sz w:val="18"/>
                <w:szCs w:val="18"/>
                <w:lang w:val="en-AU" w:eastAsia="en-US"/>
              </w:rPr>
            </w:pPr>
            <w:r w:rsidRPr="00A54649">
              <w:rPr>
                <w:sz w:val="18"/>
                <w:szCs w:val="18"/>
                <w:lang w:val="en-AU" w:eastAsia="en-US"/>
              </w:rPr>
              <w:t>Microwave Plasma</w:t>
            </w:r>
          </w:p>
        </w:tc>
        <w:tc>
          <w:tcPr>
            <w:tcW w:w="1559" w:type="dxa"/>
            <w:tcBorders>
              <w:bottom w:val="single" w:sz="8" w:space="0" w:color="000000"/>
              <w:right w:val="single" w:sz="8" w:space="0" w:color="000000"/>
            </w:tcBorders>
            <w:vAlign w:val="center"/>
          </w:tcPr>
          <w:p w14:paraId="40CA631A" w14:textId="77777777" w:rsidR="0002780C" w:rsidRPr="00A54649" w:rsidRDefault="0002780C" w:rsidP="005834DD">
            <w:pPr>
              <w:spacing w:after="0"/>
              <w:jc w:val="center"/>
              <w:rPr>
                <w:sz w:val="18"/>
                <w:szCs w:val="18"/>
                <w:lang w:val="en-AU" w:eastAsia="en-US"/>
              </w:rPr>
            </w:pPr>
            <w:r w:rsidRPr="00A54649">
              <w:rPr>
                <w:sz w:val="18"/>
                <w:szCs w:val="18"/>
                <w:lang w:val="en-AU" w:eastAsia="en-US"/>
              </w:rPr>
              <w:t>Approved</w:t>
            </w:r>
          </w:p>
        </w:tc>
        <w:tc>
          <w:tcPr>
            <w:tcW w:w="1701" w:type="dxa"/>
            <w:tcBorders>
              <w:bottom w:val="single" w:sz="8" w:space="0" w:color="000000"/>
              <w:right w:val="single" w:sz="8" w:space="0" w:color="000000"/>
            </w:tcBorders>
            <w:vAlign w:val="center"/>
          </w:tcPr>
          <w:p w14:paraId="2F48C63F" w14:textId="77777777" w:rsidR="0002780C" w:rsidRPr="00A54649" w:rsidRDefault="0002780C" w:rsidP="005834DD">
            <w:pPr>
              <w:spacing w:after="0"/>
              <w:jc w:val="center"/>
              <w:rPr>
                <w:sz w:val="18"/>
                <w:szCs w:val="18"/>
                <w:lang w:val="en-AU" w:eastAsia="en-US"/>
              </w:rPr>
            </w:pPr>
            <w:r w:rsidRPr="00A54649">
              <w:rPr>
                <w:sz w:val="18"/>
                <w:szCs w:val="18"/>
                <w:lang w:val="en-AU" w:eastAsia="en-US"/>
              </w:rPr>
              <w:t>Not Determined</w:t>
            </w:r>
          </w:p>
        </w:tc>
        <w:tc>
          <w:tcPr>
            <w:tcW w:w="1417" w:type="dxa"/>
            <w:tcBorders>
              <w:bottom w:val="single" w:sz="8" w:space="0" w:color="000000"/>
              <w:right w:val="single" w:sz="8" w:space="0" w:color="000000"/>
            </w:tcBorders>
            <w:vAlign w:val="center"/>
          </w:tcPr>
          <w:p w14:paraId="15EA24A6" w14:textId="77777777" w:rsidR="0002780C" w:rsidRPr="00A54649" w:rsidRDefault="0002780C" w:rsidP="005834DD">
            <w:pPr>
              <w:spacing w:after="0"/>
              <w:jc w:val="center"/>
              <w:rPr>
                <w:sz w:val="18"/>
                <w:szCs w:val="18"/>
                <w:lang w:val="en-AU" w:eastAsia="en-US"/>
              </w:rPr>
            </w:pPr>
            <w:r w:rsidRPr="00A54649">
              <w:rPr>
                <w:sz w:val="18"/>
                <w:szCs w:val="18"/>
                <w:lang w:val="en-AU" w:eastAsia="en-US"/>
              </w:rPr>
              <w:t>Approved</w:t>
            </w:r>
          </w:p>
        </w:tc>
        <w:tc>
          <w:tcPr>
            <w:tcW w:w="1560" w:type="dxa"/>
            <w:tcBorders>
              <w:bottom w:val="single" w:sz="8" w:space="0" w:color="000000"/>
              <w:right w:val="single" w:sz="8" w:space="0" w:color="000000"/>
            </w:tcBorders>
            <w:vAlign w:val="center"/>
          </w:tcPr>
          <w:p w14:paraId="528CABE7" w14:textId="77777777" w:rsidR="0002780C" w:rsidRPr="00A54649" w:rsidRDefault="0002780C" w:rsidP="005834DD">
            <w:pPr>
              <w:spacing w:after="0"/>
              <w:jc w:val="center"/>
              <w:rPr>
                <w:sz w:val="18"/>
                <w:szCs w:val="18"/>
                <w:lang w:val="en-AU" w:eastAsia="en-US"/>
              </w:rPr>
            </w:pPr>
            <w:r w:rsidRPr="00A54649">
              <w:rPr>
                <w:sz w:val="18"/>
                <w:szCs w:val="18"/>
                <w:lang w:val="en-AU" w:eastAsia="en-US"/>
              </w:rPr>
              <w:t>Approved</w:t>
            </w:r>
          </w:p>
        </w:tc>
        <w:tc>
          <w:tcPr>
            <w:tcW w:w="1559" w:type="dxa"/>
            <w:tcBorders>
              <w:bottom w:val="single" w:sz="8" w:space="0" w:color="000000"/>
              <w:right w:val="single" w:sz="8" w:space="0" w:color="000000"/>
            </w:tcBorders>
            <w:vAlign w:val="center"/>
          </w:tcPr>
          <w:p w14:paraId="79AB8E36" w14:textId="77777777" w:rsidR="0002780C" w:rsidRPr="00A54649" w:rsidRDefault="0002780C" w:rsidP="005834DD">
            <w:pPr>
              <w:spacing w:after="0"/>
              <w:jc w:val="center"/>
              <w:rPr>
                <w:sz w:val="18"/>
                <w:szCs w:val="18"/>
                <w:lang w:val="en-AU" w:eastAsia="en-US"/>
              </w:rPr>
            </w:pPr>
            <w:r w:rsidRPr="00A54649">
              <w:rPr>
                <w:sz w:val="18"/>
                <w:szCs w:val="18"/>
                <w:lang w:val="en-AU" w:eastAsia="en-US"/>
              </w:rPr>
              <w:t>Approved</w:t>
            </w:r>
          </w:p>
        </w:tc>
        <w:tc>
          <w:tcPr>
            <w:tcW w:w="1583" w:type="dxa"/>
            <w:tcBorders>
              <w:bottom w:val="single" w:sz="8" w:space="0" w:color="000000"/>
              <w:right w:val="single" w:sz="8" w:space="0" w:color="000000"/>
            </w:tcBorders>
            <w:vAlign w:val="center"/>
          </w:tcPr>
          <w:p w14:paraId="457BB0E4" w14:textId="77777777" w:rsidR="0002780C" w:rsidRPr="00A54649" w:rsidRDefault="0002780C" w:rsidP="005834DD">
            <w:pPr>
              <w:spacing w:after="0"/>
              <w:jc w:val="center"/>
              <w:rPr>
                <w:sz w:val="18"/>
                <w:szCs w:val="18"/>
                <w:lang w:val="en-AU" w:eastAsia="en-US"/>
              </w:rPr>
            </w:pPr>
            <w:r w:rsidRPr="00A54649">
              <w:rPr>
                <w:sz w:val="18"/>
                <w:szCs w:val="18"/>
                <w:lang w:val="en-AU" w:eastAsia="en-US"/>
              </w:rPr>
              <w:t>Approved</w:t>
            </w:r>
          </w:p>
        </w:tc>
        <w:tc>
          <w:tcPr>
            <w:tcW w:w="1677" w:type="dxa"/>
            <w:tcBorders>
              <w:bottom w:val="single" w:sz="8" w:space="0" w:color="000000"/>
              <w:right w:val="single" w:sz="8" w:space="0" w:color="000000"/>
            </w:tcBorders>
            <w:vAlign w:val="center"/>
          </w:tcPr>
          <w:p w14:paraId="353DFDA9" w14:textId="77777777" w:rsidR="0002780C" w:rsidRPr="00A54649" w:rsidRDefault="0002780C" w:rsidP="005834DD">
            <w:pPr>
              <w:spacing w:after="0"/>
              <w:jc w:val="center"/>
              <w:rPr>
                <w:sz w:val="18"/>
                <w:szCs w:val="18"/>
                <w:lang w:val="en-AU" w:eastAsia="en-US"/>
              </w:rPr>
            </w:pPr>
            <w:r w:rsidRPr="00A54649">
              <w:rPr>
                <w:sz w:val="18"/>
                <w:szCs w:val="18"/>
                <w:lang w:val="en-AU" w:eastAsia="en-US"/>
              </w:rPr>
              <w:t>Not Determined</w:t>
            </w:r>
          </w:p>
        </w:tc>
        <w:tc>
          <w:tcPr>
            <w:tcW w:w="1559" w:type="dxa"/>
            <w:tcBorders>
              <w:bottom w:val="single" w:sz="8" w:space="0" w:color="000000"/>
              <w:right w:val="single" w:sz="8" w:space="0" w:color="000000"/>
            </w:tcBorders>
            <w:vAlign w:val="center"/>
          </w:tcPr>
          <w:p w14:paraId="26390647" w14:textId="77777777" w:rsidR="0002780C" w:rsidRPr="00A54649" w:rsidRDefault="0002780C" w:rsidP="005834DD">
            <w:pPr>
              <w:spacing w:after="0"/>
              <w:jc w:val="center"/>
              <w:rPr>
                <w:sz w:val="18"/>
                <w:szCs w:val="18"/>
                <w:lang w:val="en-AU" w:eastAsia="en-US"/>
              </w:rPr>
            </w:pPr>
          </w:p>
        </w:tc>
      </w:tr>
      <w:tr w:rsidR="0002780C" w:rsidRPr="00A54649" w14:paraId="3B86BDAE" w14:textId="77777777" w:rsidTr="000D5CF7">
        <w:tc>
          <w:tcPr>
            <w:tcW w:w="1986" w:type="dxa"/>
            <w:tcBorders>
              <w:left w:val="single" w:sz="8" w:space="0" w:color="000000"/>
              <w:bottom w:val="single" w:sz="8" w:space="0" w:color="000000"/>
              <w:right w:val="single" w:sz="8" w:space="0" w:color="000000"/>
            </w:tcBorders>
            <w:vAlign w:val="center"/>
          </w:tcPr>
          <w:p w14:paraId="003F3347" w14:textId="77777777" w:rsidR="0002780C" w:rsidRPr="00A54649" w:rsidRDefault="0002780C" w:rsidP="005834DD">
            <w:pPr>
              <w:spacing w:after="0"/>
              <w:rPr>
                <w:sz w:val="18"/>
                <w:szCs w:val="18"/>
                <w:lang w:val="en-AU" w:eastAsia="en-US"/>
              </w:rPr>
            </w:pPr>
            <w:r w:rsidRPr="00A54649">
              <w:rPr>
                <w:sz w:val="18"/>
                <w:szCs w:val="18"/>
                <w:lang w:val="en-AU" w:eastAsia="en-US"/>
              </w:rPr>
              <w:t>Nitrogen Plasma Arc</w:t>
            </w:r>
          </w:p>
        </w:tc>
        <w:tc>
          <w:tcPr>
            <w:tcW w:w="1559" w:type="dxa"/>
            <w:tcBorders>
              <w:bottom w:val="single" w:sz="8" w:space="0" w:color="000000"/>
              <w:right w:val="single" w:sz="8" w:space="0" w:color="000000"/>
            </w:tcBorders>
            <w:vAlign w:val="center"/>
          </w:tcPr>
          <w:p w14:paraId="139ECF96" w14:textId="77777777" w:rsidR="0002780C" w:rsidRPr="00A54649" w:rsidRDefault="0002780C" w:rsidP="005834DD">
            <w:pPr>
              <w:spacing w:after="0"/>
              <w:jc w:val="center"/>
              <w:rPr>
                <w:sz w:val="18"/>
                <w:szCs w:val="18"/>
                <w:lang w:val="en-AU" w:eastAsia="en-US"/>
              </w:rPr>
            </w:pPr>
            <w:r w:rsidRPr="00A54649">
              <w:rPr>
                <w:sz w:val="18"/>
                <w:szCs w:val="18"/>
                <w:lang w:val="en-AU" w:eastAsia="en-US"/>
              </w:rPr>
              <w:t>Approved</w:t>
            </w:r>
          </w:p>
        </w:tc>
        <w:tc>
          <w:tcPr>
            <w:tcW w:w="1701" w:type="dxa"/>
            <w:tcBorders>
              <w:bottom w:val="single" w:sz="8" w:space="0" w:color="000000"/>
              <w:right w:val="single" w:sz="8" w:space="0" w:color="000000"/>
            </w:tcBorders>
            <w:vAlign w:val="center"/>
          </w:tcPr>
          <w:p w14:paraId="4E8E6816" w14:textId="77777777" w:rsidR="0002780C" w:rsidRPr="00A54649" w:rsidRDefault="0002780C" w:rsidP="005834DD">
            <w:pPr>
              <w:spacing w:after="0"/>
              <w:jc w:val="center"/>
              <w:rPr>
                <w:sz w:val="18"/>
                <w:szCs w:val="18"/>
                <w:lang w:val="en-AU" w:eastAsia="en-US"/>
              </w:rPr>
            </w:pPr>
            <w:r w:rsidRPr="00A54649">
              <w:rPr>
                <w:sz w:val="18"/>
                <w:szCs w:val="18"/>
                <w:lang w:val="en-AU" w:eastAsia="en-US"/>
              </w:rPr>
              <w:t>Not Determined</w:t>
            </w:r>
          </w:p>
        </w:tc>
        <w:tc>
          <w:tcPr>
            <w:tcW w:w="1417" w:type="dxa"/>
            <w:tcBorders>
              <w:bottom w:val="single" w:sz="8" w:space="0" w:color="000000"/>
              <w:right w:val="single" w:sz="8" w:space="0" w:color="000000"/>
            </w:tcBorders>
            <w:vAlign w:val="center"/>
          </w:tcPr>
          <w:p w14:paraId="483BFDD9" w14:textId="77777777" w:rsidR="0002780C" w:rsidRPr="00A54649" w:rsidRDefault="0002780C" w:rsidP="005834DD">
            <w:pPr>
              <w:spacing w:after="0"/>
              <w:jc w:val="center"/>
              <w:rPr>
                <w:sz w:val="18"/>
                <w:szCs w:val="18"/>
                <w:lang w:val="en-AU" w:eastAsia="en-US"/>
              </w:rPr>
            </w:pPr>
            <w:r w:rsidRPr="00A54649">
              <w:rPr>
                <w:sz w:val="18"/>
                <w:szCs w:val="18"/>
                <w:lang w:val="en-AU" w:eastAsia="en-US"/>
              </w:rPr>
              <w:t>Approved</w:t>
            </w:r>
          </w:p>
        </w:tc>
        <w:tc>
          <w:tcPr>
            <w:tcW w:w="1560" w:type="dxa"/>
            <w:tcBorders>
              <w:bottom w:val="single" w:sz="8" w:space="0" w:color="000000"/>
              <w:right w:val="single" w:sz="8" w:space="0" w:color="000000"/>
            </w:tcBorders>
            <w:vAlign w:val="center"/>
          </w:tcPr>
          <w:p w14:paraId="4086426D" w14:textId="77777777" w:rsidR="0002780C" w:rsidRPr="00A54649" w:rsidRDefault="0002780C" w:rsidP="005834DD">
            <w:pPr>
              <w:spacing w:after="0"/>
              <w:jc w:val="center"/>
              <w:rPr>
                <w:sz w:val="18"/>
                <w:szCs w:val="18"/>
                <w:lang w:val="en-AU" w:eastAsia="en-US"/>
              </w:rPr>
            </w:pPr>
            <w:r w:rsidRPr="00A54649">
              <w:rPr>
                <w:sz w:val="18"/>
                <w:szCs w:val="18"/>
                <w:lang w:val="en-AU" w:eastAsia="en-US"/>
              </w:rPr>
              <w:t>Approved</w:t>
            </w:r>
          </w:p>
        </w:tc>
        <w:tc>
          <w:tcPr>
            <w:tcW w:w="1559" w:type="dxa"/>
            <w:tcBorders>
              <w:bottom w:val="single" w:sz="8" w:space="0" w:color="000000"/>
              <w:right w:val="single" w:sz="8" w:space="0" w:color="000000"/>
            </w:tcBorders>
            <w:vAlign w:val="center"/>
          </w:tcPr>
          <w:p w14:paraId="79AF2C35" w14:textId="77777777" w:rsidR="0002780C" w:rsidRPr="00A54649" w:rsidRDefault="0002780C" w:rsidP="005834DD">
            <w:pPr>
              <w:spacing w:after="0"/>
              <w:jc w:val="center"/>
              <w:rPr>
                <w:sz w:val="18"/>
                <w:szCs w:val="18"/>
                <w:lang w:val="en-AU" w:eastAsia="en-US"/>
              </w:rPr>
            </w:pPr>
            <w:r w:rsidRPr="00A54649">
              <w:rPr>
                <w:sz w:val="18"/>
                <w:szCs w:val="18"/>
                <w:lang w:val="en-AU" w:eastAsia="en-US"/>
              </w:rPr>
              <w:t>Approved</w:t>
            </w:r>
          </w:p>
        </w:tc>
        <w:tc>
          <w:tcPr>
            <w:tcW w:w="1583" w:type="dxa"/>
            <w:tcBorders>
              <w:bottom w:val="single" w:sz="8" w:space="0" w:color="000000"/>
              <w:right w:val="single" w:sz="8" w:space="0" w:color="000000"/>
            </w:tcBorders>
            <w:vAlign w:val="center"/>
          </w:tcPr>
          <w:p w14:paraId="503FDA93" w14:textId="77777777" w:rsidR="0002780C" w:rsidRPr="00A54649" w:rsidRDefault="0002780C" w:rsidP="005834DD">
            <w:pPr>
              <w:spacing w:after="0"/>
              <w:jc w:val="center"/>
              <w:rPr>
                <w:sz w:val="18"/>
                <w:szCs w:val="18"/>
                <w:lang w:val="en-AU" w:eastAsia="en-US"/>
              </w:rPr>
            </w:pPr>
            <w:r w:rsidRPr="00A54649">
              <w:rPr>
                <w:sz w:val="18"/>
                <w:szCs w:val="18"/>
                <w:lang w:val="en-AU" w:eastAsia="en-US"/>
              </w:rPr>
              <w:t>Approved</w:t>
            </w:r>
          </w:p>
        </w:tc>
        <w:tc>
          <w:tcPr>
            <w:tcW w:w="1677" w:type="dxa"/>
            <w:tcBorders>
              <w:bottom w:val="single" w:sz="8" w:space="0" w:color="000000"/>
              <w:right w:val="single" w:sz="8" w:space="0" w:color="000000"/>
            </w:tcBorders>
            <w:vAlign w:val="center"/>
          </w:tcPr>
          <w:p w14:paraId="3CB113D7" w14:textId="77777777" w:rsidR="0002780C" w:rsidRPr="00A54649" w:rsidRDefault="0002780C" w:rsidP="005834DD">
            <w:pPr>
              <w:spacing w:after="0"/>
              <w:jc w:val="center"/>
              <w:rPr>
                <w:sz w:val="18"/>
                <w:szCs w:val="18"/>
                <w:lang w:val="en-AU" w:eastAsia="en-US"/>
              </w:rPr>
            </w:pPr>
            <w:r w:rsidRPr="00A54649">
              <w:rPr>
                <w:sz w:val="18"/>
                <w:szCs w:val="18"/>
                <w:lang w:val="en-AU" w:eastAsia="en-US"/>
              </w:rPr>
              <w:t>Not Determined</w:t>
            </w:r>
          </w:p>
        </w:tc>
        <w:tc>
          <w:tcPr>
            <w:tcW w:w="1559" w:type="dxa"/>
            <w:tcBorders>
              <w:bottom w:val="single" w:sz="8" w:space="0" w:color="000000"/>
              <w:right w:val="single" w:sz="8" w:space="0" w:color="000000"/>
            </w:tcBorders>
            <w:vAlign w:val="center"/>
          </w:tcPr>
          <w:p w14:paraId="70530228" w14:textId="77777777" w:rsidR="0002780C" w:rsidRPr="00A54649" w:rsidRDefault="0002780C" w:rsidP="005834DD">
            <w:pPr>
              <w:spacing w:after="0"/>
              <w:jc w:val="center"/>
              <w:rPr>
                <w:sz w:val="18"/>
                <w:szCs w:val="18"/>
                <w:lang w:val="en-AU" w:eastAsia="en-US"/>
              </w:rPr>
            </w:pPr>
          </w:p>
        </w:tc>
      </w:tr>
      <w:tr w:rsidR="0002780C" w:rsidRPr="00A54649" w14:paraId="760D02FA" w14:textId="77777777" w:rsidTr="000D5CF7">
        <w:tc>
          <w:tcPr>
            <w:tcW w:w="1986" w:type="dxa"/>
            <w:tcBorders>
              <w:left w:val="single" w:sz="8" w:space="0" w:color="000000"/>
              <w:bottom w:val="single" w:sz="8" w:space="0" w:color="000000"/>
              <w:right w:val="single" w:sz="8" w:space="0" w:color="000000"/>
            </w:tcBorders>
            <w:vAlign w:val="center"/>
          </w:tcPr>
          <w:p w14:paraId="3B278D82" w14:textId="77777777" w:rsidR="0002780C" w:rsidRPr="00A54649" w:rsidRDefault="0002780C" w:rsidP="005834DD">
            <w:pPr>
              <w:spacing w:after="0"/>
              <w:rPr>
                <w:sz w:val="18"/>
                <w:szCs w:val="18"/>
                <w:lang w:val="en-AU" w:eastAsia="en-US"/>
              </w:rPr>
            </w:pPr>
            <w:r w:rsidRPr="00A54649">
              <w:rPr>
                <w:sz w:val="18"/>
                <w:szCs w:val="18"/>
                <w:lang w:val="en-AU" w:eastAsia="en-US"/>
              </w:rPr>
              <w:t>Portable Plasma Arc</w:t>
            </w:r>
          </w:p>
        </w:tc>
        <w:tc>
          <w:tcPr>
            <w:tcW w:w="1559" w:type="dxa"/>
            <w:tcBorders>
              <w:bottom w:val="single" w:sz="8" w:space="0" w:color="000000"/>
              <w:right w:val="single" w:sz="8" w:space="0" w:color="000000"/>
            </w:tcBorders>
            <w:vAlign w:val="center"/>
          </w:tcPr>
          <w:p w14:paraId="776C9122" w14:textId="77777777" w:rsidR="0002780C" w:rsidRPr="00A54649" w:rsidRDefault="0002780C" w:rsidP="005834DD">
            <w:pPr>
              <w:spacing w:after="0"/>
              <w:jc w:val="center"/>
              <w:rPr>
                <w:sz w:val="18"/>
                <w:szCs w:val="18"/>
                <w:lang w:val="en-AU" w:eastAsia="en-US"/>
              </w:rPr>
            </w:pPr>
            <w:r w:rsidRPr="00A54649">
              <w:rPr>
                <w:sz w:val="18"/>
                <w:szCs w:val="18"/>
                <w:lang w:val="en-AU" w:eastAsia="en-US"/>
              </w:rPr>
              <w:t>Approved</w:t>
            </w:r>
          </w:p>
        </w:tc>
        <w:tc>
          <w:tcPr>
            <w:tcW w:w="1701" w:type="dxa"/>
            <w:tcBorders>
              <w:bottom w:val="single" w:sz="8" w:space="0" w:color="000000"/>
              <w:right w:val="single" w:sz="8" w:space="0" w:color="000000"/>
            </w:tcBorders>
            <w:vAlign w:val="center"/>
          </w:tcPr>
          <w:p w14:paraId="1B08CE8C" w14:textId="77777777" w:rsidR="0002780C" w:rsidRPr="00A54649" w:rsidRDefault="0002780C" w:rsidP="005834DD">
            <w:pPr>
              <w:spacing w:after="0"/>
              <w:jc w:val="center"/>
              <w:rPr>
                <w:sz w:val="18"/>
                <w:szCs w:val="18"/>
                <w:lang w:val="en-AU" w:eastAsia="en-US"/>
              </w:rPr>
            </w:pPr>
            <w:r w:rsidRPr="00A54649">
              <w:rPr>
                <w:sz w:val="18"/>
                <w:szCs w:val="18"/>
                <w:lang w:val="en-AU" w:eastAsia="en-US"/>
              </w:rPr>
              <w:t>Not Determined</w:t>
            </w:r>
          </w:p>
        </w:tc>
        <w:tc>
          <w:tcPr>
            <w:tcW w:w="1417" w:type="dxa"/>
            <w:tcBorders>
              <w:bottom w:val="single" w:sz="8" w:space="0" w:color="000000"/>
              <w:right w:val="single" w:sz="8" w:space="0" w:color="000000"/>
            </w:tcBorders>
            <w:vAlign w:val="center"/>
          </w:tcPr>
          <w:p w14:paraId="3BE89AD0" w14:textId="77777777" w:rsidR="0002780C" w:rsidRPr="00A54649" w:rsidRDefault="0002780C" w:rsidP="005834DD">
            <w:pPr>
              <w:spacing w:after="0"/>
              <w:jc w:val="center"/>
              <w:rPr>
                <w:sz w:val="18"/>
                <w:szCs w:val="18"/>
                <w:lang w:val="en-AU" w:eastAsia="en-US"/>
              </w:rPr>
            </w:pPr>
            <w:r w:rsidRPr="00A54649">
              <w:rPr>
                <w:sz w:val="18"/>
                <w:szCs w:val="18"/>
                <w:lang w:val="en-AU" w:eastAsia="en-US"/>
              </w:rPr>
              <w:t>Approved</w:t>
            </w:r>
          </w:p>
        </w:tc>
        <w:tc>
          <w:tcPr>
            <w:tcW w:w="1560" w:type="dxa"/>
            <w:tcBorders>
              <w:bottom w:val="single" w:sz="8" w:space="0" w:color="000000"/>
              <w:right w:val="single" w:sz="8" w:space="0" w:color="000000"/>
            </w:tcBorders>
            <w:vAlign w:val="center"/>
          </w:tcPr>
          <w:p w14:paraId="6588021D" w14:textId="77777777" w:rsidR="0002780C" w:rsidRPr="00A54649" w:rsidRDefault="0002780C" w:rsidP="005834DD">
            <w:pPr>
              <w:spacing w:after="0"/>
              <w:jc w:val="center"/>
              <w:rPr>
                <w:sz w:val="18"/>
                <w:szCs w:val="18"/>
                <w:lang w:val="en-AU" w:eastAsia="en-US"/>
              </w:rPr>
            </w:pPr>
            <w:r w:rsidRPr="00A54649">
              <w:rPr>
                <w:sz w:val="18"/>
                <w:szCs w:val="18"/>
                <w:lang w:val="en-AU" w:eastAsia="en-US"/>
              </w:rPr>
              <w:t>Approved</w:t>
            </w:r>
          </w:p>
        </w:tc>
        <w:tc>
          <w:tcPr>
            <w:tcW w:w="1559" w:type="dxa"/>
            <w:tcBorders>
              <w:bottom w:val="single" w:sz="8" w:space="0" w:color="000000"/>
              <w:right w:val="single" w:sz="8" w:space="0" w:color="000000"/>
            </w:tcBorders>
            <w:vAlign w:val="center"/>
          </w:tcPr>
          <w:p w14:paraId="2DC60999" w14:textId="77777777" w:rsidR="0002780C" w:rsidRPr="00A54649" w:rsidRDefault="0002780C" w:rsidP="005834DD">
            <w:pPr>
              <w:spacing w:after="0"/>
              <w:jc w:val="center"/>
              <w:rPr>
                <w:sz w:val="18"/>
                <w:szCs w:val="18"/>
                <w:lang w:val="en-AU" w:eastAsia="en-US"/>
              </w:rPr>
            </w:pPr>
            <w:r w:rsidRPr="00A54649">
              <w:rPr>
                <w:sz w:val="18"/>
                <w:szCs w:val="18"/>
                <w:lang w:val="en-AU" w:eastAsia="en-US"/>
              </w:rPr>
              <w:t>Approved</w:t>
            </w:r>
          </w:p>
        </w:tc>
        <w:tc>
          <w:tcPr>
            <w:tcW w:w="1583" w:type="dxa"/>
            <w:tcBorders>
              <w:bottom w:val="single" w:sz="8" w:space="0" w:color="000000"/>
              <w:right w:val="single" w:sz="8" w:space="0" w:color="000000"/>
            </w:tcBorders>
            <w:vAlign w:val="center"/>
          </w:tcPr>
          <w:p w14:paraId="216AFE1D" w14:textId="77777777" w:rsidR="0002780C" w:rsidRPr="00A54649" w:rsidRDefault="0002780C" w:rsidP="005834DD">
            <w:pPr>
              <w:spacing w:after="0"/>
              <w:jc w:val="center"/>
              <w:rPr>
                <w:sz w:val="18"/>
                <w:szCs w:val="18"/>
                <w:lang w:val="en-AU" w:eastAsia="en-US"/>
              </w:rPr>
            </w:pPr>
            <w:r w:rsidRPr="00A54649">
              <w:rPr>
                <w:sz w:val="18"/>
                <w:szCs w:val="18"/>
                <w:lang w:val="en-AU" w:eastAsia="en-US"/>
              </w:rPr>
              <w:t>Approved</w:t>
            </w:r>
          </w:p>
        </w:tc>
        <w:tc>
          <w:tcPr>
            <w:tcW w:w="1677" w:type="dxa"/>
            <w:tcBorders>
              <w:bottom w:val="single" w:sz="8" w:space="0" w:color="000000"/>
              <w:right w:val="single" w:sz="8" w:space="0" w:color="000000"/>
            </w:tcBorders>
            <w:vAlign w:val="center"/>
          </w:tcPr>
          <w:p w14:paraId="20A3559C" w14:textId="77777777" w:rsidR="0002780C" w:rsidRPr="00A54649" w:rsidRDefault="0002780C" w:rsidP="005834DD">
            <w:pPr>
              <w:spacing w:after="0"/>
              <w:jc w:val="center"/>
              <w:rPr>
                <w:sz w:val="18"/>
                <w:szCs w:val="18"/>
                <w:lang w:val="en-AU" w:eastAsia="en-US"/>
              </w:rPr>
            </w:pPr>
            <w:r w:rsidRPr="00A54649">
              <w:rPr>
                <w:sz w:val="18"/>
                <w:szCs w:val="18"/>
                <w:lang w:val="en-AU" w:eastAsia="en-US"/>
              </w:rPr>
              <w:t>Not Determined</w:t>
            </w:r>
          </w:p>
        </w:tc>
        <w:tc>
          <w:tcPr>
            <w:tcW w:w="1559" w:type="dxa"/>
            <w:tcBorders>
              <w:bottom w:val="single" w:sz="8" w:space="0" w:color="000000"/>
              <w:right w:val="single" w:sz="8" w:space="0" w:color="000000"/>
            </w:tcBorders>
            <w:vAlign w:val="center"/>
          </w:tcPr>
          <w:p w14:paraId="3518088E" w14:textId="77777777" w:rsidR="0002780C" w:rsidRPr="00A54649" w:rsidRDefault="0002780C" w:rsidP="005834DD">
            <w:pPr>
              <w:spacing w:after="0"/>
              <w:jc w:val="center"/>
              <w:rPr>
                <w:sz w:val="18"/>
                <w:szCs w:val="18"/>
                <w:lang w:val="en-AU" w:eastAsia="en-US"/>
              </w:rPr>
            </w:pPr>
          </w:p>
        </w:tc>
      </w:tr>
      <w:tr w:rsidR="0002780C" w:rsidRPr="00A54649" w14:paraId="4B7665F0" w14:textId="77777777" w:rsidTr="000D5CF7">
        <w:tc>
          <w:tcPr>
            <w:tcW w:w="1986" w:type="dxa"/>
            <w:tcBorders>
              <w:left w:val="single" w:sz="8" w:space="0" w:color="000000"/>
              <w:bottom w:val="single" w:sz="8" w:space="0" w:color="000000"/>
              <w:right w:val="single" w:sz="8" w:space="0" w:color="000000"/>
            </w:tcBorders>
            <w:vAlign w:val="center"/>
          </w:tcPr>
          <w:p w14:paraId="6C383764" w14:textId="77777777" w:rsidR="0002780C" w:rsidRPr="00A54649" w:rsidRDefault="0002780C" w:rsidP="005834DD">
            <w:pPr>
              <w:spacing w:after="0"/>
              <w:rPr>
                <w:sz w:val="18"/>
                <w:szCs w:val="18"/>
                <w:lang w:val="en-AU" w:eastAsia="en-US"/>
              </w:rPr>
            </w:pPr>
            <w:r w:rsidRPr="00A54649">
              <w:rPr>
                <w:sz w:val="18"/>
                <w:szCs w:val="18"/>
                <w:lang w:val="en-AU" w:eastAsia="en-US"/>
              </w:rPr>
              <w:t>Chemical Reaction with H</w:t>
            </w:r>
            <w:r w:rsidRPr="00A54649">
              <w:rPr>
                <w:sz w:val="18"/>
                <w:szCs w:val="18"/>
                <w:vertAlign w:val="subscript"/>
                <w:lang w:val="en-AU" w:eastAsia="en-US"/>
              </w:rPr>
              <w:t>2</w:t>
            </w:r>
            <w:r w:rsidRPr="00A54649">
              <w:rPr>
                <w:sz w:val="18"/>
                <w:szCs w:val="18"/>
                <w:lang w:val="en-AU" w:eastAsia="en-US"/>
              </w:rPr>
              <w:t xml:space="preserve"> and CO</w:t>
            </w:r>
            <w:r w:rsidRPr="00A54649">
              <w:rPr>
                <w:sz w:val="18"/>
                <w:szCs w:val="18"/>
                <w:vertAlign w:val="subscript"/>
                <w:lang w:val="en-AU" w:eastAsia="en-US"/>
              </w:rPr>
              <w:t>2</w:t>
            </w:r>
          </w:p>
        </w:tc>
        <w:tc>
          <w:tcPr>
            <w:tcW w:w="1559" w:type="dxa"/>
            <w:tcBorders>
              <w:bottom w:val="single" w:sz="8" w:space="0" w:color="000000"/>
              <w:right w:val="single" w:sz="8" w:space="0" w:color="000000"/>
            </w:tcBorders>
            <w:vAlign w:val="center"/>
          </w:tcPr>
          <w:p w14:paraId="43B1D9DC" w14:textId="77777777" w:rsidR="0002780C" w:rsidRPr="00A54649" w:rsidRDefault="0002780C" w:rsidP="005834DD">
            <w:pPr>
              <w:spacing w:after="0"/>
              <w:jc w:val="center"/>
              <w:rPr>
                <w:sz w:val="18"/>
                <w:szCs w:val="18"/>
                <w:lang w:val="en-AU" w:eastAsia="en-US"/>
              </w:rPr>
            </w:pPr>
            <w:r w:rsidRPr="00A54649">
              <w:rPr>
                <w:sz w:val="18"/>
                <w:szCs w:val="18"/>
                <w:lang w:val="en-AU" w:eastAsia="en-US"/>
              </w:rPr>
              <w:t>Approved</w:t>
            </w:r>
          </w:p>
        </w:tc>
        <w:tc>
          <w:tcPr>
            <w:tcW w:w="1701" w:type="dxa"/>
            <w:tcBorders>
              <w:bottom w:val="single" w:sz="8" w:space="0" w:color="000000"/>
              <w:right w:val="single" w:sz="8" w:space="0" w:color="000000"/>
            </w:tcBorders>
            <w:vAlign w:val="center"/>
          </w:tcPr>
          <w:p w14:paraId="18FFA15E" w14:textId="77777777" w:rsidR="0002780C" w:rsidRPr="00A54649" w:rsidRDefault="0002780C" w:rsidP="005834DD">
            <w:pPr>
              <w:spacing w:after="0"/>
              <w:jc w:val="center"/>
              <w:rPr>
                <w:sz w:val="18"/>
                <w:szCs w:val="18"/>
                <w:lang w:val="en-AU" w:eastAsia="en-US"/>
              </w:rPr>
            </w:pPr>
            <w:r w:rsidRPr="00A54649">
              <w:rPr>
                <w:sz w:val="18"/>
                <w:szCs w:val="18"/>
                <w:lang w:val="en-AU" w:eastAsia="en-US"/>
              </w:rPr>
              <w:t>Approved</w:t>
            </w:r>
          </w:p>
        </w:tc>
        <w:tc>
          <w:tcPr>
            <w:tcW w:w="1417" w:type="dxa"/>
            <w:tcBorders>
              <w:bottom w:val="single" w:sz="8" w:space="0" w:color="000000"/>
              <w:right w:val="single" w:sz="8" w:space="0" w:color="000000"/>
            </w:tcBorders>
            <w:vAlign w:val="center"/>
          </w:tcPr>
          <w:p w14:paraId="21DE61D3" w14:textId="77777777" w:rsidR="0002780C" w:rsidRPr="00A54649" w:rsidRDefault="0002780C" w:rsidP="005834DD">
            <w:pPr>
              <w:spacing w:after="0"/>
              <w:jc w:val="center"/>
              <w:rPr>
                <w:sz w:val="18"/>
                <w:szCs w:val="18"/>
                <w:lang w:val="en-AU" w:eastAsia="en-US"/>
              </w:rPr>
            </w:pPr>
            <w:r w:rsidRPr="00A54649">
              <w:rPr>
                <w:sz w:val="18"/>
                <w:szCs w:val="18"/>
                <w:lang w:val="en-AU" w:eastAsia="en-US"/>
              </w:rPr>
              <w:t>Approved</w:t>
            </w:r>
          </w:p>
        </w:tc>
        <w:tc>
          <w:tcPr>
            <w:tcW w:w="1560" w:type="dxa"/>
            <w:tcBorders>
              <w:bottom w:val="single" w:sz="8" w:space="0" w:color="000000"/>
              <w:right w:val="single" w:sz="8" w:space="0" w:color="000000"/>
            </w:tcBorders>
            <w:vAlign w:val="center"/>
          </w:tcPr>
          <w:p w14:paraId="6B5BAAD9" w14:textId="77777777" w:rsidR="0002780C" w:rsidRPr="00A54649" w:rsidRDefault="0002780C" w:rsidP="005834DD">
            <w:pPr>
              <w:spacing w:after="0"/>
              <w:jc w:val="center"/>
              <w:rPr>
                <w:sz w:val="18"/>
                <w:szCs w:val="18"/>
                <w:lang w:val="en-AU" w:eastAsia="en-US"/>
              </w:rPr>
            </w:pPr>
            <w:r w:rsidRPr="00A54649">
              <w:rPr>
                <w:sz w:val="18"/>
                <w:szCs w:val="18"/>
                <w:lang w:val="en-AU" w:eastAsia="en-US"/>
              </w:rPr>
              <w:t>Approved</w:t>
            </w:r>
          </w:p>
        </w:tc>
        <w:tc>
          <w:tcPr>
            <w:tcW w:w="1559" w:type="dxa"/>
            <w:tcBorders>
              <w:bottom w:val="single" w:sz="8" w:space="0" w:color="000000"/>
              <w:right w:val="single" w:sz="8" w:space="0" w:color="000000"/>
            </w:tcBorders>
            <w:vAlign w:val="center"/>
          </w:tcPr>
          <w:p w14:paraId="36B646CF" w14:textId="77777777" w:rsidR="0002780C" w:rsidRPr="00A54649" w:rsidRDefault="0002780C" w:rsidP="005834DD">
            <w:pPr>
              <w:spacing w:after="0"/>
              <w:jc w:val="center"/>
              <w:rPr>
                <w:sz w:val="18"/>
                <w:szCs w:val="18"/>
                <w:lang w:val="en-AU" w:eastAsia="en-US"/>
              </w:rPr>
            </w:pPr>
            <w:r w:rsidRPr="00A54649">
              <w:rPr>
                <w:sz w:val="18"/>
                <w:szCs w:val="18"/>
                <w:lang w:val="en-AU" w:eastAsia="en-US"/>
              </w:rPr>
              <w:t>Approved</w:t>
            </w:r>
          </w:p>
        </w:tc>
        <w:tc>
          <w:tcPr>
            <w:tcW w:w="1583" w:type="dxa"/>
            <w:tcBorders>
              <w:bottom w:val="single" w:sz="8" w:space="0" w:color="000000"/>
              <w:right w:val="single" w:sz="8" w:space="0" w:color="000000"/>
            </w:tcBorders>
            <w:vAlign w:val="center"/>
          </w:tcPr>
          <w:p w14:paraId="09C75655" w14:textId="77777777" w:rsidR="0002780C" w:rsidRPr="00A54649" w:rsidRDefault="0002780C" w:rsidP="005834DD">
            <w:pPr>
              <w:spacing w:after="0"/>
              <w:jc w:val="center"/>
              <w:rPr>
                <w:sz w:val="18"/>
                <w:szCs w:val="18"/>
                <w:lang w:val="en-AU" w:eastAsia="en-US"/>
              </w:rPr>
            </w:pPr>
            <w:r w:rsidRPr="00A54649">
              <w:rPr>
                <w:sz w:val="18"/>
                <w:szCs w:val="18"/>
                <w:lang w:val="en-AU" w:eastAsia="en-US"/>
              </w:rPr>
              <w:t>Approved</w:t>
            </w:r>
          </w:p>
        </w:tc>
        <w:tc>
          <w:tcPr>
            <w:tcW w:w="1677" w:type="dxa"/>
            <w:tcBorders>
              <w:bottom w:val="single" w:sz="8" w:space="0" w:color="000000"/>
              <w:right w:val="single" w:sz="8" w:space="0" w:color="000000"/>
            </w:tcBorders>
            <w:vAlign w:val="center"/>
          </w:tcPr>
          <w:p w14:paraId="3F47BA45" w14:textId="77777777" w:rsidR="0002780C" w:rsidRPr="00A54649" w:rsidRDefault="0002780C" w:rsidP="005834DD">
            <w:pPr>
              <w:spacing w:after="0"/>
              <w:jc w:val="center"/>
              <w:rPr>
                <w:sz w:val="18"/>
                <w:szCs w:val="18"/>
                <w:lang w:val="en-AU" w:eastAsia="en-US"/>
              </w:rPr>
            </w:pPr>
            <w:r w:rsidRPr="00A54649">
              <w:rPr>
                <w:sz w:val="18"/>
                <w:szCs w:val="18"/>
                <w:lang w:val="en-AU" w:eastAsia="en-US"/>
              </w:rPr>
              <w:t>Not Determined</w:t>
            </w:r>
          </w:p>
        </w:tc>
        <w:tc>
          <w:tcPr>
            <w:tcW w:w="1559" w:type="dxa"/>
            <w:tcBorders>
              <w:bottom w:val="single" w:sz="8" w:space="0" w:color="000000"/>
              <w:right w:val="single" w:sz="8" w:space="0" w:color="000000"/>
            </w:tcBorders>
            <w:vAlign w:val="center"/>
          </w:tcPr>
          <w:p w14:paraId="3DC1B62B" w14:textId="77777777" w:rsidR="0002780C" w:rsidRPr="00A54649" w:rsidRDefault="0002780C" w:rsidP="005834DD">
            <w:pPr>
              <w:spacing w:after="0"/>
              <w:jc w:val="center"/>
              <w:rPr>
                <w:sz w:val="18"/>
                <w:szCs w:val="18"/>
                <w:lang w:val="en-AU" w:eastAsia="en-US"/>
              </w:rPr>
            </w:pPr>
          </w:p>
        </w:tc>
      </w:tr>
      <w:tr w:rsidR="0002780C" w:rsidRPr="00A54649" w14:paraId="6A3B80B5" w14:textId="77777777" w:rsidTr="000D5CF7">
        <w:tc>
          <w:tcPr>
            <w:tcW w:w="1986" w:type="dxa"/>
            <w:tcBorders>
              <w:left w:val="single" w:sz="8" w:space="0" w:color="000000"/>
              <w:bottom w:val="single" w:sz="8" w:space="0" w:color="000000"/>
              <w:right w:val="single" w:sz="8" w:space="0" w:color="000000"/>
            </w:tcBorders>
            <w:vAlign w:val="center"/>
          </w:tcPr>
          <w:p w14:paraId="18318B9F" w14:textId="77777777" w:rsidR="0002780C" w:rsidRPr="00A54649" w:rsidRDefault="0002780C" w:rsidP="005834DD">
            <w:pPr>
              <w:spacing w:after="0"/>
              <w:rPr>
                <w:sz w:val="18"/>
                <w:szCs w:val="18"/>
                <w:lang w:val="en-AU" w:eastAsia="en-US"/>
              </w:rPr>
            </w:pPr>
            <w:r w:rsidRPr="00A54649">
              <w:rPr>
                <w:sz w:val="18"/>
                <w:szCs w:val="18"/>
                <w:lang w:val="en-AU" w:eastAsia="en-US"/>
              </w:rPr>
              <w:t>Gas Phase Catalytic De-halogenation</w:t>
            </w:r>
          </w:p>
        </w:tc>
        <w:tc>
          <w:tcPr>
            <w:tcW w:w="1559" w:type="dxa"/>
            <w:tcBorders>
              <w:bottom w:val="single" w:sz="8" w:space="0" w:color="000000"/>
              <w:right w:val="single" w:sz="8" w:space="0" w:color="000000"/>
            </w:tcBorders>
            <w:vAlign w:val="center"/>
          </w:tcPr>
          <w:p w14:paraId="3FC607A9" w14:textId="77777777" w:rsidR="0002780C" w:rsidRPr="00A54649" w:rsidRDefault="0002780C" w:rsidP="005834DD">
            <w:pPr>
              <w:spacing w:after="0"/>
              <w:jc w:val="center"/>
              <w:rPr>
                <w:sz w:val="18"/>
                <w:szCs w:val="18"/>
                <w:lang w:val="en-AU" w:eastAsia="en-US"/>
              </w:rPr>
            </w:pPr>
            <w:r w:rsidRPr="00A54649">
              <w:rPr>
                <w:sz w:val="18"/>
                <w:szCs w:val="18"/>
                <w:lang w:val="en-AU" w:eastAsia="en-US"/>
              </w:rPr>
              <w:t>Approved</w:t>
            </w:r>
          </w:p>
        </w:tc>
        <w:tc>
          <w:tcPr>
            <w:tcW w:w="1701" w:type="dxa"/>
            <w:tcBorders>
              <w:bottom w:val="single" w:sz="8" w:space="0" w:color="000000"/>
              <w:right w:val="single" w:sz="8" w:space="0" w:color="000000"/>
            </w:tcBorders>
            <w:vAlign w:val="center"/>
          </w:tcPr>
          <w:p w14:paraId="2B20C160" w14:textId="77777777" w:rsidR="0002780C" w:rsidRPr="00A54649" w:rsidRDefault="0002780C" w:rsidP="005834DD">
            <w:pPr>
              <w:spacing w:after="0"/>
              <w:jc w:val="center"/>
              <w:rPr>
                <w:sz w:val="18"/>
                <w:szCs w:val="18"/>
                <w:lang w:val="en-AU" w:eastAsia="en-US"/>
              </w:rPr>
            </w:pPr>
            <w:r w:rsidRPr="00A54649">
              <w:rPr>
                <w:sz w:val="18"/>
                <w:szCs w:val="18"/>
                <w:lang w:val="en-AU" w:eastAsia="en-US"/>
              </w:rPr>
              <w:t>Not Determined</w:t>
            </w:r>
          </w:p>
        </w:tc>
        <w:tc>
          <w:tcPr>
            <w:tcW w:w="1417" w:type="dxa"/>
            <w:tcBorders>
              <w:bottom w:val="single" w:sz="8" w:space="0" w:color="000000"/>
              <w:right w:val="single" w:sz="8" w:space="0" w:color="000000"/>
            </w:tcBorders>
            <w:vAlign w:val="center"/>
          </w:tcPr>
          <w:p w14:paraId="22A757B1" w14:textId="77777777" w:rsidR="0002780C" w:rsidRPr="00A54649" w:rsidRDefault="0002780C" w:rsidP="005834DD">
            <w:pPr>
              <w:spacing w:after="0"/>
              <w:jc w:val="center"/>
              <w:rPr>
                <w:sz w:val="18"/>
                <w:szCs w:val="18"/>
                <w:lang w:val="en-AU" w:eastAsia="en-US"/>
              </w:rPr>
            </w:pPr>
            <w:r w:rsidRPr="00A54649">
              <w:rPr>
                <w:sz w:val="18"/>
                <w:szCs w:val="18"/>
                <w:lang w:val="en-AU" w:eastAsia="en-US"/>
              </w:rPr>
              <w:t>Approved</w:t>
            </w:r>
          </w:p>
        </w:tc>
        <w:tc>
          <w:tcPr>
            <w:tcW w:w="1560" w:type="dxa"/>
            <w:tcBorders>
              <w:bottom w:val="single" w:sz="8" w:space="0" w:color="000000"/>
              <w:right w:val="single" w:sz="8" w:space="0" w:color="000000"/>
            </w:tcBorders>
            <w:vAlign w:val="center"/>
          </w:tcPr>
          <w:p w14:paraId="08DBF6A6" w14:textId="77777777" w:rsidR="0002780C" w:rsidRPr="00A54649" w:rsidRDefault="0002780C" w:rsidP="005834DD">
            <w:pPr>
              <w:spacing w:after="0"/>
              <w:jc w:val="center"/>
              <w:rPr>
                <w:sz w:val="18"/>
                <w:szCs w:val="18"/>
                <w:lang w:val="en-AU" w:eastAsia="en-US"/>
              </w:rPr>
            </w:pPr>
            <w:r w:rsidRPr="00A54649">
              <w:rPr>
                <w:sz w:val="18"/>
                <w:szCs w:val="18"/>
                <w:lang w:val="en-AU" w:eastAsia="en-US"/>
              </w:rPr>
              <w:t>Approved</w:t>
            </w:r>
          </w:p>
        </w:tc>
        <w:tc>
          <w:tcPr>
            <w:tcW w:w="1559" w:type="dxa"/>
            <w:tcBorders>
              <w:bottom w:val="single" w:sz="8" w:space="0" w:color="000000"/>
              <w:right w:val="single" w:sz="8" w:space="0" w:color="000000"/>
            </w:tcBorders>
            <w:vAlign w:val="center"/>
          </w:tcPr>
          <w:p w14:paraId="7991ED82" w14:textId="77777777" w:rsidR="0002780C" w:rsidRPr="00A54649" w:rsidRDefault="0002780C" w:rsidP="005834DD">
            <w:pPr>
              <w:spacing w:after="0"/>
              <w:jc w:val="center"/>
              <w:rPr>
                <w:sz w:val="18"/>
                <w:szCs w:val="18"/>
                <w:lang w:val="en-AU" w:eastAsia="en-US"/>
              </w:rPr>
            </w:pPr>
            <w:r w:rsidRPr="00A54649">
              <w:rPr>
                <w:sz w:val="18"/>
                <w:szCs w:val="18"/>
                <w:lang w:val="en-AU" w:eastAsia="en-US"/>
              </w:rPr>
              <w:t>Approved</w:t>
            </w:r>
          </w:p>
        </w:tc>
        <w:tc>
          <w:tcPr>
            <w:tcW w:w="1583" w:type="dxa"/>
            <w:tcBorders>
              <w:bottom w:val="single" w:sz="8" w:space="0" w:color="000000"/>
              <w:right w:val="single" w:sz="8" w:space="0" w:color="000000"/>
            </w:tcBorders>
            <w:vAlign w:val="center"/>
          </w:tcPr>
          <w:p w14:paraId="6E517EB2" w14:textId="77777777" w:rsidR="0002780C" w:rsidRPr="00A54649" w:rsidRDefault="0002780C" w:rsidP="005834DD">
            <w:pPr>
              <w:spacing w:after="0"/>
              <w:jc w:val="center"/>
              <w:rPr>
                <w:sz w:val="18"/>
                <w:szCs w:val="18"/>
                <w:lang w:val="en-AU" w:eastAsia="en-US"/>
              </w:rPr>
            </w:pPr>
            <w:r w:rsidRPr="00A54649">
              <w:rPr>
                <w:sz w:val="18"/>
                <w:szCs w:val="18"/>
                <w:lang w:val="en-AU" w:eastAsia="en-US"/>
              </w:rPr>
              <w:t>Approved</w:t>
            </w:r>
          </w:p>
        </w:tc>
        <w:tc>
          <w:tcPr>
            <w:tcW w:w="1677" w:type="dxa"/>
            <w:tcBorders>
              <w:bottom w:val="single" w:sz="8" w:space="0" w:color="000000"/>
              <w:right w:val="single" w:sz="8" w:space="0" w:color="000000"/>
            </w:tcBorders>
            <w:vAlign w:val="center"/>
          </w:tcPr>
          <w:p w14:paraId="47767736" w14:textId="77777777" w:rsidR="0002780C" w:rsidRPr="00A54649" w:rsidRDefault="0002780C" w:rsidP="005834DD">
            <w:pPr>
              <w:spacing w:after="0"/>
              <w:jc w:val="center"/>
              <w:rPr>
                <w:sz w:val="18"/>
                <w:szCs w:val="18"/>
                <w:lang w:val="en-AU" w:eastAsia="en-US"/>
              </w:rPr>
            </w:pPr>
            <w:r w:rsidRPr="00A54649">
              <w:rPr>
                <w:sz w:val="18"/>
                <w:szCs w:val="18"/>
                <w:lang w:val="en-AU" w:eastAsia="en-US"/>
              </w:rPr>
              <w:t>Not Determined</w:t>
            </w:r>
          </w:p>
        </w:tc>
        <w:tc>
          <w:tcPr>
            <w:tcW w:w="1559" w:type="dxa"/>
            <w:tcBorders>
              <w:bottom w:val="single" w:sz="8" w:space="0" w:color="000000"/>
              <w:right w:val="single" w:sz="8" w:space="0" w:color="000000"/>
            </w:tcBorders>
            <w:vAlign w:val="center"/>
          </w:tcPr>
          <w:p w14:paraId="26C838E5" w14:textId="77777777" w:rsidR="0002780C" w:rsidRPr="00A54649" w:rsidRDefault="0002780C" w:rsidP="005834DD">
            <w:pPr>
              <w:spacing w:after="0"/>
              <w:jc w:val="center"/>
              <w:rPr>
                <w:sz w:val="18"/>
                <w:szCs w:val="18"/>
                <w:lang w:val="en-AU" w:eastAsia="en-US"/>
              </w:rPr>
            </w:pPr>
          </w:p>
        </w:tc>
      </w:tr>
      <w:tr w:rsidR="0002780C" w:rsidRPr="00A54649" w14:paraId="203B43D2" w14:textId="77777777" w:rsidTr="000D5CF7">
        <w:tc>
          <w:tcPr>
            <w:tcW w:w="1986" w:type="dxa"/>
            <w:tcBorders>
              <w:left w:val="single" w:sz="8" w:space="0" w:color="000000"/>
              <w:bottom w:val="single" w:sz="8" w:space="0" w:color="000000"/>
              <w:right w:val="single" w:sz="8" w:space="0" w:color="000000"/>
            </w:tcBorders>
            <w:vAlign w:val="center"/>
          </w:tcPr>
          <w:p w14:paraId="07C57F97" w14:textId="77777777" w:rsidR="0002780C" w:rsidRPr="00A54649" w:rsidRDefault="0002780C" w:rsidP="005834DD">
            <w:pPr>
              <w:spacing w:after="0"/>
              <w:rPr>
                <w:sz w:val="18"/>
                <w:szCs w:val="18"/>
                <w:lang w:val="en-AU" w:eastAsia="en-US"/>
              </w:rPr>
            </w:pPr>
            <w:r w:rsidRPr="00A54649">
              <w:rPr>
                <w:sz w:val="18"/>
                <w:szCs w:val="18"/>
                <w:lang w:val="en-AU" w:eastAsia="en-US"/>
              </w:rPr>
              <w:t>Superheated steam reactor</w:t>
            </w:r>
          </w:p>
        </w:tc>
        <w:tc>
          <w:tcPr>
            <w:tcW w:w="1559" w:type="dxa"/>
            <w:tcBorders>
              <w:bottom w:val="single" w:sz="8" w:space="0" w:color="000000"/>
              <w:right w:val="single" w:sz="8" w:space="0" w:color="000000"/>
            </w:tcBorders>
            <w:vAlign w:val="center"/>
          </w:tcPr>
          <w:p w14:paraId="3EBC838C" w14:textId="77777777" w:rsidR="0002780C" w:rsidRPr="00A54649" w:rsidRDefault="0002780C" w:rsidP="005834DD">
            <w:pPr>
              <w:spacing w:after="0"/>
              <w:jc w:val="center"/>
              <w:rPr>
                <w:sz w:val="18"/>
                <w:szCs w:val="18"/>
                <w:lang w:val="en-AU" w:eastAsia="en-US"/>
              </w:rPr>
            </w:pPr>
            <w:r w:rsidRPr="00A54649">
              <w:rPr>
                <w:sz w:val="18"/>
                <w:szCs w:val="18"/>
                <w:lang w:val="en-AU" w:eastAsia="en-US"/>
              </w:rPr>
              <w:t>Approved</w:t>
            </w:r>
          </w:p>
        </w:tc>
        <w:tc>
          <w:tcPr>
            <w:tcW w:w="1701" w:type="dxa"/>
            <w:tcBorders>
              <w:bottom w:val="single" w:sz="8" w:space="0" w:color="000000"/>
              <w:right w:val="single" w:sz="8" w:space="0" w:color="000000"/>
            </w:tcBorders>
            <w:vAlign w:val="center"/>
          </w:tcPr>
          <w:p w14:paraId="610F5478" w14:textId="77777777" w:rsidR="0002780C" w:rsidRPr="00A54649" w:rsidRDefault="0002780C" w:rsidP="005834DD">
            <w:pPr>
              <w:spacing w:after="0"/>
              <w:jc w:val="center"/>
              <w:rPr>
                <w:sz w:val="18"/>
                <w:szCs w:val="18"/>
                <w:lang w:val="en-AU" w:eastAsia="en-US"/>
              </w:rPr>
            </w:pPr>
            <w:r w:rsidRPr="00A54649">
              <w:rPr>
                <w:sz w:val="18"/>
                <w:szCs w:val="18"/>
                <w:lang w:val="en-AU" w:eastAsia="en-US"/>
              </w:rPr>
              <w:t>Not Determined</w:t>
            </w:r>
          </w:p>
        </w:tc>
        <w:tc>
          <w:tcPr>
            <w:tcW w:w="1417" w:type="dxa"/>
            <w:tcBorders>
              <w:bottom w:val="single" w:sz="8" w:space="0" w:color="000000"/>
              <w:right w:val="single" w:sz="8" w:space="0" w:color="000000"/>
            </w:tcBorders>
            <w:vAlign w:val="center"/>
          </w:tcPr>
          <w:p w14:paraId="24286BCB" w14:textId="77777777" w:rsidR="0002780C" w:rsidRPr="00A54649" w:rsidRDefault="0002780C" w:rsidP="005834DD">
            <w:pPr>
              <w:spacing w:after="0"/>
              <w:jc w:val="center"/>
              <w:rPr>
                <w:sz w:val="18"/>
                <w:szCs w:val="18"/>
                <w:lang w:val="en-AU" w:eastAsia="en-US"/>
              </w:rPr>
            </w:pPr>
            <w:r w:rsidRPr="00A54649">
              <w:rPr>
                <w:sz w:val="18"/>
                <w:szCs w:val="18"/>
                <w:lang w:val="en-AU" w:eastAsia="en-US"/>
              </w:rPr>
              <w:t>Approved</w:t>
            </w:r>
          </w:p>
        </w:tc>
        <w:tc>
          <w:tcPr>
            <w:tcW w:w="1560" w:type="dxa"/>
            <w:tcBorders>
              <w:bottom w:val="single" w:sz="8" w:space="0" w:color="000000"/>
              <w:right w:val="single" w:sz="8" w:space="0" w:color="000000"/>
            </w:tcBorders>
            <w:vAlign w:val="center"/>
          </w:tcPr>
          <w:p w14:paraId="3DBC0950" w14:textId="77777777" w:rsidR="0002780C" w:rsidRPr="00A54649" w:rsidRDefault="0002780C" w:rsidP="005834DD">
            <w:pPr>
              <w:spacing w:after="0"/>
              <w:jc w:val="center"/>
              <w:rPr>
                <w:sz w:val="18"/>
                <w:szCs w:val="18"/>
                <w:lang w:val="en-AU" w:eastAsia="en-US"/>
              </w:rPr>
            </w:pPr>
            <w:r w:rsidRPr="00A54649">
              <w:rPr>
                <w:sz w:val="18"/>
                <w:szCs w:val="18"/>
                <w:lang w:val="en-AU" w:eastAsia="en-US"/>
              </w:rPr>
              <w:t>Approved</w:t>
            </w:r>
          </w:p>
        </w:tc>
        <w:tc>
          <w:tcPr>
            <w:tcW w:w="1559" w:type="dxa"/>
            <w:tcBorders>
              <w:bottom w:val="single" w:sz="8" w:space="0" w:color="000000"/>
              <w:right w:val="single" w:sz="8" w:space="0" w:color="000000"/>
            </w:tcBorders>
            <w:vAlign w:val="center"/>
          </w:tcPr>
          <w:p w14:paraId="71BE0F3C" w14:textId="77777777" w:rsidR="0002780C" w:rsidRPr="00A54649" w:rsidRDefault="0002780C" w:rsidP="005834DD">
            <w:pPr>
              <w:spacing w:after="0"/>
              <w:jc w:val="center"/>
              <w:rPr>
                <w:sz w:val="18"/>
                <w:szCs w:val="18"/>
                <w:lang w:val="en-AU" w:eastAsia="en-US"/>
              </w:rPr>
            </w:pPr>
            <w:r w:rsidRPr="00A54649">
              <w:rPr>
                <w:sz w:val="18"/>
                <w:szCs w:val="18"/>
                <w:lang w:val="en-AU" w:eastAsia="en-US"/>
              </w:rPr>
              <w:t>Approved</w:t>
            </w:r>
          </w:p>
        </w:tc>
        <w:tc>
          <w:tcPr>
            <w:tcW w:w="1583" w:type="dxa"/>
            <w:tcBorders>
              <w:bottom w:val="single" w:sz="8" w:space="0" w:color="000000"/>
              <w:right w:val="single" w:sz="8" w:space="0" w:color="000000"/>
            </w:tcBorders>
            <w:vAlign w:val="center"/>
          </w:tcPr>
          <w:p w14:paraId="235B7473" w14:textId="77777777" w:rsidR="0002780C" w:rsidRPr="00A54649" w:rsidRDefault="0002780C" w:rsidP="005834DD">
            <w:pPr>
              <w:spacing w:after="0"/>
              <w:jc w:val="center"/>
              <w:rPr>
                <w:sz w:val="18"/>
                <w:szCs w:val="18"/>
                <w:lang w:val="en-AU" w:eastAsia="en-US"/>
              </w:rPr>
            </w:pPr>
            <w:r w:rsidRPr="00A54649">
              <w:rPr>
                <w:sz w:val="18"/>
                <w:szCs w:val="18"/>
                <w:lang w:val="en-AU" w:eastAsia="en-US"/>
              </w:rPr>
              <w:t>Approved</w:t>
            </w:r>
          </w:p>
        </w:tc>
        <w:tc>
          <w:tcPr>
            <w:tcW w:w="1677" w:type="dxa"/>
            <w:tcBorders>
              <w:bottom w:val="single" w:sz="8" w:space="0" w:color="000000"/>
              <w:right w:val="single" w:sz="8" w:space="0" w:color="000000"/>
            </w:tcBorders>
            <w:vAlign w:val="center"/>
          </w:tcPr>
          <w:p w14:paraId="068F18CD" w14:textId="77777777" w:rsidR="0002780C" w:rsidRPr="00A54649" w:rsidRDefault="0002780C" w:rsidP="005834DD">
            <w:pPr>
              <w:spacing w:after="0"/>
              <w:jc w:val="center"/>
              <w:rPr>
                <w:sz w:val="18"/>
                <w:szCs w:val="18"/>
                <w:lang w:val="en-AU" w:eastAsia="en-US"/>
              </w:rPr>
            </w:pPr>
            <w:r w:rsidRPr="00A54649">
              <w:rPr>
                <w:sz w:val="18"/>
                <w:szCs w:val="18"/>
                <w:lang w:val="en-AU" w:eastAsia="en-US"/>
              </w:rPr>
              <w:t>Not Determined</w:t>
            </w:r>
          </w:p>
        </w:tc>
        <w:tc>
          <w:tcPr>
            <w:tcW w:w="1559" w:type="dxa"/>
            <w:tcBorders>
              <w:bottom w:val="single" w:sz="8" w:space="0" w:color="000000"/>
              <w:right w:val="single" w:sz="8" w:space="0" w:color="000000"/>
            </w:tcBorders>
            <w:vAlign w:val="center"/>
          </w:tcPr>
          <w:p w14:paraId="3AB72CB7" w14:textId="77777777" w:rsidR="0002780C" w:rsidRPr="00A54649" w:rsidRDefault="0002780C" w:rsidP="005834DD">
            <w:pPr>
              <w:spacing w:after="0"/>
              <w:jc w:val="center"/>
              <w:rPr>
                <w:sz w:val="18"/>
                <w:szCs w:val="18"/>
                <w:lang w:val="en-AU" w:eastAsia="en-US"/>
              </w:rPr>
            </w:pPr>
          </w:p>
        </w:tc>
      </w:tr>
      <w:tr w:rsidR="0002780C" w:rsidRPr="00A54649" w14:paraId="70DCD746" w14:textId="77777777" w:rsidTr="000D5CF7">
        <w:tblPrEx>
          <w:tblBorders>
            <w:top w:val="nil"/>
          </w:tblBorders>
        </w:tblPrEx>
        <w:tc>
          <w:tcPr>
            <w:tcW w:w="1986" w:type="dxa"/>
            <w:tcBorders>
              <w:left w:val="single" w:sz="8" w:space="0" w:color="000000"/>
              <w:bottom w:val="single" w:sz="8" w:space="0" w:color="000000"/>
              <w:right w:val="single" w:sz="8" w:space="0" w:color="000000"/>
            </w:tcBorders>
            <w:vAlign w:val="center"/>
          </w:tcPr>
          <w:p w14:paraId="1CA592E0" w14:textId="77777777" w:rsidR="0002780C" w:rsidRPr="00A54649" w:rsidRDefault="0002780C" w:rsidP="005834DD">
            <w:pPr>
              <w:spacing w:after="0"/>
              <w:rPr>
                <w:sz w:val="18"/>
                <w:szCs w:val="18"/>
                <w:lang w:val="en-AU" w:eastAsia="en-US"/>
              </w:rPr>
            </w:pPr>
            <w:r w:rsidRPr="00A54649">
              <w:rPr>
                <w:sz w:val="18"/>
                <w:szCs w:val="18"/>
                <w:lang w:val="en-AU" w:eastAsia="en-US"/>
              </w:rPr>
              <w:t>Thermal Reaction with Methane</w:t>
            </w:r>
          </w:p>
        </w:tc>
        <w:tc>
          <w:tcPr>
            <w:tcW w:w="1559" w:type="dxa"/>
            <w:tcBorders>
              <w:bottom w:val="single" w:sz="8" w:space="0" w:color="000000"/>
              <w:right w:val="single" w:sz="8" w:space="0" w:color="000000"/>
            </w:tcBorders>
            <w:vAlign w:val="center"/>
          </w:tcPr>
          <w:p w14:paraId="17006F13" w14:textId="77777777" w:rsidR="0002780C" w:rsidRPr="00A54649" w:rsidRDefault="0002780C" w:rsidP="005834DD">
            <w:pPr>
              <w:spacing w:after="0"/>
              <w:jc w:val="center"/>
              <w:rPr>
                <w:sz w:val="18"/>
                <w:szCs w:val="18"/>
                <w:lang w:val="en-AU" w:eastAsia="en-US"/>
              </w:rPr>
            </w:pPr>
            <w:r w:rsidRPr="00A54649">
              <w:rPr>
                <w:sz w:val="18"/>
                <w:szCs w:val="18"/>
                <w:lang w:val="en-AU" w:eastAsia="en-US"/>
              </w:rPr>
              <w:t>Approved</w:t>
            </w:r>
          </w:p>
        </w:tc>
        <w:tc>
          <w:tcPr>
            <w:tcW w:w="1701" w:type="dxa"/>
            <w:tcBorders>
              <w:bottom w:val="single" w:sz="8" w:space="0" w:color="000000"/>
              <w:right w:val="single" w:sz="8" w:space="0" w:color="000000"/>
            </w:tcBorders>
            <w:vAlign w:val="center"/>
          </w:tcPr>
          <w:p w14:paraId="06B1DB43" w14:textId="77777777" w:rsidR="0002780C" w:rsidRPr="00A54649" w:rsidRDefault="0002780C" w:rsidP="005834DD">
            <w:pPr>
              <w:spacing w:after="0"/>
              <w:jc w:val="center"/>
              <w:rPr>
                <w:sz w:val="18"/>
                <w:szCs w:val="18"/>
                <w:lang w:val="en-AU" w:eastAsia="en-US"/>
              </w:rPr>
            </w:pPr>
            <w:r w:rsidRPr="00A54649">
              <w:rPr>
                <w:sz w:val="18"/>
                <w:szCs w:val="18"/>
                <w:lang w:val="en-AU" w:eastAsia="en-US"/>
              </w:rPr>
              <w:t>Approved</w:t>
            </w:r>
          </w:p>
        </w:tc>
        <w:tc>
          <w:tcPr>
            <w:tcW w:w="1417" w:type="dxa"/>
            <w:tcBorders>
              <w:bottom w:val="single" w:sz="8" w:space="0" w:color="000000"/>
              <w:right w:val="single" w:sz="8" w:space="0" w:color="000000"/>
            </w:tcBorders>
            <w:vAlign w:val="center"/>
          </w:tcPr>
          <w:p w14:paraId="70354505" w14:textId="77777777" w:rsidR="0002780C" w:rsidRPr="00A54649" w:rsidRDefault="0002780C" w:rsidP="005834DD">
            <w:pPr>
              <w:spacing w:after="0"/>
              <w:jc w:val="center"/>
              <w:rPr>
                <w:sz w:val="18"/>
                <w:szCs w:val="18"/>
                <w:lang w:val="en-AU" w:eastAsia="en-US"/>
              </w:rPr>
            </w:pPr>
            <w:r w:rsidRPr="00A54649">
              <w:rPr>
                <w:sz w:val="18"/>
                <w:szCs w:val="18"/>
                <w:lang w:val="en-AU" w:eastAsia="en-US"/>
              </w:rPr>
              <w:t>Approved</w:t>
            </w:r>
          </w:p>
        </w:tc>
        <w:tc>
          <w:tcPr>
            <w:tcW w:w="1560" w:type="dxa"/>
            <w:tcBorders>
              <w:bottom w:val="single" w:sz="8" w:space="0" w:color="000000"/>
              <w:right w:val="single" w:sz="8" w:space="0" w:color="000000"/>
            </w:tcBorders>
            <w:vAlign w:val="center"/>
          </w:tcPr>
          <w:p w14:paraId="46A5CD0C" w14:textId="77777777" w:rsidR="0002780C" w:rsidRPr="00A54649" w:rsidRDefault="0002780C" w:rsidP="005834DD">
            <w:pPr>
              <w:spacing w:after="0"/>
              <w:jc w:val="center"/>
              <w:rPr>
                <w:sz w:val="18"/>
                <w:szCs w:val="18"/>
                <w:lang w:val="en-AU" w:eastAsia="en-US"/>
              </w:rPr>
            </w:pPr>
            <w:r w:rsidRPr="00A54649">
              <w:rPr>
                <w:sz w:val="18"/>
                <w:szCs w:val="18"/>
                <w:lang w:val="en-AU" w:eastAsia="en-US"/>
              </w:rPr>
              <w:t>Approved</w:t>
            </w:r>
          </w:p>
        </w:tc>
        <w:tc>
          <w:tcPr>
            <w:tcW w:w="1559" w:type="dxa"/>
            <w:tcBorders>
              <w:bottom w:val="single" w:sz="8" w:space="0" w:color="000000"/>
              <w:right w:val="single" w:sz="8" w:space="0" w:color="000000"/>
            </w:tcBorders>
            <w:vAlign w:val="center"/>
          </w:tcPr>
          <w:p w14:paraId="61B8257E" w14:textId="77777777" w:rsidR="0002780C" w:rsidRPr="00A54649" w:rsidRDefault="0002780C" w:rsidP="005834DD">
            <w:pPr>
              <w:spacing w:after="0"/>
              <w:jc w:val="center"/>
              <w:rPr>
                <w:sz w:val="18"/>
                <w:szCs w:val="18"/>
                <w:lang w:val="en-AU" w:eastAsia="en-US"/>
              </w:rPr>
            </w:pPr>
            <w:r w:rsidRPr="00A54649">
              <w:rPr>
                <w:sz w:val="18"/>
                <w:szCs w:val="18"/>
                <w:lang w:val="en-AU" w:eastAsia="en-US"/>
              </w:rPr>
              <w:t>Approved</w:t>
            </w:r>
          </w:p>
        </w:tc>
        <w:tc>
          <w:tcPr>
            <w:tcW w:w="1583" w:type="dxa"/>
            <w:tcBorders>
              <w:bottom w:val="single" w:sz="8" w:space="0" w:color="000000"/>
              <w:right w:val="single" w:sz="8" w:space="0" w:color="000000"/>
            </w:tcBorders>
            <w:vAlign w:val="center"/>
          </w:tcPr>
          <w:p w14:paraId="70832E55" w14:textId="77777777" w:rsidR="0002780C" w:rsidRPr="00A54649" w:rsidRDefault="0002780C" w:rsidP="005834DD">
            <w:pPr>
              <w:spacing w:after="0"/>
              <w:jc w:val="center"/>
              <w:rPr>
                <w:sz w:val="18"/>
                <w:szCs w:val="18"/>
                <w:lang w:val="en-AU" w:eastAsia="en-US"/>
              </w:rPr>
            </w:pPr>
            <w:r w:rsidRPr="00A54649">
              <w:rPr>
                <w:sz w:val="18"/>
                <w:szCs w:val="18"/>
                <w:lang w:val="en-AU" w:eastAsia="en-US"/>
              </w:rPr>
              <w:t>Approved</w:t>
            </w:r>
          </w:p>
        </w:tc>
        <w:tc>
          <w:tcPr>
            <w:tcW w:w="1677" w:type="dxa"/>
            <w:tcBorders>
              <w:bottom w:val="single" w:sz="8" w:space="0" w:color="000000"/>
              <w:right w:val="single" w:sz="8" w:space="0" w:color="000000"/>
            </w:tcBorders>
            <w:vAlign w:val="center"/>
          </w:tcPr>
          <w:p w14:paraId="739571BB" w14:textId="77777777" w:rsidR="0002780C" w:rsidRPr="00A54649" w:rsidRDefault="0002780C" w:rsidP="005834DD">
            <w:pPr>
              <w:spacing w:after="0"/>
              <w:jc w:val="center"/>
              <w:rPr>
                <w:sz w:val="18"/>
                <w:szCs w:val="18"/>
                <w:lang w:val="en-AU" w:eastAsia="en-US"/>
              </w:rPr>
            </w:pPr>
            <w:r w:rsidRPr="00A54649">
              <w:rPr>
                <w:sz w:val="18"/>
                <w:szCs w:val="18"/>
                <w:lang w:val="en-AU" w:eastAsia="en-US"/>
              </w:rPr>
              <w:t>Not Determined</w:t>
            </w:r>
          </w:p>
        </w:tc>
        <w:tc>
          <w:tcPr>
            <w:tcW w:w="1559" w:type="dxa"/>
            <w:tcBorders>
              <w:bottom w:val="single" w:sz="8" w:space="0" w:color="000000"/>
              <w:right w:val="single" w:sz="8" w:space="0" w:color="000000"/>
            </w:tcBorders>
            <w:vAlign w:val="center"/>
          </w:tcPr>
          <w:p w14:paraId="473900B4" w14:textId="77777777" w:rsidR="0002780C" w:rsidRPr="00A54649" w:rsidRDefault="0002780C" w:rsidP="005834DD">
            <w:pPr>
              <w:spacing w:after="0"/>
              <w:jc w:val="center"/>
              <w:rPr>
                <w:sz w:val="18"/>
                <w:szCs w:val="18"/>
                <w:lang w:val="en-AU" w:eastAsia="en-US"/>
              </w:rPr>
            </w:pPr>
          </w:p>
        </w:tc>
      </w:tr>
    </w:tbl>
    <w:p w14:paraId="633B891F" w14:textId="6B774688" w:rsidR="0002780C" w:rsidRDefault="00A54649" w:rsidP="0002780C">
      <w:pPr>
        <w:rPr>
          <w:lang w:val="en-AU"/>
        </w:rPr>
      </w:pPr>
      <w:r>
        <w:rPr>
          <w:lang w:val="en-AU" w:eastAsia="en-US"/>
        </w:rPr>
        <w:t>*</w:t>
      </w:r>
      <w:r w:rsidR="0002780C">
        <w:rPr>
          <w:lang w:val="en-AU" w:eastAsia="en-US"/>
        </w:rPr>
        <w:t>DRE - Destruction &amp; Removal Efficiency</w:t>
      </w:r>
    </w:p>
    <w:p w14:paraId="1066ECF2" w14:textId="77777777" w:rsidR="0002780C" w:rsidRDefault="0002780C" w:rsidP="0002780C">
      <w:pPr>
        <w:rPr>
          <w:lang w:val="en-AU"/>
        </w:rPr>
        <w:sectPr w:rsidR="0002780C" w:rsidSect="007D7370">
          <w:footnotePr>
            <w:numRestart w:val="eachSect"/>
          </w:footnotePr>
          <w:pgSz w:w="16839" w:h="11907" w:orient="landscape" w:code="9"/>
          <w:pgMar w:top="1800" w:right="1440" w:bottom="1800" w:left="1526" w:header="720" w:footer="792" w:gutter="0"/>
          <w:cols w:space="720"/>
          <w:docGrid w:linePitch="299"/>
        </w:sectPr>
      </w:pPr>
    </w:p>
    <w:p w14:paraId="4B85B760" w14:textId="2572AF59" w:rsidR="00341EDC" w:rsidRDefault="00341EDC" w:rsidP="00587D2E">
      <w:r>
        <w:rPr>
          <w:lang w:val="en-AU"/>
        </w:rPr>
        <w:lastRenderedPageBreak/>
        <w:t xml:space="preserve">Decision XXIX/4 takes into account the Kigali Amendment by requesting TEAP to provide </w:t>
      </w:r>
      <w:r w:rsidRPr="00341EDC">
        <w:rPr>
          <w:lang w:val="en-AU"/>
        </w:rPr>
        <w:t>a</w:t>
      </w:r>
      <w:r w:rsidRPr="00341EDC">
        <w:t xml:space="preserve">n assessment of the destruction technologies </w:t>
      </w:r>
      <w:r>
        <w:t>to confirm</w:t>
      </w:r>
      <w:r w:rsidRPr="00341EDC">
        <w:t xml:space="preserve"> their applicability to hydrofluorocarbons</w:t>
      </w:r>
      <w:r>
        <w:t xml:space="preserve">, as well as review </w:t>
      </w:r>
      <w:r w:rsidRPr="00341EDC">
        <w:t xml:space="preserve">any other technology for possible inclusion in the list of approved destruction technologies in relation to </w:t>
      </w:r>
      <w:r w:rsidR="00CE1FFB">
        <w:t xml:space="preserve">all </w:t>
      </w:r>
      <w:r w:rsidRPr="00341EDC">
        <w:t>controlled substances</w:t>
      </w:r>
      <w:r>
        <w:t>.</w:t>
      </w:r>
    </w:p>
    <w:p w14:paraId="7B5C9760" w14:textId="306994C8" w:rsidR="00341EDC" w:rsidRDefault="00CE1FFB" w:rsidP="00341EDC">
      <w:pPr>
        <w:rPr>
          <w:lang w:val="en-AU"/>
        </w:rPr>
      </w:pPr>
      <w:r>
        <w:rPr>
          <w:lang w:val="en-AU"/>
        </w:rPr>
        <w:t>With</w:t>
      </w:r>
      <w:r w:rsidR="0002780C">
        <w:rPr>
          <w:lang w:val="en-AU"/>
        </w:rPr>
        <w:t>in this</w:t>
      </w:r>
      <w:r>
        <w:rPr>
          <w:lang w:val="en-AU"/>
        </w:rPr>
        <w:t xml:space="preserve"> </w:t>
      </w:r>
      <w:r w:rsidR="0002780C">
        <w:rPr>
          <w:lang w:val="en-AU"/>
        </w:rPr>
        <w:t>history, t</w:t>
      </w:r>
      <w:r>
        <w:rPr>
          <w:lang w:val="en-AU"/>
        </w:rPr>
        <w:t>his</w:t>
      </w:r>
      <w:r w:rsidR="00341EDC" w:rsidRPr="00587D2E">
        <w:rPr>
          <w:lang w:val="en-AU"/>
        </w:rPr>
        <w:t xml:space="preserve"> </w:t>
      </w:r>
      <w:r w:rsidR="00341EDC">
        <w:rPr>
          <w:lang w:val="en-AU"/>
        </w:rPr>
        <w:t>report</w:t>
      </w:r>
      <w:r w:rsidR="00341EDC" w:rsidRPr="00587D2E">
        <w:rPr>
          <w:lang w:val="en-AU"/>
        </w:rPr>
        <w:t xml:space="preserve"> </w:t>
      </w:r>
      <w:r w:rsidR="00341EDC">
        <w:rPr>
          <w:lang w:val="en-AU"/>
        </w:rPr>
        <w:t xml:space="preserve">builds </w:t>
      </w:r>
      <w:r w:rsidR="00341EDC" w:rsidRPr="00587D2E">
        <w:rPr>
          <w:lang w:val="en-AU"/>
        </w:rPr>
        <w:t xml:space="preserve">on previous work </w:t>
      </w:r>
      <w:r w:rsidR="00341EDC">
        <w:rPr>
          <w:lang w:val="en-AU"/>
        </w:rPr>
        <w:t>by TEAP and its subsidiary bodies, including reports in 1992</w:t>
      </w:r>
      <w:r w:rsidR="00341EDC">
        <w:rPr>
          <w:rStyle w:val="FootnoteReference"/>
          <w:lang w:val="en-AU"/>
        </w:rPr>
        <w:footnoteReference w:id="5"/>
      </w:r>
      <w:r w:rsidR="00341EDC">
        <w:rPr>
          <w:lang w:val="en-AU"/>
        </w:rPr>
        <w:t>, 1995</w:t>
      </w:r>
      <w:r w:rsidR="00341EDC">
        <w:rPr>
          <w:rStyle w:val="FootnoteReference"/>
          <w:lang w:val="en-AU"/>
        </w:rPr>
        <w:footnoteReference w:id="6"/>
      </w:r>
      <w:r w:rsidR="00341EDC">
        <w:rPr>
          <w:lang w:val="en-AU"/>
        </w:rPr>
        <w:t>, 2002</w:t>
      </w:r>
      <w:r w:rsidR="00463762">
        <w:rPr>
          <w:rStyle w:val="FootnoteReference"/>
          <w:lang w:val="en-AU"/>
        </w:rPr>
        <w:footnoteReference w:id="7"/>
      </w:r>
      <w:r w:rsidR="00341EDC">
        <w:rPr>
          <w:lang w:val="en-AU"/>
        </w:rPr>
        <w:t xml:space="preserve">, </w:t>
      </w:r>
      <w:r w:rsidR="001212F5">
        <w:rPr>
          <w:lang w:val="en-AU"/>
        </w:rPr>
        <w:t>2005</w:t>
      </w:r>
      <w:r w:rsidR="00463762">
        <w:rPr>
          <w:rStyle w:val="FootnoteReference"/>
          <w:lang w:val="en-AU"/>
        </w:rPr>
        <w:footnoteReference w:id="8"/>
      </w:r>
      <w:r w:rsidR="001212F5">
        <w:rPr>
          <w:lang w:val="en-AU"/>
        </w:rPr>
        <w:t xml:space="preserve"> </w:t>
      </w:r>
      <w:r w:rsidR="00341EDC">
        <w:rPr>
          <w:lang w:val="en-AU"/>
        </w:rPr>
        <w:t>and 2011</w:t>
      </w:r>
      <w:r w:rsidR="00341EDC">
        <w:rPr>
          <w:rStyle w:val="FootnoteReference"/>
          <w:lang w:val="en-AU"/>
        </w:rPr>
        <w:footnoteReference w:id="9"/>
      </w:r>
      <w:r w:rsidR="00341EDC">
        <w:rPr>
          <w:lang w:val="en-AU"/>
        </w:rPr>
        <w:t xml:space="preserve">. </w:t>
      </w:r>
    </w:p>
    <w:p w14:paraId="2534C95B" w14:textId="455E2A98" w:rsidR="000A009B" w:rsidRPr="000A009B" w:rsidRDefault="000B7D4E" w:rsidP="000A009B">
      <w:r>
        <w:rPr>
          <w:lang w:val="en-AU"/>
        </w:rPr>
        <w:t xml:space="preserve">In 2002, a major assessment on destruction was undertaken by the TEAP Task Force on Destruction Technologies. </w:t>
      </w:r>
      <w:r w:rsidR="000A009B">
        <w:rPr>
          <w:lang w:val="en-AU"/>
        </w:rPr>
        <w:t>T</w:t>
      </w:r>
      <w:r w:rsidR="000A009B" w:rsidRPr="000A009B">
        <w:rPr>
          <w:lang w:val="en-US"/>
        </w:rPr>
        <w:t xml:space="preserve">he </w:t>
      </w:r>
      <w:r w:rsidR="000A009B">
        <w:rPr>
          <w:lang w:val="en-US"/>
        </w:rPr>
        <w:t xml:space="preserve">2002 </w:t>
      </w:r>
      <w:r w:rsidR="000A009B" w:rsidRPr="000A009B">
        <w:rPr>
          <w:lang w:val="en-US"/>
        </w:rPr>
        <w:t xml:space="preserve">Task Force </w:t>
      </w:r>
      <w:r w:rsidR="00CC2093">
        <w:rPr>
          <w:lang w:val="en-US"/>
        </w:rPr>
        <w:t xml:space="preserve">(2002 TFDT) </w:t>
      </w:r>
      <w:r w:rsidR="000A009B" w:rsidRPr="000A009B">
        <w:rPr>
          <w:lang w:val="en-US"/>
        </w:rPr>
        <w:t xml:space="preserve">developed </w:t>
      </w:r>
      <w:r w:rsidR="000A009B">
        <w:rPr>
          <w:lang w:val="en-US"/>
        </w:rPr>
        <w:t xml:space="preserve">screening </w:t>
      </w:r>
      <w:r w:rsidR="000A009B" w:rsidRPr="000A009B">
        <w:rPr>
          <w:lang w:val="en-US"/>
        </w:rPr>
        <w:t xml:space="preserve">criteria for </w:t>
      </w:r>
      <w:r w:rsidR="001212F5">
        <w:rPr>
          <w:lang w:val="en-US"/>
        </w:rPr>
        <w:t xml:space="preserve">the assessment of </w:t>
      </w:r>
      <w:r w:rsidR="000A009B">
        <w:rPr>
          <w:lang w:val="en-US"/>
        </w:rPr>
        <w:t xml:space="preserve">destruction </w:t>
      </w:r>
      <w:r w:rsidR="000A009B" w:rsidRPr="000A009B">
        <w:rPr>
          <w:lang w:val="en-US"/>
        </w:rPr>
        <w:t xml:space="preserve">technologies on the basis of: </w:t>
      </w:r>
    </w:p>
    <w:p w14:paraId="751D6F8A" w14:textId="77777777" w:rsidR="000A009B" w:rsidRPr="000A009B" w:rsidRDefault="000A009B" w:rsidP="00A4342B">
      <w:pPr>
        <w:numPr>
          <w:ilvl w:val="0"/>
          <w:numId w:val="66"/>
        </w:numPr>
        <w:rPr>
          <w:lang w:val="en-US"/>
        </w:rPr>
      </w:pPr>
      <w:r w:rsidRPr="000A009B">
        <w:rPr>
          <w:lang w:val="en-US"/>
        </w:rPr>
        <w:t>Destruction and Removal Efficiency (DRE)</w:t>
      </w:r>
      <w:r w:rsidRPr="000A009B">
        <w:rPr>
          <w:vertAlign w:val="superscript"/>
          <w:lang w:val="en-US"/>
        </w:rPr>
        <w:footnoteReference w:id="10"/>
      </w:r>
      <w:r w:rsidRPr="000A009B">
        <w:rPr>
          <w:lang w:val="en-US"/>
        </w:rPr>
        <w:t xml:space="preserve"> </w:t>
      </w:r>
      <w:r w:rsidRPr="000A009B">
        <w:rPr>
          <w:rFonts w:ascii="MS Mincho" w:eastAsia="MS Mincho" w:hAnsi="MS Mincho" w:cs="MS Mincho" w:hint="eastAsia"/>
          <w:lang w:val="en-US"/>
        </w:rPr>
        <w:t> </w:t>
      </w:r>
    </w:p>
    <w:p w14:paraId="054CE5EA" w14:textId="31DAE355" w:rsidR="000A009B" w:rsidRPr="000A009B" w:rsidRDefault="000A009B" w:rsidP="00A4342B">
      <w:pPr>
        <w:numPr>
          <w:ilvl w:val="0"/>
          <w:numId w:val="66"/>
        </w:numPr>
        <w:rPr>
          <w:lang w:val="en-US"/>
        </w:rPr>
      </w:pPr>
      <w:r w:rsidRPr="000A009B">
        <w:rPr>
          <w:lang w:val="en-US"/>
        </w:rPr>
        <w:t>Emissio</w:t>
      </w:r>
      <w:r w:rsidR="00D1412D">
        <w:rPr>
          <w:lang w:val="en-US"/>
        </w:rPr>
        <w:t>ns of dioxins</w:t>
      </w:r>
      <w:r w:rsidR="00946811">
        <w:rPr>
          <w:lang w:val="en-US"/>
        </w:rPr>
        <w:t xml:space="preserve"> and </w:t>
      </w:r>
      <w:r w:rsidR="00D1412D">
        <w:rPr>
          <w:lang w:val="en-US"/>
        </w:rPr>
        <w:t>furans (PCDDs/PCDF</w:t>
      </w:r>
      <w:r w:rsidRPr="000A009B">
        <w:rPr>
          <w:lang w:val="en-US"/>
        </w:rPr>
        <w:t>s)</w:t>
      </w:r>
      <w:r w:rsidR="00465937">
        <w:rPr>
          <w:rStyle w:val="FootnoteReference"/>
          <w:lang w:val="en-US"/>
        </w:rPr>
        <w:footnoteReference w:id="11"/>
      </w:r>
      <w:r w:rsidRPr="000A009B">
        <w:rPr>
          <w:lang w:val="en-US"/>
        </w:rPr>
        <w:t xml:space="preserve"> </w:t>
      </w:r>
      <w:r w:rsidRPr="000A009B">
        <w:rPr>
          <w:rFonts w:ascii="MS Mincho" w:eastAsia="MS Mincho" w:hAnsi="MS Mincho" w:cs="MS Mincho" w:hint="eastAsia"/>
          <w:lang w:val="en-US"/>
        </w:rPr>
        <w:t> </w:t>
      </w:r>
    </w:p>
    <w:p w14:paraId="721D0152" w14:textId="6E6B90A4" w:rsidR="000A009B" w:rsidRPr="000A009B" w:rsidRDefault="000A009B" w:rsidP="00A4342B">
      <w:pPr>
        <w:numPr>
          <w:ilvl w:val="0"/>
          <w:numId w:val="66"/>
        </w:numPr>
        <w:rPr>
          <w:lang w:val="en-US"/>
        </w:rPr>
      </w:pPr>
      <w:r w:rsidRPr="000A009B">
        <w:rPr>
          <w:lang w:val="en-US"/>
        </w:rPr>
        <w:t>Emissions of other pollutants (acid gases, particulate matter, and carbon monoxide)</w:t>
      </w:r>
    </w:p>
    <w:p w14:paraId="5DC89349" w14:textId="77777777" w:rsidR="000A009B" w:rsidRPr="000A009B" w:rsidRDefault="000A009B" w:rsidP="00A4342B">
      <w:pPr>
        <w:numPr>
          <w:ilvl w:val="0"/>
          <w:numId w:val="66"/>
        </w:numPr>
        <w:rPr>
          <w:lang w:val="en-US"/>
        </w:rPr>
      </w:pPr>
      <w:r w:rsidRPr="000A009B">
        <w:rPr>
          <w:lang w:val="en-US"/>
        </w:rPr>
        <w:t xml:space="preserve">Technical capability </w:t>
      </w:r>
      <w:r w:rsidRPr="000A009B">
        <w:rPr>
          <w:rFonts w:ascii="MS Mincho" w:eastAsia="MS Mincho" w:hAnsi="MS Mincho" w:cs="MS Mincho" w:hint="eastAsia"/>
          <w:lang w:val="en-US"/>
        </w:rPr>
        <w:t> </w:t>
      </w:r>
    </w:p>
    <w:p w14:paraId="0DD44374" w14:textId="77777777" w:rsidR="005D36B5" w:rsidRDefault="000A009B" w:rsidP="00587D2E">
      <w:pPr>
        <w:rPr>
          <w:lang w:val="en-AU"/>
        </w:rPr>
      </w:pPr>
      <w:r>
        <w:rPr>
          <w:lang w:val="en-AU"/>
        </w:rPr>
        <w:t xml:space="preserve">These performance and technical capability criteria are </w:t>
      </w:r>
      <w:r w:rsidR="00E70D9F">
        <w:rPr>
          <w:lang w:val="en-AU"/>
        </w:rPr>
        <w:t xml:space="preserve">described further in Section 2. </w:t>
      </w:r>
    </w:p>
    <w:p w14:paraId="5F1305CC" w14:textId="7764145E" w:rsidR="005834DD" w:rsidRDefault="005834DD" w:rsidP="00587D2E">
      <w:pPr>
        <w:rPr>
          <w:lang w:val="en-AU"/>
        </w:rPr>
      </w:pPr>
      <w:r>
        <w:rPr>
          <w:lang w:val="en-AU"/>
        </w:rPr>
        <w:t>T</w:t>
      </w:r>
      <w:r w:rsidR="00E70D9F">
        <w:rPr>
          <w:lang w:val="en-AU"/>
        </w:rPr>
        <w:t xml:space="preserve">hese criteria have been used as the basis for </w:t>
      </w:r>
      <w:r w:rsidR="0017234E">
        <w:rPr>
          <w:lang w:val="en-AU"/>
        </w:rPr>
        <w:t xml:space="preserve">assessing </w:t>
      </w:r>
      <w:r w:rsidR="00E70D9F">
        <w:rPr>
          <w:lang w:val="en-AU"/>
        </w:rPr>
        <w:t>destruction te</w:t>
      </w:r>
      <w:r w:rsidR="001212F5">
        <w:rPr>
          <w:lang w:val="en-AU"/>
        </w:rPr>
        <w:t>chnologies</w:t>
      </w:r>
      <w:r w:rsidR="0017234E">
        <w:rPr>
          <w:lang w:val="en-AU"/>
        </w:rPr>
        <w:t xml:space="preserve"> </w:t>
      </w:r>
      <w:r w:rsidR="001212F5">
        <w:rPr>
          <w:lang w:val="en-AU"/>
        </w:rPr>
        <w:t>since 2002, and</w:t>
      </w:r>
      <w:r w:rsidR="0017234E">
        <w:rPr>
          <w:lang w:val="en-AU"/>
        </w:rPr>
        <w:t xml:space="preserve"> in this assessment</w:t>
      </w:r>
      <w:r>
        <w:rPr>
          <w:lang w:val="en-AU"/>
        </w:rPr>
        <w:t>. They</w:t>
      </w:r>
      <w:r w:rsidR="00E70D9F">
        <w:rPr>
          <w:lang w:val="en-AU"/>
        </w:rPr>
        <w:t xml:space="preserve"> constitute minimum performance criteria for the purposes of </w:t>
      </w:r>
      <w:r w:rsidR="00324CA3">
        <w:rPr>
          <w:lang w:val="en-AU"/>
        </w:rPr>
        <w:t>assessing</w:t>
      </w:r>
      <w:r w:rsidR="00E70D9F">
        <w:rPr>
          <w:lang w:val="en-AU"/>
        </w:rPr>
        <w:t xml:space="preserve"> technologies and making recommendations to the parties to the Montreal Protocol. </w:t>
      </w:r>
      <w:r w:rsidR="00043BF0">
        <w:rPr>
          <w:lang w:val="en-AU"/>
        </w:rPr>
        <w:t xml:space="preserve">The technical assessment </w:t>
      </w:r>
      <w:r>
        <w:rPr>
          <w:lang w:val="en-AU"/>
        </w:rPr>
        <w:t>can conclude</w:t>
      </w:r>
      <w:r w:rsidR="00043BF0">
        <w:rPr>
          <w:lang w:val="en-AU"/>
        </w:rPr>
        <w:t xml:space="preserve"> that a generic type of destruction technology has demonstrated that it is capable of meeting these performance criteria</w:t>
      </w:r>
      <w:r>
        <w:rPr>
          <w:lang w:val="en-AU"/>
        </w:rPr>
        <w:t xml:space="preserve"> based on actual data</w:t>
      </w:r>
      <w:r w:rsidR="00043BF0">
        <w:rPr>
          <w:lang w:val="en-AU"/>
        </w:rPr>
        <w:t xml:space="preserve">. </w:t>
      </w:r>
    </w:p>
    <w:p w14:paraId="31E3D2BE" w14:textId="7277A48B" w:rsidR="00E158E1" w:rsidRDefault="00043BF0" w:rsidP="00587D2E">
      <w:pPr>
        <w:rPr>
          <w:lang w:val="en-AU"/>
        </w:rPr>
      </w:pPr>
      <w:r>
        <w:rPr>
          <w:lang w:val="en-AU"/>
        </w:rPr>
        <w:t>The assessment criteria</w:t>
      </w:r>
      <w:r w:rsidR="00E70D9F">
        <w:rPr>
          <w:lang w:val="en-AU"/>
        </w:rPr>
        <w:t xml:space="preserve"> are not intended to imply</w:t>
      </w:r>
      <w:r w:rsidR="009F7A41">
        <w:rPr>
          <w:lang w:val="en-AU"/>
        </w:rPr>
        <w:t xml:space="preserve">, in any way, </w:t>
      </w:r>
      <w:r w:rsidR="00324CA3">
        <w:rPr>
          <w:lang w:val="en-AU"/>
        </w:rPr>
        <w:t xml:space="preserve">a level of </w:t>
      </w:r>
      <w:r w:rsidR="009F7A41">
        <w:rPr>
          <w:lang w:val="en-AU"/>
        </w:rPr>
        <w:t>s</w:t>
      </w:r>
      <w:r w:rsidR="00E70D9F">
        <w:rPr>
          <w:lang w:val="en-AU"/>
        </w:rPr>
        <w:t>tandards</w:t>
      </w:r>
      <w:r w:rsidR="009F7A41">
        <w:rPr>
          <w:lang w:val="en-AU"/>
        </w:rPr>
        <w:t xml:space="preserve"> for </w:t>
      </w:r>
      <w:r>
        <w:rPr>
          <w:lang w:val="en-AU"/>
        </w:rPr>
        <w:t>pollutant</w:t>
      </w:r>
      <w:r w:rsidR="005D36B5">
        <w:rPr>
          <w:lang w:val="en-AU"/>
        </w:rPr>
        <w:t>s</w:t>
      </w:r>
      <w:r>
        <w:rPr>
          <w:lang w:val="en-AU"/>
        </w:rPr>
        <w:t xml:space="preserve"> </w:t>
      </w:r>
      <w:r w:rsidR="005D36B5">
        <w:rPr>
          <w:lang w:val="en-AU"/>
        </w:rPr>
        <w:t>emitted</w:t>
      </w:r>
      <w:r w:rsidR="009F7A41">
        <w:rPr>
          <w:lang w:val="en-AU"/>
        </w:rPr>
        <w:t xml:space="preserve"> from destruction facilities</w:t>
      </w:r>
      <w:r>
        <w:rPr>
          <w:lang w:val="en-AU"/>
        </w:rPr>
        <w:t xml:space="preserve">. </w:t>
      </w:r>
      <w:r w:rsidR="00E158E1">
        <w:rPr>
          <w:lang w:val="en-AU"/>
        </w:rPr>
        <w:t>Local</w:t>
      </w:r>
      <w:r w:rsidR="00E70D9F">
        <w:rPr>
          <w:lang w:val="en-AU"/>
        </w:rPr>
        <w:t xml:space="preserve"> </w:t>
      </w:r>
      <w:r w:rsidR="005D36B5">
        <w:rPr>
          <w:lang w:val="en-AU"/>
        </w:rPr>
        <w:t xml:space="preserve">standards </w:t>
      </w:r>
      <w:r w:rsidR="0017234E">
        <w:rPr>
          <w:lang w:val="en-AU"/>
        </w:rPr>
        <w:t>are</w:t>
      </w:r>
      <w:r w:rsidR="00E70D9F">
        <w:rPr>
          <w:lang w:val="en-AU"/>
        </w:rPr>
        <w:t xml:space="preserve"> established by governments within their regulatory regimes.</w:t>
      </w:r>
      <w:r w:rsidR="0017234E">
        <w:rPr>
          <w:lang w:val="en-AU"/>
        </w:rPr>
        <w:t xml:space="preserve"> </w:t>
      </w:r>
      <w:r>
        <w:rPr>
          <w:lang w:val="en-AU"/>
        </w:rPr>
        <w:t>Similarly, a</w:t>
      </w:r>
      <w:r w:rsidR="00324CA3">
        <w:rPr>
          <w:lang w:val="en-AU"/>
        </w:rPr>
        <w:t xml:space="preserve"> recommended generic type of destruction technology assessed against these criteria does not imply that a specific facility can or will meet local standards for pollutant emissions</w:t>
      </w:r>
      <w:r w:rsidR="008B49D5">
        <w:rPr>
          <w:lang w:val="en-AU"/>
        </w:rPr>
        <w:t>,</w:t>
      </w:r>
      <w:r w:rsidR="00324CA3">
        <w:rPr>
          <w:lang w:val="en-AU"/>
        </w:rPr>
        <w:t xml:space="preserve"> </w:t>
      </w:r>
      <w:r w:rsidR="00E158E1">
        <w:rPr>
          <w:lang w:val="en-AU"/>
        </w:rPr>
        <w:t xml:space="preserve">or </w:t>
      </w:r>
      <w:r w:rsidR="008B49D5">
        <w:rPr>
          <w:lang w:val="en-AU"/>
        </w:rPr>
        <w:t xml:space="preserve">even </w:t>
      </w:r>
      <w:r w:rsidR="00E158E1">
        <w:rPr>
          <w:lang w:val="en-AU"/>
        </w:rPr>
        <w:t>the assessment criteria</w:t>
      </w:r>
      <w:r w:rsidR="008B49D5">
        <w:rPr>
          <w:lang w:val="en-AU"/>
        </w:rPr>
        <w:t>,</w:t>
      </w:r>
      <w:r w:rsidR="00E158E1">
        <w:rPr>
          <w:lang w:val="en-AU"/>
        </w:rPr>
        <w:t xml:space="preserve"> </w:t>
      </w:r>
      <w:r w:rsidR="005D36B5">
        <w:rPr>
          <w:lang w:val="en-AU"/>
        </w:rPr>
        <w:t>during</w:t>
      </w:r>
      <w:r w:rsidR="00E158E1">
        <w:rPr>
          <w:lang w:val="en-AU"/>
        </w:rPr>
        <w:t xml:space="preserve"> </w:t>
      </w:r>
      <w:r w:rsidR="008B49D5">
        <w:rPr>
          <w:lang w:val="en-AU"/>
        </w:rPr>
        <w:t xml:space="preserve">actual </w:t>
      </w:r>
      <w:r w:rsidR="00324CA3">
        <w:rPr>
          <w:lang w:val="en-AU"/>
        </w:rPr>
        <w:t xml:space="preserve">operation. </w:t>
      </w:r>
      <w:r w:rsidR="00AB6A3B" w:rsidRPr="00D227DC">
        <w:rPr>
          <w:lang w:val="en-AU"/>
        </w:rPr>
        <w:t xml:space="preserve">These are matters for operators and government agencies within national </w:t>
      </w:r>
      <w:r w:rsidR="00AB6A3B" w:rsidRPr="00D227DC">
        <w:rPr>
          <w:lang w:val="en-AU"/>
        </w:rPr>
        <w:lastRenderedPageBreak/>
        <w:t>regulatory frameworks.</w:t>
      </w:r>
      <w:r w:rsidR="00AB6A3B">
        <w:rPr>
          <w:lang w:val="en-AU"/>
        </w:rPr>
        <w:t xml:space="preserve"> </w:t>
      </w:r>
      <w:r w:rsidR="00AD066E">
        <w:rPr>
          <w:lang w:val="en-AU"/>
        </w:rPr>
        <w:t xml:space="preserve">A recommendation for inclusion on the list of approved destruction technologies is </w:t>
      </w:r>
      <w:r w:rsidR="00AB6A3B">
        <w:rPr>
          <w:lang w:val="en-AU"/>
        </w:rPr>
        <w:t xml:space="preserve">also </w:t>
      </w:r>
      <w:r w:rsidR="00AD066E">
        <w:rPr>
          <w:lang w:val="en-AU"/>
        </w:rPr>
        <w:t xml:space="preserve">not an endorsement. </w:t>
      </w:r>
    </w:p>
    <w:p w14:paraId="439691F9" w14:textId="0A700818" w:rsidR="000B7D4E" w:rsidRDefault="00E158E1" w:rsidP="00587D2E">
      <w:pPr>
        <w:rPr>
          <w:lang w:val="en-AU"/>
        </w:rPr>
      </w:pPr>
      <w:r>
        <w:rPr>
          <w:lang w:val="en-AU"/>
        </w:rPr>
        <w:t>Only technical feasibility has been considered in this assessment, including technical capability. Costs (plant, maintenance, operation, cost per kg) and economic feasibility have not been taken into consideration in this assessment.</w:t>
      </w:r>
    </w:p>
    <w:p w14:paraId="43BD076C" w14:textId="109A9961" w:rsidR="00043BF0" w:rsidRDefault="00043BF0" w:rsidP="00587D2E">
      <w:r>
        <w:t>T</w:t>
      </w:r>
      <w:r w:rsidRPr="00043BF0">
        <w:t>he TEAP</w:t>
      </w:r>
      <w:r w:rsidR="005D36B5">
        <w:t>, TOCs,</w:t>
      </w:r>
      <w:r>
        <w:t xml:space="preserve"> and </w:t>
      </w:r>
      <w:r w:rsidR="00CC2093">
        <w:t>2018 TFDT</w:t>
      </w:r>
      <w:r>
        <w:t xml:space="preserve"> c</w:t>
      </w:r>
      <w:r w:rsidRPr="00043BF0">
        <w:t>o-chairs and members, and the companies and organisations that employ them</w:t>
      </w:r>
      <w:r>
        <w:t>,</w:t>
      </w:r>
      <w:r w:rsidRPr="00043BF0">
        <w:t xml:space="preserve"> do not endorse the performance, worker safety, or environmental acceptability of any of the </w:t>
      </w:r>
      <w:r>
        <w:t>destruction technologies</w:t>
      </w:r>
      <w:r w:rsidRPr="00043BF0">
        <w:t xml:space="preserve"> discussed.</w:t>
      </w:r>
      <w:r w:rsidR="00AD066E">
        <w:t xml:space="preserve"> </w:t>
      </w:r>
    </w:p>
    <w:p w14:paraId="009A8855" w14:textId="77777777" w:rsidR="00E30462" w:rsidRDefault="00E30462" w:rsidP="00275CBE">
      <w:pPr>
        <w:pStyle w:val="Heading2"/>
      </w:pPr>
      <w:bookmarkStart w:id="18" w:name="_Toc510531443"/>
      <w:r>
        <w:t>1.4</w:t>
      </w:r>
      <w:r>
        <w:tab/>
      </w:r>
      <w:r w:rsidRPr="00E30462">
        <w:t>Submissions received</w:t>
      </w:r>
      <w:bookmarkEnd w:id="18"/>
      <w:r w:rsidRPr="00E30462">
        <w:t xml:space="preserve"> </w:t>
      </w:r>
    </w:p>
    <w:p w14:paraId="483583B8" w14:textId="01001CA5" w:rsidR="00F0524B" w:rsidRPr="00F0524B" w:rsidRDefault="00F0524B" w:rsidP="00F0524B">
      <w:r>
        <w:t>Submissions in response to decision XXIX/4, paragraph 2, were</w:t>
      </w:r>
      <w:r w:rsidRPr="00F0524B">
        <w:t xml:space="preserve"> received from</w:t>
      </w:r>
      <w:r w:rsidR="001F1773">
        <w:t xml:space="preserve"> Armenia, Australia, Canada, China, the European Union, Japan, Luxembourg, Mexico, the United States, and Venezuela</w:t>
      </w:r>
      <w:r w:rsidRPr="00F0524B">
        <w:t xml:space="preserve">. </w:t>
      </w:r>
      <w:r w:rsidR="001F1773">
        <w:t xml:space="preserve">A summary is contained in </w:t>
      </w:r>
      <w:r w:rsidR="00821E67">
        <w:t xml:space="preserve">Appendix </w:t>
      </w:r>
      <w:r w:rsidR="00421F83">
        <w:t>1</w:t>
      </w:r>
      <w:r w:rsidR="001F1773">
        <w:t xml:space="preserve">. The </w:t>
      </w:r>
      <w:r w:rsidR="00CC2093">
        <w:t>2018 TFDT</w:t>
      </w:r>
      <w:r w:rsidRPr="00F0524B">
        <w:t xml:space="preserve"> has </w:t>
      </w:r>
      <w:r w:rsidR="001F1773">
        <w:t>considered and incorporated</w:t>
      </w:r>
      <w:r w:rsidRPr="00F0524B">
        <w:t xml:space="preserve"> relevant information </w:t>
      </w:r>
      <w:r w:rsidR="009D6E18">
        <w:t>contained in those submissions</w:t>
      </w:r>
      <w:r w:rsidRPr="00F0524B">
        <w:t xml:space="preserve">. </w:t>
      </w:r>
      <w:r w:rsidR="009157A9">
        <w:t>Where parties have</w:t>
      </w:r>
      <w:r w:rsidR="00704944">
        <w:rPr>
          <w:szCs w:val="22"/>
        </w:rPr>
        <w:t xml:space="preserve"> confirmed </w:t>
      </w:r>
      <w:r w:rsidR="009157A9">
        <w:rPr>
          <w:szCs w:val="22"/>
        </w:rPr>
        <w:t xml:space="preserve">that the information is </w:t>
      </w:r>
      <w:r w:rsidR="00704944">
        <w:rPr>
          <w:szCs w:val="22"/>
        </w:rPr>
        <w:t>non-confidential</w:t>
      </w:r>
      <w:r w:rsidR="004E330D">
        <w:rPr>
          <w:szCs w:val="22"/>
        </w:rPr>
        <w:t>,</w:t>
      </w:r>
      <w:r w:rsidR="00704944">
        <w:rPr>
          <w:szCs w:val="22"/>
        </w:rPr>
        <w:t xml:space="preserve"> </w:t>
      </w:r>
      <w:r w:rsidR="009157A9">
        <w:rPr>
          <w:szCs w:val="22"/>
        </w:rPr>
        <w:t>this</w:t>
      </w:r>
      <w:r w:rsidR="009D6E18" w:rsidRPr="000D6BA0">
        <w:rPr>
          <w:szCs w:val="22"/>
        </w:rPr>
        <w:t xml:space="preserve"> </w:t>
      </w:r>
      <w:r w:rsidR="009D6E18">
        <w:rPr>
          <w:szCs w:val="22"/>
        </w:rPr>
        <w:t>will be</w:t>
      </w:r>
      <w:r w:rsidR="009D6E18" w:rsidRPr="00D16ECC">
        <w:rPr>
          <w:szCs w:val="22"/>
        </w:rPr>
        <w:t xml:space="preserve"> compiled in a separate document, in pdf format</w:t>
      </w:r>
      <w:r w:rsidR="009157A9">
        <w:rPr>
          <w:szCs w:val="22"/>
        </w:rPr>
        <w:t>, and made available prior to</w:t>
      </w:r>
      <w:r w:rsidR="009D6E18">
        <w:rPr>
          <w:szCs w:val="22"/>
        </w:rPr>
        <w:t xml:space="preserve"> the 40</w:t>
      </w:r>
      <w:r w:rsidR="009D6E18" w:rsidRPr="00E46C98">
        <w:rPr>
          <w:szCs w:val="22"/>
          <w:vertAlign w:val="superscript"/>
        </w:rPr>
        <w:t>th</w:t>
      </w:r>
      <w:r w:rsidR="009D6E18">
        <w:rPr>
          <w:szCs w:val="22"/>
        </w:rPr>
        <w:t xml:space="preserve"> Open-ended Working Group </w:t>
      </w:r>
      <w:r w:rsidR="009D6E18" w:rsidRPr="00D16ECC">
        <w:rPr>
          <w:szCs w:val="22"/>
        </w:rPr>
        <w:t>on the Ozone Secretariat website at the following link:</w:t>
      </w:r>
      <w:r w:rsidR="009D6E18" w:rsidRPr="00D16ECC" w:rsidDel="004958B8">
        <w:rPr>
          <w:szCs w:val="22"/>
        </w:rPr>
        <w:t xml:space="preserve"> </w:t>
      </w:r>
      <w:hyperlink r:id="rId35" w:history="1">
        <w:r w:rsidR="009D6E18" w:rsidRPr="00096DCE">
          <w:rPr>
            <w:rStyle w:val="Hyperlink"/>
            <w:szCs w:val="22"/>
          </w:rPr>
          <w:t>http://conf.montreal-protocol.org/meeting/oewg/oewg-40/presession/SitePages/Home.aspx</w:t>
        </w:r>
      </w:hyperlink>
      <w:r w:rsidR="009D6E18">
        <w:rPr>
          <w:szCs w:val="22"/>
        </w:rPr>
        <w:t xml:space="preserve">. </w:t>
      </w:r>
    </w:p>
    <w:p w14:paraId="40DD566E" w14:textId="77777777" w:rsidR="001815FF" w:rsidRDefault="001815FF" w:rsidP="00275CBE">
      <w:pPr>
        <w:pStyle w:val="Heading2"/>
      </w:pPr>
      <w:bookmarkStart w:id="19" w:name="_Toc510531444"/>
      <w:bookmarkStart w:id="20" w:name="_Toc356240452"/>
      <w:r>
        <w:t>1.5</w:t>
      </w:r>
      <w:r>
        <w:tab/>
        <w:t>This assessment</w:t>
      </w:r>
      <w:bookmarkEnd w:id="19"/>
    </w:p>
    <w:p w14:paraId="4C40B107" w14:textId="28E27763" w:rsidR="000A009B" w:rsidRPr="00E30462" w:rsidRDefault="00421F83" w:rsidP="000A009B">
      <w:pPr>
        <w:rPr>
          <w:lang w:val="en-AU"/>
        </w:rPr>
      </w:pPr>
      <w:r>
        <w:rPr>
          <w:lang w:val="en-AU"/>
        </w:rPr>
        <w:t xml:space="preserve">In addition to considering the relevant information provided by parties in their submissions, the </w:t>
      </w:r>
      <w:r w:rsidR="00DA13B4">
        <w:rPr>
          <w:lang w:val="en-AU"/>
        </w:rPr>
        <w:t>2018 TFDT</w:t>
      </w:r>
      <w:r>
        <w:rPr>
          <w:lang w:val="en-AU"/>
        </w:rPr>
        <w:t xml:space="preserve"> also conducted l</w:t>
      </w:r>
      <w:r w:rsidR="000A009B" w:rsidRPr="00587D2E">
        <w:rPr>
          <w:lang w:val="en-AU"/>
        </w:rPr>
        <w:t xml:space="preserve">iterature research, </w:t>
      </w:r>
      <w:r>
        <w:rPr>
          <w:lang w:val="en-AU"/>
        </w:rPr>
        <w:t xml:space="preserve">reviewed other publicly available information, </w:t>
      </w:r>
      <w:r w:rsidR="000A009B" w:rsidRPr="00587D2E">
        <w:rPr>
          <w:lang w:val="en-AU"/>
        </w:rPr>
        <w:t xml:space="preserve">and </w:t>
      </w:r>
      <w:r>
        <w:rPr>
          <w:lang w:val="en-AU"/>
        </w:rPr>
        <w:t xml:space="preserve">requested </w:t>
      </w:r>
      <w:r w:rsidRPr="00587D2E">
        <w:rPr>
          <w:lang w:val="en-AU"/>
        </w:rPr>
        <w:t xml:space="preserve">detailed clarifications and </w:t>
      </w:r>
      <w:r>
        <w:rPr>
          <w:lang w:val="en-AU"/>
        </w:rPr>
        <w:t>additional information</w:t>
      </w:r>
      <w:r w:rsidRPr="00587D2E">
        <w:rPr>
          <w:lang w:val="en-AU"/>
        </w:rPr>
        <w:t xml:space="preserve"> </w:t>
      </w:r>
      <w:r>
        <w:rPr>
          <w:lang w:val="en-AU"/>
        </w:rPr>
        <w:t xml:space="preserve">from </w:t>
      </w:r>
      <w:r w:rsidR="000A009B" w:rsidRPr="00587D2E">
        <w:rPr>
          <w:lang w:val="en-AU"/>
        </w:rPr>
        <w:t xml:space="preserve">several </w:t>
      </w:r>
      <w:r>
        <w:rPr>
          <w:lang w:val="en-AU"/>
        </w:rPr>
        <w:t xml:space="preserve">parties and/or </w:t>
      </w:r>
      <w:r w:rsidR="000A009B" w:rsidRPr="00587D2E">
        <w:rPr>
          <w:lang w:val="en-AU"/>
        </w:rPr>
        <w:t>technology</w:t>
      </w:r>
      <w:r w:rsidR="00D06B19">
        <w:rPr>
          <w:lang w:val="en-AU"/>
        </w:rPr>
        <w:t xml:space="preserve"> suppliers and</w:t>
      </w:r>
      <w:r w:rsidR="000A009B" w:rsidRPr="00587D2E">
        <w:rPr>
          <w:lang w:val="en-AU"/>
        </w:rPr>
        <w:t xml:space="preserve"> </w:t>
      </w:r>
      <w:r w:rsidR="009D6E18">
        <w:rPr>
          <w:lang w:val="en-AU"/>
        </w:rPr>
        <w:t>owners</w:t>
      </w:r>
      <w:r w:rsidR="000A009B" w:rsidRPr="00587D2E">
        <w:rPr>
          <w:lang w:val="en-AU"/>
        </w:rPr>
        <w:t>.</w:t>
      </w:r>
      <w:r w:rsidR="0030429A">
        <w:rPr>
          <w:lang w:val="en-AU"/>
        </w:rPr>
        <w:t xml:space="preserve"> The </w:t>
      </w:r>
      <w:r w:rsidR="009D6E18">
        <w:rPr>
          <w:lang w:val="en-AU"/>
        </w:rPr>
        <w:t>2018 TFDT</w:t>
      </w:r>
      <w:r w:rsidR="0030429A">
        <w:rPr>
          <w:lang w:val="en-AU"/>
        </w:rPr>
        <w:t xml:space="preserve"> has </w:t>
      </w:r>
      <w:r>
        <w:rPr>
          <w:lang w:val="en-AU"/>
        </w:rPr>
        <w:t>reviewed</w:t>
      </w:r>
      <w:r w:rsidR="0030429A">
        <w:rPr>
          <w:lang w:val="en-AU"/>
        </w:rPr>
        <w:t xml:space="preserve"> </w:t>
      </w:r>
      <w:r w:rsidR="00580343">
        <w:rPr>
          <w:lang w:val="en-AU"/>
        </w:rPr>
        <w:t xml:space="preserve">performance data provided to it in </w:t>
      </w:r>
      <w:r>
        <w:rPr>
          <w:lang w:val="en-AU"/>
        </w:rPr>
        <w:t>good</w:t>
      </w:r>
      <w:r w:rsidR="00704944">
        <w:rPr>
          <w:lang w:val="en-AU"/>
        </w:rPr>
        <w:t>-</w:t>
      </w:r>
      <w:r>
        <w:rPr>
          <w:lang w:val="en-AU"/>
        </w:rPr>
        <w:t xml:space="preserve">faith </w:t>
      </w:r>
      <w:r w:rsidR="0030429A">
        <w:rPr>
          <w:lang w:val="en-AU"/>
        </w:rPr>
        <w:t>on the assumption that it</w:t>
      </w:r>
      <w:r w:rsidR="00580343">
        <w:rPr>
          <w:lang w:val="en-AU"/>
        </w:rPr>
        <w:t xml:space="preserve"> is accurate data based on</w:t>
      </w:r>
      <w:r w:rsidR="0030429A">
        <w:rPr>
          <w:lang w:val="en-AU"/>
        </w:rPr>
        <w:t xml:space="preserve"> real measurements </w:t>
      </w:r>
      <w:r>
        <w:rPr>
          <w:lang w:val="en-AU"/>
        </w:rPr>
        <w:t>from destruction technologies during</w:t>
      </w:r>
      <w:r w:rsidR="0030429A">
        <w:rPr>
          <w:lang w:val="en-AU"/>
        </w:rPr>
        <w:t xml:space="preserve"> </w:t>
      </w:r>
      <w:r>
        <w:rPr>
          <w:lang w:val="en-AU"/>
        </w:rPr>
        <w:t xml:space="preserve">test or </w:t>
      </w:r>
      <w:r w:rsidR="006065DB">
        <w:rPr>
          <w:lang w:val="en-AU"/>
        </w:rPr>
        <w:t xml:space="preserve">under </w:t>
      </w:r>
      <w:r>
        <w:rPr>
          <w:lang w:val="en-AU"/>
        </w:rPr>
        <w:t xml:space="preserve">normal </w:t>
      </w:r>
      <w:r w:rsidR="0030429A">
        <w:rPr>
          <w:lang w:val="en-AU"/>
        </w:rPr>
        <w:t>operation.</w:t>
      </w:r>
    </w:p>
    <w:p w14:paraId="6AFDDA79" w14:textId="184430CF" w:rsidR="00421F83" w:rsidRDefault="00421F83" w:rsidP="000A009B">
      <w:pPr>
        <w:rPr>
          <w:lang w:val="en-US" w:eastAsia="en-US"/>
        </w:rPr>
      </w:pPr>
      <w:r>
        <w:rPr>
          <w:lang w:val="en-US" w:eastAsia="en-US"/>
        </w:rPr>
        <w:t xml:space="preserve">The </w:t>
      </w:r>
      <w:r w:rsidR="00DA13B4">
        <w:rPr>
          <w:lang w:val="en-US" w:eastAsia="en-US"/>
        </w:rPr>
        <w:t>2018 TFDT</w:t>
      </w:r>
      <w:r>
        <w:rPr>
          <w:lang w:val="en-US" w:eastAsia="en-US"/>
        </w:rPr>
        <w:t xml:space="preserve"> addressed decision XXIX/4 according to its two parts:</w:t>
      </w:r>
    </w:p>
    <w:p w14:paraId="3B13EE98" w14:textId="77E25F2B" w:rsidR="00421F83" w:rsidRPr="006065DB" w:rsidRDefault="00421F83" w:rsidP="00A549E8">
      <w:pPr>
        <w:pStyle w:val="ListParagraph"/>
        <w:rPr>
          <w:lang w:eastAsia="en-US"/>
        </w:rPr>
      </w:pPr>
      <w:r w:rsidRPr="006065DB">
        <w:rPr>
          <w:lang w:eastAsia="en-US"/>
        </w:rPr>
        <w:t>An assessment of destruction technologies approved under decision XXIII/12 to confirm their applicability to HFCs</w:t>
      </w:r>
      <w:r w:rsidR="006065DB">
        <w:rPr>
          <w:lang w:eastAsia="en-US"/>
        </w:rPr>
        <w:t xml:space="preserve"> (paragraph 1a)</w:t>
      </w:r>
    </w:p>
    <w:p w14:paraId="121C9802" w14:textId="49ABBE67" w:rsidR="00421F83" w:rsidRPr="006065DB" w:rsidRDefault="006065DB" w:rsidP="00A549E8">
      <w:pPr>
        <w:pStyle w:val="ListParagraph"/>
        <w:rPr>
          <w:lang w:eastAsia="en-US"/>
        </w:rPr>
      </w:pPr>
      <w:r w:rsidRPr="006065DB">
        <w:rPr>
          <w:lang w:eastAsia="en-US"/>
        </w:rPr>
        <w:t>A</w:t>
      </w:r>
      <w:r>
        <w:rPr>
          <w:lang w:eastAsia="en-US"/>
        </w:rPr>
        <w:t>n a</w:t>
      </w:r>
      <w:r w:rsidRPr="006065DB">
        <w:rPr>
          <w:lang w:eastAsia="en-US"/>
        </w:rPr>
        <w:t>ssessment of any other technology for possible inclusion in the list of approved destruction technologies in relation to controlled substances</w:t>
      </w:r>
      <w:r>
        <w:rPr>
          <w:lang w:eastAsia="en-US"/>
        </w:rPr>
        <w:t xml:space="preserve"> (paragraph 1b)</w:t>
      </w:r>
    </w:p>
    <w:p w14:paraId="2976CD6D" w14:textId="59200B72" w:rsidR="006065DB" w:rsidRDefault="006065DB" w:rsidP="000A009B">
      <w:pPr>
        <w:rPr>
          <w:lang w:val="en-US" w:eastAsia="en-US"/>
        </w:rPr>
      </w:pPr>
      <w:r>
        <w:rPr>
          <w:lang w:val="en-US" w:eastAsia="en-US"/>
        </w:rPr>
        <w:t xml:space="preserve">In response to paragraph 1b, the </w:t>
      </w:r>
      <w:r w:rsidR="00CC2093">
        <w:rPr>
          <w:lang w:val="en-US" w:eastAsia="en-US"/>
        </w:rPr>
        <w:t>2018 TFDT</w:t>
      </w:r>
      <w:r>
        <w:rPr>
          <w:lang w:val="en-US" w:eastAsia="en-US"/>
        </w:rPr>
        <w:t xml:space="preserve"> considered destruction technologies of which it was aware, based on </w:t>
      </w:r>
      <w:r w:rsidR="009D6E18">
        <w:rPr>
          <w:lang w:val="en-US" w:eastAsia="en-US"/>
        </w:rPr>
        <w:t>existing knowledge</w:t>
      </w:r>
      <w:r w:rsidR="000844A6">
        <w:rPr>
          <w:lang w:val="en-US" w:eastAsia="en-US"/>
        </w:rPr>
        <w:t>, literature, reports,</w:t>
      </w:r>
      <w:r>
        <w:rPr>
          <w:lang w:val="en-US" w:eastAsia="en-US"/>
        </w:rPr>
        <w:t xml:space="preserve"> or </w:t>
      </w:r>
      <w:r w:rsidR="009D6E18">
        <w:rPr>
          <w:lang w:val="en-US" w:eastAsia="en-US"/>
        </w:rPr>
        <w:t xml:space="preserve">from </w:t>
      </w:r>
      <w:r>
        <w:rPr>
          <w:lang w:val="en-US" w:eastAsia="en-US"/>
        </w:rPr>
        <w:t xml:space="preserve">parties’ submissions. </w:t>
      </w:r>
    </w:p>
    <w:p w14:paraId="2C763C9B" w14:textId="184170CB" w:rsidR="00421F83" w:rsidRDefault="006065DB" w:rsidP="000A009B">
      <w:pPr>
        <w:rPr>
          <w:lang w:val="en-US" w:eastAsia="en-US"/>
        </w:rPr>
      </w:pPr>
      <w:r>
        <w:rPr>
          <w:lang w:val="en-US" w:eastAsia="en-US"/>
        </w:rPr>
        <w:t xml:space="preserve">The </w:t>
      </w:r>
      <w:r w:rsidR="00DA13B4">
        <w:rPr>
          <w:lang w:val="en-US" w:eastAsia="en-US"/>
        </w:rPr>
        <w:t>2018 TFDT</w:t>
      </w:r>
      <w:r>
        <w:rPr>
          <w:lang w:val="en-US" w:eastAsia="en-US"/>
        </w:rPr>
        <w:t xml:space="preserve"> has indicated where </w:t>
      </w:r>
      <w:r w:rsidR="009D6E18">
        <w:rPr>
          <w:lang w:val="en-US" w:eastAsia="en-US"/>
        </w:rPr>
        <w:t xml:space="preserve">insufficient </w:t>
      </w:r>
      <w:r>
        <w:rPr>
          <w:lang w:val="en-US" w:eastAsia="en-US"/>
        </w:rPr>
        <w:t xml:space="preserve">data was available to assess </w:t>
      </w:r>
      <w:r w:rsidR="001212F5">
        <w:rPr>
          <w:lang w:val="en-US" w:eastAsia="en-US"/>
        </w:rPr>
        <w:t xml:space="preserve">adequately </w:t>
      </w:r>
      <w:r>
        <w:rPr>
          <w:lang w:val="en-US" w:eastAsia="en-US"/>
        </w:rPr>
        <w:t>the destruction technologies under paragraphs 1a or 1b against the performance criteria and for technical capability.</w:t>
      </w:r>
      <w:r w:rsidR="001212F5">
        <w:rPr>
          <w:lang w:val="en-US" w:eastAsia="en-US"/>
        </w:rPr>
        <w:t xml:space="preserve"> </w:t>
      </w:r>
    </w:p>
    <w:p w14:paraId="2190DD03" w14:textId="0D272B7E" w:rsidR="002B6D37" w:rsidRDefault="002B6D37" w:rsidP="000A009B">
      <w:pPr>
        <w:rPr>
          <w:lang w:val="en-US" w:eastAsia="en-US"/>
        </w:rPr>
      </w:pPr>
      <w:r>
        <w:t>Subsequent to publication of the advance copy of this report, additional information has been provided to the 2018 TFDT. As a result, it will be necessary to submit a supplemental report to the 40</w:t>
      </w:r>
      <w:r w:rsidRPr="009C4346">
        <w:rPr>
          <w:vertAlign w:val="superscript"/>
        </w:rPr>
        <w:t>th</w:t>
      </w:r>
      <w:r>
        <w:t xml:space="preserve"> Open-ended Working Group that incorporates the new information.</w:t>
      </w:r>
    </w:p>
    <w:p w14:paraId="30E21D9A" w14:textId="77777777" w:rsidR="00C73234" w:rsidRDefault="00C73234">
      <w:pPr>
        <w:spacing w:after="0"/>
        <w:sectPr w:rsidR="00C73234" w:rsidSect="007D7370">
          <w:footnotePr>
            <w:numRestart w:val="eachSect"/>
          </w:footnotePr>
          <w:pgSz w:w="11907" w:h="16839" w:code="9"/>
          <w:pgMar w:top="1526" w:right="1800" w:bottom="1440" w:left="1800" w:header="720" w:footer="792" w:gutter="0"/>
          <w:cols w:space="720"/>
          <w:docGrid w:linePitch="299"/>
        </w:sectPr>
      </w:pPr>
    </w:p>
    <w:p w14:paraId="6EB6E1B6" w14:textId="38F3C8A7" w:rsidR="0017234E" w:rsidRPr="0017234E" w:rsidRDefault="004704AD" w:rsidP="00A94275">
      <w:pPr>
        <w:pStyle w:val="Heading1"/>
      </w:pPr>
      <w:bookmarkStart w:id="21" w:name="_Toc510531445"/>
      <w:r w:rsidRPr="006110B0">
        <w:rPr>
          <w:rStyle w:val="Heading1Char2"/>
          <w:rFonts w:ascii="Times New Roman" w:hAnsi="Times New Roman"/>
        </w:rPr>
        <w:lastRenderedPageBreak/>
        <w:t>2</w:t>
      </w:r>
      <w:r w:rsidRPr="006110B0">
        <w:rPr>
          <w:rStyle w:val="Heading1Char2"/>
          <w:rFonts w:ascii="Times New Roman" w:hAnsi="Times New Roman"/>
        </w:rPr>
        <w:tab/>
        <w:t>Assessment criteria</w:t>
      </w:r>
      <w:bookmarkEnd w:id="21"/>
    </w:p>
    <w:p w14:paraId="01D8B516" w14:textId="33FB12E0" w:rsidR="001212F5" w:rsidRPr="001212F5" w:rsidRDefault="001212F5" w:rsidP="001212F5">
      <w:r w:rsidRPr="001212F5">
        <w:rPr>
          <w:lang w:val="en-AU"/>
        </w:rPr>
        <w:t>T</w:t>
      </w:r>
      <w:r w:rsidRPr="001212F5">
        <w:rPr>
          <w:lang w:val="en-US"/>
        </w:rPr>
        <w:t xml:space="preserve">he 2002 Task Force </w:t>
      </w:r>
      <w:r>
        <w:rPr>
          <w:lang w:val="en-US"/>
        </w:rPr>
        <w:t>on Destruction Technologies (2002 TFDT)</w:t>
      </w:r>
      <w:r w:rsidR="00065FC7">
        <w:rPr>
          <w:rStyle w:val="FootnoteReference"/>
          <w:lang w:val="en-US"/>
        </w:rPr>
        <w:footnoteReference w:id="12"/>
      </w:r>
      <w:r>
        <w:rPr>
          <w:lang w:val="en-US"/>
        </w:rPr>
        <w:t xml:space="preserve"> </w:t>
      </w:r>
      <w:r w:rsidRPr="001212F5">
        <w:rPr>
          <w:lang w:val="en-US"/>
        </w:rPr>
        <w:t xml:space="preserve">developed </w:t>
      </w:r>
      <w:r w:rsidR="00E5435F">
        <w:rPr>
          <w:lang w:val="en-US"/>
        </w:rPr>
        <w:t>screening</w:t>
      </w:r>
      <w:r w:rsidRPr="001212F5">
        <w:rPr>
          <w:lang w:val="en-US"/>
        </w:rPr>
        <w:t xml:space="preserve"> criteria for </w:t>
      </w:r>
      <w:r>
        <w:rPr>
          <w:lang w:val="en-US"/>
        </w:rPr>
        <w:t xml:space="preserve">the assessment of </w:t>
      </w:r>
      <w:r w:rsidRPr="001212F5">
        <w:rPr>
          <w:lang w:val="en-US"/>
        </w:rPr>
        <w:t xml:space="preserve">destruction technologies </w:t>
      </w:r>
      <w:r w:rsidR="00463762">
        <w:rPr>
          <w:lang w:val="en-US"/>
        </w:rPr>
        <w:t xml:space="preserve">for the purposes of the Montreal Protocol, </w:t>
      </w:r>
      <w:r w:rsidR="00E5435F">
        <w:rPr>
          <w:lang w:val="en-US"/>
        </w:rPr>
        <w:t xml:space="preserve">and </w:t>
      </w:r>
      <w:r w:rsidRPr="001212F5">
        <w:rPr>
          <w:lang w:val="en-US"/>
        </w:rPr>
        <w:t xml:space="preserve">on the basis of: </w:t>
      </w:r>
    </w:p>
    <w:p w14:paraId="71A7C5C9" w14:textId="14763CB8" w:rsidR="001212F5" w:rsidRPr="00463762" w:rsidRDefault="001212F5" w:rsidP="00440ECF">
      <w:pPr>
        <w:numPr>
          <w:ilvl w:val="0"/>
          <w:numId w:val="53"/>
        </w:numPr>
        <w:rPr>
          <w:lang w:val="en-US"/>
        </w:rPr>
      </w:pPr>
      <w:r w:rsidRPr="00463762">
        <w:rPr>
          <w:lang w:val="en-US"/>
        </w:rPr>
        <w:t>DRE</w:t>
      </w:r>
      <w:r w:rsidR="00463762" w:rsidRPr="00463762">
        <w:rPr>
          <w:lang w:val="en-US"/>
        </w:rPr>
        <w:t xml:space="preserve">, </w:t>
      </w:r>
      <w:r w:rsidR="00463762" w:rsidRPr="00463762">
        <w:rPr>
          <w:lang w:val="en-AU"/>
        </w:rPr>
        <w:t xml:space="preserve">which is </w:t>
      </w:r>
      <w:r w:rsidR="000253FC">
        <w:rPr>
          <w:lang w:val="en-AU"/>
        </w:rPr>
        <w:t>a minimum of</w:t>
      </w:r>
      <w:r w:rsidR="00463762" w:rsidRPr="00463762">
        <w:rPr>
          <w:lang w:val="en-AU"/>
        </w:rPr>
        <w:t xml:space="preserve"> 95% for dilute sources (</w:t>
      </w:r>
      <w:r w:rsidR="009E24F5">
        <w:rPr>
          <w:lang w:val="en-AU"/>
        </w:rPr>
        <w:t xml:space="preserve">e.g. </w:t>
      </w:r>
      <w:r w:rsidR="00463762" w:rsidRPr="00463762">
        <w:rPr>
          <w:lang w:val="en-AU"/>
        </w:rPr>
        <w:t xml:space="preserve">foams) and </w:t>
      </w:r>
      <w:r w:rsidR="00463762">
        <w:rPr>
          <w:lang w:val="en-AU"/>
        </w:rPr>
        <w:t>99.99% for concentrated sources</w:t>
      </w:r>
      <w:r w:rsidR="00131A0D">
        <w:rPr>
          <w:lang w:val="en-AU"/>
        </w:rPr>
        <w:t>;</w:t>
      </w:r>
    </w:p>
    <w:p w14:paraId="4C5BA416" w14:textId="317AFC79" w:rsidR="001212F5" w:rsidRPr="001212F5" w:rsidRDefault="001212F5" w:rsidP="001212F5">
      <w:pPr>
        <w:numPr>
          <w:ilvl w:val="0"/>
          <w:numId w:val="53"/>
        </w:numPr>
        <w:rPr>
          <w:lang w:val="en-US"/>
        </w:rPr>
      </w:pPr>
      <w:r w:rsidRPr="001212F5">
        <w:rPr>
          <w:lang w:val="en-US"/>
        </w:rPr>
        <w:t xml:space="preserve">Emissions </w:t>
      </w:r>
      <w:r w:rsidR="0019167D">
        <w:rPr>
          <w:lang w:val="en-US"/>
        </w:rPr>
        <w:t>of dioxins</w:t>
      </w:r>
      <w:r w:rsidR="00823AC8">
        <w:rPr>
          <w:lang w:val="en-US"/>
        </w:rPr>
        <w:t xml:space="preserve"> and </w:t>
      </w:r>
      <w:r w:rsidR="0019167D">
        <w:rPr>
          <w:lang w:val="en-US"/>
        </w:rPr>
        <w:t>furans (PCDDs/PCD</w:t>
      </w:r>
      <w:r w:rsidR="00465937">
        <w:rPr>
          <w:lang w:val="en-US"/>
        </w:rPr>
        <w:t>F</w:t>
      </w:r>
      <w:r w:rsidR="0019167D">
        <w:rPr>
          <w:lang w:val="en-US"/>
        </w:rPr>
        <w:t>s)</w:t>
      </w:r>
      <w:r w:rsidR="00131A0D">
        <w:rPr>
          <w:lang w:val="en-US"/>
        </w:rPr>
        <w:t>;</w:t>
      </w:r>
    </w:p>
    <w:p w14:paraId="1934CA28" w14:textId="1DE01E91" w:rsidR="00463762" w:rsidRPr="00463762" w:rsidRDefault="001212F5" w:rsidP="00463762">
      <w:pPr>
        <w:numPr>
          <w:ilvl w:val="0"/>
          <w:numId w:val="53"/>
        </w:numPr>
        <w:rPr>
          <w:lang w:val="en-AU"/>
        </w:rPr>
      </w:pPr>
      <w:r w:rsidRPr="001212F5">
        <w:rPr>
          <w:lang w:val="en-US"/>
        </w:rPr>
        <w:t>Emissions of other pollutants</w:t>
      </w:r>
      <w:r w:rsidR="00463762">
        <w:rPr>
          <w:lang w:val="en-US"/>
        </w:rPr>
        <w:t xml:space="preserve">: </w:t>
      </w:r>
      <w:r w:rsidR="00463762" w:rsidRPr="001212F5">
        <w:rPr>
          <w:lang w:val="en-US"/>
        </w:rPr>
        <w:t>acid gases</w:t>
      </w:r>
      <w:r w:rsidR="00463762" w:rsidRPr="00463762">
        <w:rPr>
          <w:lang w:val="en-AU"/>
        </w:rPr>
        <w:t xml:space="preserve"> </w:t>
      </w:r>
      <w:r w:rsidR="00463762">
        <w:rPr>
          <w:lang w:val="en-AU"/>
        </w:rPr>
        <w:t>(</w:t>
      </w:r>
      <w:proofErr w:type="spellStart"/>
      <w:r w:rsidR="00463762" w:rsidRPr="00463762">
        <w:rPr>
          <w:lang w:val="en-AU"/>
        </w:rPr>
        <w:t>HCl</w:t>
      </w:r>
      <w:proofErr w:type="spellEnd"/>
      <w:r w:rsidR="00463762" w:rsidRPr="00463762">
        <w:rPr>
          <w:lang w:val="en-AU"/>
        </w:rPr>
        <w:t xml:space="preserve">, HF, </w:t>
      </w:r>
      <w:proofErr w:type="spellStart"/>
      <w:r w:rsidR="00463762" w:rsidRPr="00463762">
        <w:rPr>
          <w:lang w:val="en-AU"/>
        </w:rPr>
        <w:t>HBr</w:t>
      </w:r>
      <w:proofErr w:type="spellEnd"/>
      <w:r w:rsidR="00463762" w:rsidRPr="00463762">
        <w:rPr>
          <w:lang w:val="en-AU"/>
        </w:rPr>
        <w:t>/Br</w:t>
      </w:r>
      <w:r w:rsidR="00463762" w:rsidRPr="00463762">
        <w:rPr>
          <w:vertAlign w:val="subscript"/>
          <w:lang w:val="en-AU"/>
        </w:rPr>
        <w:t>2</w:t>
      </w:r>
      <w:r w:rsidR="00463762">
        <w:rPr>
          <w:lang w:val="en-AU"/>
        </w:rPr>
        <w:t>);</w:t>
      </w:r>
      <w:r w:rsidR="00463762" w:rsidRPr="00463762">
        <w:rPr>
          <w:lang w:val="en-AU"/>
        </w:rPr>
        <w:t xml:space="preserve"> </w:t>
      </w:r>
      <w:r w:rsidR="00463762">
        <w:rPr>
          <w:lang w:val="en-AU"/>
        </w:rPr>
        <w:t>carbon monoxide (</w:t>
      </w:r>
      <w:r w:rsidR="00463762" w:rsidRPr="00463762">
        <w:rPr>
          <w:lang w:val="en-AU"/>
        </w:rPr>
        <w:t>CO</w:t>
      </w:r>
      <w:r w:rsidR="00463762">
        <w:rPr>
          <w:lang w:val="en-AU"/>
        </w:rPr>
        <w:t>);</w:t>
      </w:r>
      <w:r w:rsidR="00463762" w:rsidRPr="00463762">
        <w:rPr>
          <w:lang w:val="en-AU"/>
        </w:rPr>
        <w:t xml:space="preserve"> and total suspended particulates </w:t>
      </w:r>
      <w:r w:rsidR="00463762">
        <w:rPr>
          <w:lang w:val="en-AU"/>
        </w:rPr>
        <w:t>(TSP)</w:t>
      </w:r>
      <w:r w:rsidR="00131A0D">
        <w:rPr>
          <w:lang w:val="en-AU"/>
        </w:rPr>
        <w:t>;</w:t>
      </w:r>
    </w:p>
    <w:p w14:paraId="4D5674A3" w14:textId="0115D21E" w:rsidR="001212F5" w:rsidRPr="00463762" w:rsidRDefault="001212F5" w:rsidP="00463762">
      <w:pPr>
        <w:numPr>
          <w:ilvl w:val="0"/>
          <w:numId w:val="53"/>
        </w:numPr>
        <w:rPr>
          <w:lang w:val="en-AU"/>
        </w:rPr>
      </w:pPr>
      <w:r w:rsidRPr="00463762">
        <w:rPr>
          <w:lang w:val="en-US"/>
        </w:rPr>
        <w:t>Technical capability</w:t>
      </w:r>
      <w:r w:rsidR="00463762">
        <w:rPr>
          <w:lang w:val="en-US"/>
        </w:rPr>
        <w:t xml:space="preserve">, </w:t>
      </w:r>
      <w:r w:rsidR="00731204">
        <w:rPr>
          <w:lang w:val="en-US"/>
        </w:rPr>
        <w:t xml:space="preserve">where the technology has demonstrated destruction </w:t>
      </w:r>
      <w:r w:rsidR="00626AC6">
        <w:rPr>
          <w:lang w:val="en-US"/>
        </w:rPr>
        <w:t>on at least a pilot scale or demonstration scale</w:t>
      </w:r>
      <w:r w:rsidR="00E5435F">
        <w:rPr>
          <w:lang w:val="en-US"/>
        </w:rPr>
        <w:t>,</w:t>
      </w:r>
      <w:r w:rsidR="00626AC6">
        <w:rPr>
          <w:lang w:val="en-US"/>
        </w:rPr>
        <w:t xml:space="preserve"> and </w:t>
      </w:r>
      <w:r w:rsidR="00E5435F">
        <w:rPr>
          <w:lang w:val="en-US"/>
        </w:rPr>
        <w:t>for</w:t>
      </w:r>
      <w:r w:rsidR="00463762" w:rsidRPr="00463762">
        <w:rPr>
          <w:lang w:val="en-AU"/>
        </w:rPr>
        <w:t xml:space="preserve"> which the processing capacity </w:t>
      </w:r>
      <w:r w:rsidR="00626AC6">
        <w:rPr>
          <w:lang w:val="en-AU"/>
        </w:rPr>
        <w:t>is</w:t>
      </w:r>
      <w:r w:rsidR="00463762" w:rsidRPr="00463762">
        <w:rPr>
          <w:lang w:val="en-AU"/>
        </w:rPr>
        <w:t xml:space="preserve"> no less than 1.0 kg/hr of the substance to be destroyed, whet</w:t>
      </w:r>
      <w:r w:rsidR="00463762">
        <w:rPr>
          <w:lang w:val="en-AU"/>
        </w:rPr>
        <w:t>her ODS or a suitable surrogate</w:t>
      </w:r>
      <w:r w:rsidR="00626AC6">
        <w:rPr>
          <w:lang w:val="en-AU"/>
        </w:rPr>
        <w:t>.</w:t>
      </w:r>
    </w:p>
    <w:p w14:paraId="18B401EB" w14:textId="336D271D" w:rsidR="003A5B2F" w:rsidRDefault="001212F5" w:rsidP="0017234E">
      <w:pPr>
        <w:rPr>
          <w:lang w:val="en-AU"/>
        </w:rPr>
      </w:pPr>
      <w:r w:rsidRPr="001212F5">
        <w:rPr>
          <w:lang w:val="en-AU"/>
        </w:rPr>
        <w:t>The first three refer to technical performance criteria selected</w:t>
      </w:r>
      <w:r>
        <w:rPr>
          <w:lang w:val="en-AU"/>
        </w:rPr>
        <w:t xml:space="preserve"> by the 2002 TFDT</w:t>
      </w:r>
      <w:r w:rsidRPr="001212F5">
        <w:rPr>
          <w:lang w:val="en-AU"/>
        </w:rPr>
        <w:t xml:space="preserve"> as measures of potential impacts of the technology on human health and the environment. The technical capability criterion </w:t>
      </w:r>
      <w:r>
        <w:rPr>
          <w:lang w:val="en-AU"/>
        </w:rPr>
        <w:t>was selected to indicate</w:t>
      </w:r>
      <w:r w:rsidRPr="001212F5">
        <w:rPr>
          <w:lang w:val="en-AU"/>
        </w:rPr>
        <w:t xml:space="preserve"> the extent to which the technology has been demonstrated t</w:t>
      </w:r>
      <w:r>
        <w:rPr>
          <w:lang w:val="en-AU"/>
        </w:rPr>
        <w:t>o be able to dispose of ODS</w:t>
      </w:r>
      <w:r w:rsidRPr="001212F5">
        <w:rPr>
          <w:lang w:val="en-AU"/>
        </w:rPr>
        <w:t xml:space="preserve"> (or a comparable recalcitrant halogenated organic substance such as </w:t>
      </w:r>
      <w:r w:rsidR="00BF3B2B">
        <w:rPr>
          <w:lang w:val="en-AU"/>
        </w:rPr>
        <w:t>polychlorinated biphenyl (</w:t>
      </w:r>
      <w:r w:rsidRPr="001212F5">
        <w:rPr>
          <w:lang w:val="en-AU"/>
        </w:rPr>
        <w:t>PCB</w:t>
      </w:r>
      <w:r w:rsidR="00BF3B2B">
        <w:rPr>
          <w:lang w:val="en-AU"/>
        </w:rPr>
        <w:t>)</w:t>
      </w:r>
      <w:r w:rsidRPr="001212F5">
        <w:rPr>
          <w:lang w:val="en-AU"/>
        </w:rPr>
        <w:t>) effectively and on a commercial scale.</w:t>
      </w:r>
    </w:p>
    <w:p w14:paraId="734CBF6D" w14:textId="1C9C41C6" w:rsidR="001212F5" w:rsidRDefault="003A5B2F" w:rsidP="0017234E">
      <w:pPr>
        <w:rPr>
          <w:lang w:val="en-AU"/>
        </w:rPr>
      </w:pPr>
      <w:r>
        <w:rPr>
          <w:lang w:val="en-AU"/>
        </w:rPr>
        <w:t xml:space="preserve">The following sections outline in more detail the performance criteria and technical capability </w:t>
      </w:r>
      <w:r w:rsidR="009B0BBA">
        <w:rPr>
          <w:lang w:val="en-AU"/>
        </w:rPr>
        <w:t>against</w:t>
      </w:r>
      <w:r>
        <w:rPr>
          <w:lang w:val="en-AU"/>
        </w:rPr>
        <w:t xml:space="preserve"> which the destruction technologies have been assessed. The </w:t>
      </w:r>
      <w:r w:rsidR="001D19F1">
        <w:rPr>
          <w:lang w:val="en-AU"/>
        </w:rPr>
        <w:t>2018 TFDT</w:t>
      </w:r>
      <w:r>
        <w:rPr>
          <w:lang w:val="en-AU"/>
        </w:rPr>
        <w:t xml:space="preserve"> has considered</w:t>
      </w:r>
      <w:r w:rsidR="001212F5" w:rsidRPr="001212F5">
        <w:rPr>
          <w:lang w:val="en-AU"/>
        </w:rPr>
        <w:t xml:space="preserve"> </w:t>
      </w:r>
      <w:r w:rsidR="009B0BBA">
        <w:rPr>
          <w:lang w:val="en-AU"/>
        </w:rPr>
        <w:t>the</w:t>
      </w:r>
      <w:r>
        <w:rPr>
          <w:lang w:val="en-AU"/>
        </w:rPr>
        <w:t xml:space="preserve"> </w:t>
      </w:r>
      <w:r w:rsidR="00C8262F">
        <w:rPr>
          <w:lang w:val="en-AU"/>
        </w:rPr>
        <w:t xml:space="preserve">2002 </w:t>
      </w:r>
      <w:r>
        <w:rPr>
          <w:lang w:val="en-AU"/>
        </w:rPr>
        <w:t>performance criteria</w:t>
      </w:r>
      <w:r w:rsidR="0098413B">
        <w:rPr>
          <w:lang w:val="en-AU"/>
        </w:rPr>
        <w:t xml:space="preserve"> and also taken into account previous assessments of ODS destruction technologies,</w:t>
      </w:r>
      <w:r>
        <w:rPr>
          <w:lang w:val="en-AU"/>
        </w:rPr>
        <w:t xml:space="preserve"> to confirm </w:t>
      </w:r>
      <w:r w:rsidR="0098413B">
        <w:rPr>
          <w:lang w:val="en-AU"/>
        </w:rPr>
        <w:t xml:space="preserve">the </w:t>
      </w:r>
      <w:r>
        <w:rPr>
          <w:lang w:val="en-AU"/>
        </w:rPr>
        <w:t xml:space="preserve">applicability </w:t>
      </w:r>
      <w:r w:rsidR="0098413B">
        <w:rPr>
          <w:lang w:val="en-AU"/>
        </w:rPr>
        <w:t xml:space="preserve">of approved destruction technologies </w:t>
      </w:r>
      <w:r>
        <w:rPr>
          <w:lang w:val="en-AU"/>
        </w:rPr>
        <w:t xml:space="preserve">to HFCs, in response to </w:t>
      </w:r>
      <w:r w:rsidR="001D19F1">
        <w:rPr>
          <w:lang w:val="en-AU"/>
        </w:rPr>
        <w:t xml:space="preserve">decision XXIX/4 paragraph 1a, and </w:t>
      </w:r>
      <w:r w:rsidR="00C8262F">
        <w:rPr>
          <w:lang w:val="en-AU"/>
        </w:rPr>
        <w:t>other technical considerations based on more recent international developments.</w:t>
      </w:r>
    </w:p>
    <w:p w14:paraId="00A85554" w14:textId="77777777" w:rsidR="00656E7D" w:rsidRPr="004B452E" w:rsidRDefault="004704AD" w:rsidP="00275CBE">
      <w:pPr>
        <w:pStyle w:val="Heading2"/>
      </w:pPr>
      <w:bookmarkStart w:id="22" w:name="_Toc510531446"/>
      <w:r w:rsidRPr="004B452E">
        <w:t>2</w:t>
      </w:r>
      <w:r w:rsidR="001815FF" w:rsidRPr="004B452E">
        <w:t>.1</w:t>
      </w:r>
      <w:r w:rsidR="00656E7D" w:rsidRPr="004B452E">
        <w:tab/>
      </w:r>
      <w:bookmarkEnd w:id="20"/>
      <w:r w:rsidRPr="004B452E">
        <w:t>Performance criteria</w:t>
      </w:r>
      <w:bookmarkEnd w:id="22"/>
    </w:p>
    <w:p w14:paraId="4B960ABC" w14:textId="3FCAF5BD" w:rsidR="00EE5277" w:rsidRPr="00F15DB8" w:rsidRDefault="00EE5277" w:rsidP="00EE5277">
      <w:pPr>
        <w:rPr>
          <w:lang w:val="en-US"/>
        </w:rPr>
      </w:pPr>
      <w:r w:rsidRPr="00F15DB8">
        <w:rPr>
          <w:lang w:val="en-US"/>
        </w:rPr>
        <w:t>The performance cri</w:t>
      </w:r>
      <w:r w:rsidR="001E5746">
        <w:rPr>
          <w:lang w:val="en-US"/>
        </w:rPr>
        <w:t xml:space="preserve">teria </w:t>
      </w:r>
      <w:r w:rsidR="0049656F">
        <w:rPr>
          <w:lang w:val="en-US"/>
        </w:rPr>
        <w:t xml:space="preserve">developed by the 2002 TFDT </w:t>
      </w:r>
      <w:r w:rsidR="001E5746">
        <w:rPr>
          <w:lang w:val="en-US"/>
        </w:rPr>
        <w:t>are summarized in Table 2-1</w:t>
      </w:r>
      <w:r w:rsidRPr="00F15DB8">
        <w:rPr>
          <w:lang w:val="en-US"/>
        </w:rPr>
        <w:t xml:space="preserve">. </w:t>
      </w:r>
    </w:p>
    <w:p w14:paraId="5626ABA8" w14:textId="754EFD58" w:rsidR="00EE5277" w:rsidRPr="00D1412D" w:rsidRDefault="001E5746" w:rsidP="008E5BF3">
      <w:pPr>
        <w:keepNext/>
        <w:rPr>
          <w:i/>
          <w:lang w:val="en-US"/>
        </w:rPr>
      </w:pPr>
      <w:r w:rsidRPr="00D1412D">
        <w:rPr>
          <w:b/>
          <w:bCs/>
          <w:i/>
          <w:lang w:val="en-US"/>
        </w:rPr>
        <w:lastRenderedPageBreak/>
        <w:t>Table 2-1</w:t>
      </w:r>
      <w:r w:rsidR="00EE5277" w:rsidRPr="00D1412D">
        <w:rPr>
          <w:b/>
          <w:bCs/>
          <w:i/>
          <w:lang w:val="en-US"/>
        </w:rPr>
        <w:t xml:space="preserve">: Summary of Technical Performance </w:t>
      </w:r>
      <w:r w:rsidR="0049656F" w:rsidRPr="00D1412D">
        <w:rPr>
          <w:b/>
          <w:bCs/>
          <w:i/>
          <w:lang w:val="en-US"/>
        </w:rPr>
        <w:t>Criteria</w:t>
      </w:r>
    </w:p>
    <w:tbl>
      <w:tblPr>
        <w:tblW w:w="4948" w:type="pct"/>
        <w:tblBorders>
          <w:top w:val="nil"/>
          <w:left w:val="nil"/>
          <w:right w:val="nil"/>
        </w:tblBorders>
        <w:tblLook w:val="0000" w:firstRow="0" w:lastRow="0" w:firstColumn="0" w:lastColumn="0" w:noHBand="0" w:noVBand="0"/>
      </w:tblPr>
      <w:tblGrid>
        <w:gridCol w:w="2319"/>
        <w:gridCol w:w="2407"/>
        <w:gridCol w:w="1854"/>
        <w:gridCol w:w="1854"/>
      </w:tblGrid>
      <w:tr w:rsidR="00EE5277" w:rsidRPr="00F15DB8" w14:paraId="782F9A02" w14:textId="77777777" w:rsidTr="005A3ED1">
        <w:trPr>
          <w:trHeight w:val="340"/>
        </w:trPr>
        <w:tc>
          <w:tcPr>
            <w:tcW w:w="1374" w:type="pct"/>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2494324F" w14:textId="77777777" w:rsidR="00EE5277" w:rsidRPr="00F15DB8" w:rsidRDefault="00EE5277" w:rsidP="00DF4704">
            <w:pPr>
              <w:keepNext/>
              <w:spacing w:before="120" w:after="120"/>
              <w:jc w:val="center"/>
              <w:rPr>
                <w:lang w:val="en-US"/>
              </w:rPr>
            </w:pPr>
            <w:r w:rsidRPr="00F15DB8">
              <w:rPr>
                <w:b/>
                <w:bCs/>
                <w:lang w:val="en-US"/>
              </w:rPr>
              <w:t>Performance Qualification</w:t>
            </w:r>
          </w:p>
        </w:tc>
        <w:tc>
          <w:tcPr>
            <w:tcW w:w="1427" w:type="pct"/>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645AD837" w14:textId="77777777" w:rsidR="00EE5277" w:rsidRPr="00F15DB8" w:rsidRDefault="00EE5277" w:rsidP="00DF4704">
            <w:pPr>
              <w:keepNext/>
              <w:spacing w:before="120" w:after="120"/>
              <w:jc w:val="center"/>
              <w:rPr>
                <w:lang w:val="en-US"/>
              </w:rPr>
            </w:pPr>
            <w:r w:rsidRPr="00F15DB8">
              <w:rPr>
                <w:b/>
                <w:bCs/>
                <w:lang w:val="en-US"/>
              </w:rPr>
              <w:t>Units</w:t>
            </w:r>
          </w:p>
        </w:tc>
        <w:tc>
          <w:tcPr>
            <w:tcW w:w="1099" w:type="pct"/>
            <w:tcBorders>
              <w:top w:val="single" w:sz="10" w:space="0" w:color="auto"/>
              <w:left w:val="single" w:sz="10" w:space="0" w:color="auto"/>
              <w:bottom w:val="single" w:sz="10" w:space="0" w:color="auto"/>
              <w:right w:val="single" w:sz="4" w:space="0" w:color="auto"/>
            </w:tcBorders>
            <w:tcMar>
              <w:top w:w="20" w:type="nil"/>
              <w:left w:w="20" w:type="nil"/>
              <w:bottom w:w="20" w:type="nil"/>
              <w:right w:w="20" w:type="nil"/>
            </w:tcMar>
            <w:vAlign w:val="center"/>
          </w:tcPr>
          <w:p w14:paraId="0C2595D1" w14:textId="77777777" w:rsidR="00EE5277" w:rsidRPr="00F15DB8" w:rsidRDefault="00EE5277" w:rsidP="00DF4704">
            <w:pPr>
              <w:keepNext/>
              <w:spacing w:before="120" w:after="120"/>
              <w:jc w:val="center"/>
              <w:rPr>
                <w:lang w:val="en-US"/>
              </w:rPr>
            </w:pPr>
            <w:r w:rsidRPr="00F15DB8">
              <w:rPr>
                <w:b/>
                <w:bCs/>
                <w:lang w:val="en-US"/>
              </w:rPr>
              <w:t>Concentrated Sources</w:t>
            </w:r>
          </w:p>
        </w:tc>
        <w:tc>
          <w:tcPr>
            <w:tcW w:w="1099" w:type="pct"/>
            <w:tcBorders>
              <w:top w:val="single" w:sz="10" w:space="0" w:color="auto"/>
              <w:left w:val="single" w:sz="10" w:space="0" w:color="auto"/>
              <w:bottom w:val="single" w:sz="10" w:space="0" w:color="auto"/>
              <w:right w:val="single" w:sz="4" w:space="0" w:color="auto"/>
            </w:tcBorders>
            <w:vAlign w:val="center"/>
          </w:tcPr>
          <w:p w14:paraId="18F1329E" w14:textId="5EBD8636" w:rsidR="00EE5277" w:rsidRPr="00F15DB8" w:rsidRDefault="00EE5277" w:rsidP="00DF4704">
            <w:pPr>
              <w:keepNext/>
              <w:spacing w:before="120" w:after="120"/>
              <w:jc w:val="center"/>
              <w:rPr>
                <w:lang w:val="en-US"/>
              </w:rPr>
            </w:pPr>
            <w:r w:rsidRPr="00F15DB8">
              <w:rPr>
                <w:b/>
                <w:bCs/>
                <w:lang w:val="en-US"/>
              </w:rPr>
              <w:t>Diluted Sources (</w:t>
            </w:r>
            <w:r w:rsidR="00A036A5">
              <w:rPr>
                <w:b/>
                <w:bCs/>
                <w:lang w:val="en-US"/>
              </w:rPr>
              <w:t>e.g.</w:t>
            </w:r>
            <w:r w:rsidRPr="00F15DB8">
              <w:rPr>
                <w:b/>
                <w:bCs/>
                <w:lang w:val="en-US"/>
              </w:rPr>
              <w:t xml:space="preserve"> foams)</w:t>
            </w:r>
          </w:p>
        </w:tc>
      </w:tr>
      <w:tr w:rsidR="00EE5277" w:rsidRPr="00F15DB8" w14:paraId="704CD17A" w14:textId="77777777" w:rsidTr="005A3ED1">
        <w:tblPrEx>
          <w:tblBorders>
            <w:top w:val="none" w:sz="0" w:space="0" w:color="auto"/>
          </w:tblBorders>
        </w:tblPrEx>
        <w:trPr>
          <w:trHeight w:val="170"/>
        </w:trPr>
        <w:tc>
          <w:tcPr>
            <w:tcW w:w="1374" w:type="pct"/>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bottom"/>
          </w:tcPr>
          <w:p w14:paraId="55342AEC" w14:textId="77777777" w:rsidR="00EE5277" w:rsidRPr="00F15DB8" w:rsidRDefault="00EE5277" w:rsidP="00DF4704">
            <w:pPr>
              <w:keepNext/>
              <w:spacing w:before="120" w:after="120"/>
              <w:jc w:val="center"/>
              <w:rPr>
                <w:lang w:val="en-US"/>
              </w:rPr>
            </w:pPr>
            <w:r w:rsidRPr="00F15DB8">
              <w:rPr>
                <w:lang w:val="en-US"/>
              </w:rPr>
              <w:t>DRE</w:t>
            </w:r>
          </w:p>
        </w:tc>
        <w:tc>
          <w:tcPr>
            <w:tcW w:w="1427" w:type="pct"/>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bottom"/>
          </w:tcPr>
          <w:p w14:paraId="4D5F84AA" w14:textId="77777777" w:rsidR="00EE5277" w:rsidRPr="00F15DB8" w:rsidRDefault="00EE5277" w:rsidP="00DF4704">
            <w:pPr>
              <w:keepNext/>
              <w:spacing w:before="120" w:after="120"/>
              <w:jc w:val="center"/>
              <w:rPr>
                <w:lang w:val="en-US"/>
              </w:rPr>
            </w:pPr>
            <w:r w:rsidRPr="00F15DB8">
              <w:rPr>
                <w:lang w:val="en-US"/>
              </w:rPr>
              <w:t>%</w:t>
            </w:r>
          </w:p>
        </w:tc>
        <w:tc>
          <w:tcPr>
            <w:tcW w:w="1099" w:type="pct"/>
            <w:tcBorders>
              <w:top w:val="single" w:sz="10" w:space="0" w:color="auto"/>
              <w:left w:val="single" w:sz="10" w:space="0" w:color="auto"/>
              <w:bottom w:val="single" w:sz="10" w:space="0" w:color="auto"/>
              <w:right w:val="single" w:sz="4" w:space="0" w:color="auto"/>
            </w:tcBorders>
            <w:tcMar>
              <w:top w:w="20" w:type="nil"/>
              <w:left w:w="20" w:type="nil"/>
              <w:bottom w:w="20" w:type="nil"/>
              <w:right w:w="20" w:type="nil"/>
            </w:tcMar>
            <w:vAlign w:val="bottom"/>
          </w:tcPr>
          <w:p w14:paraId="64713AEF" w14:textId="17B80BFE" w:rsidR="00EE5277" w:rsidRPr="00F15DB8" w:rsidRDefault="00EE5277" w:rsidP="00DF4704">
            <w:pPr>
              <w:keepNext/>
              <w:spacing w:before="120" w:after="120"/>
              <w:jc w:val="center"/>
              <w:rPr>
                <w:lang w:val="en-US"/>
              </w:rPr>
            </w:pPr>
            <w:r w:rsidRPr="00F15DB8">
              <w:rPr>
                <w:lang w:val="en-US"/>
              </w:rPr>
              <w:t>99.99</w:t>
            </w:r>
          </w:p>
        </w:tc>
        <w:tc>
          <w:tcPr>
            <w:tcW w:w="1099" w:type="pct"/>
            <w:tcBorders>
              <w:top w:val="single" w:sz="10" w:space="0" w:color="auto"/>
              <w:left w:val="single" w:sz="10" w:space="0" w:color="auto"/>
              <w:bottom w:val="single" w:sz="10" w:space="0" w:color="auto"/>
              <w:right w:val="single" w:sz="4" w:space="0" w:color="auto"/>
            </w:tcBorders>
            <w:vAlign w:val="bottom"/>
          </w:tcPr>
          <w:p w14:paraId="66EEC01C" w14:textId="754396D8" w:rsidR="00EE5277" w:rsidRPr="00F15DB8" w:rsidRDefault="00EE5277" w:rsidP="00DF4704">
            <w:pPr>
              <w:keepNext/>
              <w:spacing w:before="120" w:after="120"/>
              <w:jc w:val="center"/>
              <w:rPr>
                <w:lang w:val="en-US"/>
              </w:rPr>
            </w:pPr>
            <w:r w:rsidRPr="00F15DB8">
              <w:rPr>
                <w:lang w:val="en-US"/>
              </w:rPr>
              <w:t>95</w:t>
            </w:r>
          </w:p>
        </w:tc>
      </w:tr>
      <w:tr w:rsidR="00EE5277" w:rsidRPr="00F15DB8" w14:paraId="4FCC2BE5" w14:textId="77777777" w:rsidTr="005A3ED1">
        <w:tblPrEx>
          <w:tblBorders>
            <w:top w:val="none" w:sz="0" w:space="0" w:color="auto"/>
          </w:tblBorders>
        </w:tblPrEx>
        <w:trPr>
          <w:trHeight w:val="170"/>
        </w:trPr>
        <w:tc>
          <w:tcPr>
            <w:tcW w:w="1374" w:type="pct"/>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bottom"/>
          </w:tcPr>
          <w:p w14:paraId="4E0D3752" w14:textId="77777777" w:rsidR="00EE5277" w:rsidRPr="00F15DB8" w:rsidRDefault="00EE5277" w:rsidP="00DF4704">
            <w:pPr>
              <w:keepNext/>
              <w:spacing w:before="120" w:after="120"/>
              <w:jc w:val="center"/>
              <w:rPr>
                <w:lang w:val="en-US"/>
              </w:rPr>
            </w:pPr>
            <w:bookmarkStart w:id="23" w:name="_Hlk505437140"/>
            <w:r w:rsidRPr="00F15DB8">
              <w:rPr>
                <w:lang w:val="en-US"/>
              </w:rPr>
              <w:t>PCDDs/PCDFs</w:t>
            </w:r>
            <w:bookmarkEnd w:id="23"/>
          </w:p>
        </w:tc>
        <w:tc>
          <w:tcPr>
            <w:tcW w:w="1427" w:type="pct"/>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bottom"/>
          </w:tcPr>
          <w:p w14:paraId="6C102452" w14:textId="77777777" w:rsidR="00EE5277" w:rsidRPr="00F15DB8" w:rsidRDefault="00EE5277" w:rsidP="00DF4704">
            <w:pPr>
              <w:keepNext/>
              <w:spacing w:before="120" w:after="120"/>
              <w:jc w:val="center"/>
              <w:rPr>
                <w:lang w:val="en-US"/>
              </w:rPr>
            </w:pPr>
            <w:r w:rsidRPr="00F15DB8">
              <w:rPr>
                <w:lang w:val="en-US"/>
              </w:rPr>
              <w:t>ng-ITEQ/Nm</w:t>
            </w:r>
            <w:r w:rsidRPr="00F15DB8">
              <w:rPr>
                <w:vertAlign w:val="superscript"/>
                <w:lang w:val="en-US"/>
              </w:rPr>
              <w:t>3</w:t>
            </w:r>
          </w:p>
        </w:tc>
        <w:tc>
          <w:tcPr>
            <w:tcW w:w="1099" w:type="pct"/>
            <w:tcBorders>
              <w:top w:val="single" w:sz="10" w:space="0" w:color="auto"/>
              <w:left w:val="single" w:sz="10" w:space="0" w:color="auto"/>
              <w:bottom w:val="single" w:sz="10" w:space="0" w:color="auto"/>
              <w:right w:val="single" w:sz="4" w:space="0" w:color="auto"/>
            </w:tcBorders>
            <w:tcMar>
              <w:top w:w="20" w:type="nil"/>
              <w:left w:w="20" w:type="nil"/>
              <w:bottom w:w="20" w:type="nil"/>
              <w:right w:w="20" w:type="nil"/>
            </w:tcMar>
            <w:vAlign w:val="bottom"/>
          </w:tcPr>
          <w:p w14:paraId="424E4E55" w14:textId="77777777" w:rsidR="00EE5277" w:rsidRPr="00F15DB8" w:rsidRDefault="00EE5277" w:rsidP="00DF4704">
            <w:pPr>
              <w:keepNext/>
              <w:spacing w:before="120" w:after="120"/>
              <w:jc w:val="center"/>
              <w:rPr>
                <w:lang w:val="en-US"/>
              </w:rPr>
            </w:pPr>
            <w:r w:rsidRPr="00F15DB8">
              <w:rPr>
                <w:lang w:val="en-US"/>
              </w:rPr>
              <w:t>0.2</w:t>
            </w:r>
          </w:p>
        </w:tc>
        <w:tc>
          <w:tcPr>
            <w:tcW w:w="1099" w:type="pct"/>
            <w:tcBorders>
              <w:top w:val="single" w:sz="10" w:space="0" w:color="auto"/>
              <w:left w:val="single" w:sz="10" w:space="0" w:color="auto"/>
              <w:bottom w:val="single" w:sz="10" w:space="0" w:color="auto"/>
              <w:right w:val="single" w:sz="4" w:space="0" w:color="auto"/>
            </w:tcBorders>
            <w:vAlign w:val="bottom"/>
          </w:tcPr>
          <w:p w14:paraId="511FE620" w14:textId="77777777" w:rsidR="00EE5277" w:rsidRPr="00F15DB8" w:rsidRDefault="00EE5277" w:rsidP="00DF4704">
            <w:pPr>
              <w:keepNext/>
              <w:spacing w:before="120" w:after="120"/>
              <w:jc w:val="center"/>
              <w:rPr>
                <w:lang w:val="en-US"/>
              </w:rPr>
            </w:pPr>
            <w:r w:rsidRPr="00F15DB8">
              <w:rPr>
                <w:lang w:val="en-US"/>
              </w:rPr>
              <w:t>0.5</w:t>
            </w:r>
          </w:p>
        </w:tc>
      </w:tr>
      <w:tr w:rsidR="00EE5277" w:rsidRPr="00F15DB8" w14:paraId="54BF787E" w14:textId="77777777" w:rsidTr="005A3ED1">
        <w:tblPrEx>
          <w:tblBorders>
            <w:top w:val="none" w:sz="0" w:space="0" w:color="auto"/>
          </w:tblBorders>
        </w:tblPrEx>
        <w:trPr>
          <w:trHeight w:val="170"/>
        </w:trPr>
        <w:tc>
          <w:tcPr>
            <w:tcW w:w="1374" w:type="pct"/>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bottom"/>
          </w:tcPr>
          <w:p w14:paraId="66BCDAF6" w14:textId="77777777" w:rsidR="00EE5277" w:rsidRPr="00F15DB8" w:rsidRDefault="00EE5277" w:rsidP="00DF4704">
            <w:pPr>
              <w:keepNext/>
              <w:spacing w:before="120" w:after="120"/>
              <w:jc w:val="center"/>
              <w:rPr>
                <w:lang w:val="en-US"/>
              </w:rPr>
            </w:pPr>
            <w:proofErr w:type="spellStart"/>
            <w:r w:rsidRPr="00F15DB8">
              <w:rPr>
                <w:lang w:val="en-US"/>
              </w:rPr>
              <w:t>HCl</w:t>
            </w:r>
            <w:proofErr w:type="spellEnd"/>
            <w:r w:rsidRPr="00F15DB8">
              <w:rPr>
                <w:lang w:val="en-US"/>
              </w:rPr>
              <w:t>/Cl</w:t>
            </w:r>
            <w:r w:rsidRPr="00F15DB8">
              <w:rPr>
                <w:vertAlign w:val="subscript"/>
                <w:lang w:val="en-US"/>
              </w:rPr>
              <w:t>2</w:t>
            </w:r>
          </w:p>
        </w:tc>
        <w:tc>
          <w:tcPr>
            <w:tcW w:w="1427" w:type="pct"/>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bottom"/>
          </w:tcPr>
          <w:p w14:paraId="76290959" w14:textId="77777777" w:rsidR="00EE5277" w:rsidRPr="00F15DB8" w:rsidRDefault="00EE5277" w:rsidP="00DF4704">
            <w:pPr>
              <w:keepNext/>
              <w:spacing w:before="120" w:after="120"/>
              <w:jc w:val="center"/>
              <w:rPr>
                <w:lang w:val="en-US"/>
              </w:rPr>
            </w:pPr>
            <w:r w:rsidRPr="00F15DB8">
              <w:rPr>
                <w:lang w:val="en-US"/>
              </w:rPr>
              <w:t>mg/Nm</w:t>
            </w:r>
            <w:r w:rsidRPr="00F15DB8">
              <w:rPr>
                <w:vertAlign w:val="superscript"/>
                <w:lang w:val="en-US"/>
              </w:rPr>
              <w:t>3</w:t>
            </w:r>
          </w:p>
        </w:tc>
        <w:tc>
          <w:tcPr>
            <w:tcW w:w="1099" w:type="pct"/>
            <w:tcBorders>
              <w:top w:val="single" w:sz="10" w:space="0" w:color="auto"/>
              <w:left w:val="single" w:sz="10" w:space="0" w:color="auto"/>
              <w:bottom w:val="single" w:sz="10" w:space="0" w:color="auto"/>
              <w:right w:val="single" w:sz="4" w:space="0" w:color="auto"/>
            </w:tcBorders>
            <w:tcMar>
              <w:top w:w="20" w:type="nil"/>
              <w:left w:w="20" w:type="nil"/>
              <w:bottom w:w="20" w:type="nil"/>
              <w:right w:w="20" w:type="nil"/>
            </w:tcMar>
            <w:vAlign w:val="bottom"/>
          </w:tcPr>
          <w:p w14:paraId="1F589073" w14:textId="77777777" w:rsidR="00EE5277" w:rsidRPr="00F15DB8" w:rsidRDefault="00EE5277" w:rsidP="00DF4704">
            <w:pPr>
              <w:keepNext/>
              <w:spacing w:before="120" w:after="120"/>
              <w:jc w:val="center"/>
              <w:rPr>
                <w:lang w:val="en-US"/>
              </w:rPr>
            </w:pPr>
            <w:r w:rsidRPr="00F15DB8">
              <w:rPr>
                <w:lang w:val="en-US"/>
              </w:rPr>
              <w:t>100</w:t>
            </w:r>
          </w:p>
        </w:tc>
        <w:tc>
          <w:tcPr>
            <w:tcW w:w="1099" w:type="pct"/>
            <w:tcBorders>
              <w:top w:val="single" w:sz="10" w:space="0" w:color="auto"/>
              <w:left w:val="single" w:sz="10" w:space="0" w:color="auto"/>
              <w:bottom w:val="single" w:sz="10" w:space="0" w:color="auto"/>
              <w:right w:val="single" w:sz="4" w:space="0" w:color="auto"/>
            </w:tcBorders>
            <w:vAlign w:val="bottom"/>
          </w:tcPr>
          <w:p w14:paraId="23AA3BA9" w14:textId="77777777" w:rsidR="00EE5277" w:rsidRPr="00F15DB8" w:rsidRDefault="00EE5277" w:rsidP="00DF4704">
            <w:pPr>
              <w:keepNext/>
              <w:spacing w:before="120" w:after="120"/>
              <w:jc w:val="center"/>
              <w:rPr>
                <w:lang w:val="en-US"/>
              </w:rPr>
            </w:pPr>
            <w:r w:rsidRPr="00F15DB8">
              <w:rPr>
                <w:lang w:val="en-US"/>
              </w:rPr>
              <w:t>100</w:t>
            </w:r>
          </w:p>
        </w:tc>
      </w:tr>
      <w:tr w:rsidR="00EE5277" w:rsidRPr="00F15DB8" w14:paraId="0FB8FE2F" w14:textId="77777777" w:rsidTr="005A3ED1">
        <w:tblPrEx>
          <w:tblBorders>
            <w:top w:val="none" w:sz="0" w:space="0" w:color="auto"/>
          </w:tblBorders>
        </w:tblPrEx>
        <w:trPr>
          <w:trHeight w:val="170"/>
        </w:trPr>
        <w:tc>
          <w:tcPr>
            <w:tcW w:w="1374" w:type="pct"/>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bottom"/>
          </w:tcPr>
          <w:p w14:paraId="507E5928" w14:textId="77777777" w:rsidR="00EE5277" w:rsidRPr="00F15DB8" w:rsidRDefault="00EE5277" w:rsidP="00DF4704">
            <w:pPr>
              <w:keepNext/>
              <w:spacing w:before="120" w:after="120"/>
              <w:jc w:val="center"/>
              <w:rPr>
                <w:lang w:val="en-US"/>
              </w:rPr>
            </w:pPr>
            <w:r w:rsidRPr="00F15DB8">
              <w:rPr>
                <w:lang w:val="en-US"/>
              </w:rPr>
              <w:t>HF</w:t>
            </w:r>
          </w:p>
        </w:tc>
        <w:tc>
          <w:tcPr>
            <w:tcW w:w="1427" w:type="pct"/>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bottom"/>
          </w:tcPr>
          <w:p w14:paraId="1A2F3624" w14:textId="77777777" w:rsidR="00EE5277" w:rsidRPr="00F15DB8" w:rsidRDefault="00EE5277" w:rsidP="00DF4704">
            <w:pPr>
              <w:keepNext/>
              <w:spacing w:before="120" w:after="120"/>
              <w:jc w:val="center"/>
              <w:rPr>
                <w:lang w:val="en-US"/>
              </w:rPr>
            </w:pPr>
            <w:r w:rsidRPr="00F15DB8">
              <w:rPr>
                <w:lang w:val="en-US"/>
              </w:rPr>
              <w:t>mg/Nm</w:t>
            </w:r>
            <w:r w:rsidRPr="00F15DB8">
              <w:rPr>
                <w:vertAlign w:val="superscript"/>
                <w:lang w:val="en-US"/>
              </w:rPr>
              <w:t>3</w:t>
            </w:r>
          </w:p>
        </w:tc>
        <w:tc>
          <w:tcPr>
            <w:tcW w:w="1099" w:type="pct"/>
            <w:tcBorders>
              <w:top w:val="single" w:sz="10" w:space="0" w:color="auto"/>
              <w:left w:val="single" w:sz="10" w:space="0" w:color="auto"/>
              <w:bottom w:val="single" w:sz="10" w:space="0" w:color="auto"/>
              <w:right w:val="single" w:sz="4" w:space="0" w:color="auto"/>
            </w:tcBorders>
            <w:tcMar>
              <w:top w:w="20" w:type="nil"/>
              <w:left w:w="20" w:type="nil"/>
              <w:bottom w:w="20" w:type="nil"/>
              <w:right w:w="20" w:type="nil"/>
            </w:tcMar>
            <w:vAlign w:val="bottom"/>
          </w:tcPr>
          <w:p w14:paraId="203CB80E" w14:textId="77777777" w:rsidR="00EE5277" w:rsidRPr="00F15DB8" w:rsidRDefault="00EE5277" w:rsidP="00DF4704">
            <w:pPr>
              <w:keepNext/>
              <w:spacing w:before="120" w:after="120"/>
              <w:jc w:val="center"/>
              <w:rPr>
                <w:lang w:val="en-US"/>
              </w:rPr>
            </w:pPr>
            <w:r w:rsidRPr="00F15DB8">
              <w:rPr>
                <w:lang w:val="en-US"/>
              </w:rPr>
              <w:t>5</w:t>
            </w:r>
          </w:p>
        </w:tc>
        <w:tc>
          <w:tcPr>
            <w:tcW w:w="1099" w:type="pct"/>
            <w:tcBorders>
              <w:top w:val="single" w:sz="10" w:space="0" w:color="auto"/>
              <w:left w:val="single" w:sz="10" w:space="0" w:color="auto"/>
              <w:bottom w:val="single" w:sz="10" w:space="0" w:color="auto"/>
              <w:right w:val="single" w:sz="4" w:space="0" w:color="auto"/>
            </w:tcBorders>
            <w:vAlign w:val="bottom"/>
          </w:tcPr>
          <w:p w14:paraId="546DB4AC" w14:textId="77777777" w:rsidR="00EE5277" w:rsidRPr="00F15DB8" w:rsidRDefault="00EE5277" w:rsidP="00DF4704">
            <w:pPr>
              <w:keepNext/>
              <w:spacing w:before="120" w:after="120"/>
              <w:jc w:val="center"/>
              <w:rPr>
                <w:lang w:val="en-US"/>
              </w:rPr>
            </w:pPr>
            <w:r w:rsidRPr="00F15DB8">
              <w:rPr>
                <w:lang w:val="en-US"/>
              </w:rPr>
              <w:t>5</w:t>
            </w:r>
          </w:p>
        </w:tc>
      </w:tr>
      <w:tr w:rsidR="00EE5277" w:rsidRPr="00F15DB8" w14:paraId="1D7A7B85" w14:textId="77777777" w:rsidTr="005A3ED1">
        <w:tblPrEx>
          <w:tblBorders>
            <w:top w:val="none" w:sz="0" w:space="0" w:color="auto"/>
          </w:tblBorders>
        </w:tblPrEx>
        <w:trPr>
          <w:trHeight w:val="170"/>
        </w:trPr>
        <w:tc>
          <w:tcPr>
            <w:tcW w:w="1374" w:type="pct"/>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bottom"/>
          </w:tcPr>
          <w:p w14:paraId="46FC006E" w14:textId="77777777" w:rsidR="00EE5277" w:rsidRPr="00F15DB8" w:rsidRDefault="00EE5277" w:rsidP="00DF4704">
            <w:pPr>
              <w:keepNext/>
              <w:spacing w:before="120" w:after="120"/>
              <w:jc w:val="center"/>
              <w:rPr>
                <w:lang w:val="en-US"/>
              </w:rPr>
            </w:pPr>
            <w:proofErr w:type="spellStart"/>
            <w:r w:rsidRPr="00F15DB8">
              <w:rPr>
                <w:lang w:val="en-US"/>
              </w:rPr>
              <w:t>HBr</w:t>
            </w:r>
            <w:proofErr w:type="spellEnd"/>
            <w:r w:rsidRPr="00F15DB8">
              <w:rPr>
                <w:lang w:val="en-US"/>
              </w:rPr>
              <w:t>/Br</w:t>
            </w:r>
            <w:r w:rsidRPr="00F15DB8">
              <w:rPr>
                <w:vertAlign w:val="subscript"/>
                <w:lang w:val="en-US"/>
              </w:rPr>
              <w:t>2</w:t>
            </w:r>
          </w:p>
        </w:tc>
        <w:tc>
          <w:tcPr>
            <w:tcW w:w="1427" w:type="pct"/>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bottom"/>
          </w:tcPr>
          <w:p w14:paraId="4CA94E02" w14:textId="77777777" w:rsidR="00EE5277" w:rsidRPr="00F15DB8" w:rsidRDefault="00EE5277" w:rsidP="00DF4704">
            <w:pPr>
              <w:keepNext/>
              <w:spacing w:before="120" w:after="120"/>
              <w:jc w:val="center"/>
              <w:rPr>
                <w:lang w:val="en-US"/>
              </w:rPr>
            </w:pPr>
            <w:r w:rsidRPr="00F15DB8">
              <w:rPr>
                <w:lang w:val="en-US"/>
              </w:rPr>
              <w:t>mg/Nm</w:t>
            </w:r>
            <w:r w:rsidRPr="00F15DB8">
              <w:rPr>
                <w:vertAlign w:val="superscript"/>
                <w:lang w:val="en-US"/>
              </w:rPr>
              <w:t>3</w:t>
            </w:r>
          </w:p>
        </w:tc>
        <w:tc>
          <w:tcPr>
            <w:tcW w:w="1099" w:type="pct"/>
            <w:tcBorders>
              <w:top w:val="single" w:sz="10" w:space="0" w:color="auto"/>
              <w:left w:val="single" w:sz="10" w:space="0" w:color="auto"/>
              <w:bottom w:val="single" w:sz="10" w:space="0" w:color="auto"/>
              <w:right w:val="single" w:sz="4" w:space="0" w:color="auto"/>
            </w:tcBorders>
            <w:tcMar>
              <w:top w:w="20" w:type="nil"/>
              <w:left w:w="20" w:type="nil"/>
              <w:bottom w:w="20" w:type="nil"/>
              <w:right w:w="20" w:type="nil"/>
            </w:tcMar>
            <w:vAlign w:val="bottom"/>
          </w:tcPr>
          <w:p w14:paraId="16227899" w14:textId="77777777" w:rsidR="00EE5277" w:rsidRPr="00F15DB8" w:rsidRDefault="00EE5277" w:rsidP="00DF4704">
            <w:pPr>
              <w:keepNext/>
              <w:spacing w:before="120" w:after="120"/>
              <w:jc w:val="center"/>
              <w:rPr>
                <w:lang w:val="en-US"/>
              </w:rPr>
            </w:pPr>
            <w:r w:rsidRPr="00F15DB8">
              <w:rPr>
                <w:lang w:val="en-US"/>
              </w:rPr>
              <w:t>5</w:t>
            </w:r>
          </w:p>
        </w:tc>
        <w:tc>
          <w:tcPr>
            <w:tcW w:w="1099" w:type="pct"/>
            <w:tcBorders>
              <w:top w:val="single" w:sz="10" w:space="0" w:color="auto"/>
              <w:left w:val="single" w:sz="10" w:space="0" w:color="auto"/>
              <w:bottom w:val="single" w:sz="10" w:space="0" w:color="auto"/>
              <w:right w:val="single" w:sz="4" w:space="0" w:color="auto"/>
            </w:tcBorders>
            <w:vAlign w:val="bottom"/>
          </w:tcPr>
          <w:p w14:paraId="43793F34" w14:textId="77777777" w:rsidR="00EE5277" w:rsidRPr="00F15DB8" w:rsidRDefault="00EE5277" w:rsidP="00DF4704">
            <w:pPr>
              <w:keepNext/>
              <w:spacing w:before="120" w:after="120"/>
              <w:jc w:val="center"/>
              <w:rPr>
                <w:lang w:val="en-US"/>
              </w:rPr>
            </w:pPr>
            <w:r w:rsidRPr="00F15DB8">
              <w:rPr>
                <w:lang w:val="en-US"/>
              </w:rPr>
              <w:t>5</w:t>
            </w:r>
          </w:p>
        </w:tc>
      </w:tr>
      <w:tr w:rsidR="00EE5277" w:rsidRPr="00F15DB8" w14:paraId="23032B29" w14:textId="77777777" w:rsidTr="005A3ED1">
        <w:tblPrEx>
          <w:tblBorders>
            <w:top w:val="none" w:sz="0" w:space="0" w:color="auto"/>
          </w:tblBorders>
        </w:tblPrEx>
        <w:trPr>
          <w:trHeight w:val="170"/>
        </w:trPr>
        <w:tc>
          <w:tcPr>
            <w:tcW w:w="1374" w:type="pct"/>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bottom"/>
          </w:tcPr>
          <w:p w14:paraId="7EE157AF" w14:textId="77777777" w:rsidR="00EE5277" w:rsidRPr="00F15DB8" w:rsidRDefault="00EE5277" w:rsidP="00DF4704">
            <w:pPr>
              <w:keepNext/>
              <w:spacing w:before="120" w:after="120"/>
              <w:jc w:val="center"/>
              <w:rPr>
                <w:lang w:val="en-US"/>
              </w:rPr>
            </w:pPr>
            <w:r w:rsidRPr="00F15DB8">
              <w:rPr>
                <w:lang w:val="en-US"/>
              </w:rPr>
              <w:t>Particulates (TSP)</w:t>
            </w:r>
          </w:p>
        </w:tc>
        <w:tc>
          <w:tcPr>
            <w:tcW w:w="1427" w:type="pct"/>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bottom"/>
          </w:tcPr>
          <w:p w14:paraId="25EDC186" w14:textId="77777777" w:rsidR="00EE5277" w:rsidRPr="00F15DB8" w:rsidRDefault="00EE5277" w:rsidP="00DF4704">
            <w:pPr>
              <w:keepNext/>
              <w:spacing w:before="120" w:after="120"/>
              <w:jc w:val="center"/>
              <w:rPr>
                <w:lang w:val="en-US"/>
              </w:rPr>
            </w:pPr>
            <w:r w:rsidRPr="00F15DB8">
              <w:rPr>
                <w:lang w:val="en-US"/>
              </w:rPr>
              <w:t>mg/Nm</w:t>
            </w:r>
            <w:r w:rsidRPr="00F15DB8">
              <w:rPr>
                <w:vertAlign w:val="superscript"/>
                <w:lang w:val="en-US"/>
              </w:rPr>
              <w:t>3</w:t>
            </w:r>
          </w:p>
        </w:tc>
        <w:tc>
          <w:tcPr>
            <w:tcW w:w="1099" w:type="pct"/>
            <w:tcBorders>
              <w:top w:val="single" w:sz="10" w:space="0" w:color="auto"/>
              <w:left w:val="single" w:sz="10" w:space="0" w:color="auto"/>
              <w:bottom w:val="single" w:sz="10" w:space="0" w:color="auto"/>
              <w:right w:val="single" w:sz="4" w:space="0" w:color="auto"/>
            </w:tcBorders>
            <w:tcMar>
              <w:top w:w="20" w:type="nil"/>
              <w:left w:w="20" w:type="nil"/>
              <w:bottom w:w="20" w:type="nil"/>
              <w:right w:w="20" w:type="nil"/>
            </w:tcMar>
            <w:vAlign w:val="bottom"/>
          </w:tcPr>
          <w:p w14:paraId="2D25E95A" w14:textId="77777777" w:rsidR="00EE5277" w:rsidRPr="00F15DB8" w:rsidRDefault="00EE5277" w:rsidP="00DF4704">
            <w:pPr>
              <w:keepNext/>
              <w:spacing w:before="120" w:after="120"/>
              <w:jc w:val="center"/>
              <w:rPr>
                <w:lang w:val="en-US"/>
              </w:rPr>
            </w:pPr>
            <w:r w:rsidRPr="00F15DB8">
              <w:rPr>
                <w:lang w:val="en-US"/>
              </w:rPr>
              <w:t>50</w:t>
            </w:r>
          </w:p>
        </w:tc>
        <w:tc>
          <w:tcPr>
            <w:tcW w:w="1099" w:type="pct"/>
            <w:tcBorders>
              <w:top w:val="single" w:sz="10" w:space="0" w:color="auto"/>
              <w:left w:val="single" w:sz="10" w:space="0" w:color="auto"/>
              <w:bottom w:val="single" w:sz="10" w:space="0" w:color="auto"/>
              <w:right w:val="single" w:sz="4" w:space="0" w:color="auto"/>
            </w:tcBorders>
            <w:vAlign w:val="bottom"/>
          </w:tcPr>
          <w:p w14:paraId="2275F9F7" w14:textId="77777777" w:rsidR="00EE5277" w:rsidRPr="00F15DB8" w:rsidRDefault="00EE5277" w:rsidP="00DF4704">
            <w:pPr>
              <w:keepNext/>
              <w:spacing w:before="120" w:after="120"/>
              <w:jc w:val="center"/>
              <w:rPr>
                <w:lang w:val="en-US"/>
              </w:rPr>
            </w:pPr>
            <w:r w:rsidRPr="00F15DB8">
              <w:rPr>
                <w:lang w:val="en-US"/>
              </w:rPr>
              <w:t>50</w:t>
            </w:r>
          </w:p>
        </w:tc>
      </w:tr>
      <w:tr w:rsidR="00EE5277" w:rsidRPr="00F15DB8" w14:paraId="27312562" w14:textId="77777777" w:rsidTr="005A3ED1">
        <w:trPr>
          <w:trHeight w:val="170"/>
        </w:trPr>
        <w:tc>
          <w:tcPr>
            <w:tcW w:w="1374" w:type="pct"/>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bottom"/>
          </w:tcPr>
          <w:p w14:paraId="4B9B80BC" w14:textId="77777777" w:rsidR="00EE5277" w:rsidRPr="00F15DB8" w:rsidRDefault="00EE5277" w:rsidP="00DF4704">
            <w:pPr>
              <w:keepNext/>
              <w:spacing w:before="120" w:after="120"/>
              <w:jc w:val="center"/>
              <w:rPr>
                <w:lang w:val="en-US"/>
              </w:rPr>
            </w:pPr>
            <w:r w:rsidRPr="00F15DB8">
              <w:rPr>
                <w:lang w:val="en-US"/>
              </w:rPr>
              <w:t>CO</w:t>
            </w:r>
          </w:p>
        </w:tc>
        <w:tc>
          <w:tcPr>
            <w:tcW w:w="1427" w:type="pct"/>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bottom"/>
          </w:tcPr>
          <w:p w14:paraId="27A69905" w14:textId="77777777" w:rsidR="00EE5277" w:rsidRPr="00F15DB8" w:rsidRDefault="00EE5277" w:rsidP="00DF4704">
            <w:pPr>
              <w:keepNext/>
              <w:spacing w:before="120" w:after="120"/>
              <w:jc w:val="center"/>
              <w:rPr>
                <w:lang w:val="en-US"/>
              </w:rPr>
            </w:pPr>
            <w:r w:rsidRPr="00F15DB8">
              <w:rPr>
                <w:lang w:val="en-US"/>
              </w:rPr>
              <w:t>mg/Nm</w:t>
            </w:r>
            <w:r w:rsidRPr="00F15DB8">
              <w:rPr>
                <w:vertAlign w:val="superscript"/>
                <w:lang w:val="en-US"/>
              </w:rPr>
              <w:t>3</w:t>
            </w:r>
          </w:p>
        </w:tc>
        <w:tc>
          <w:tcPr>
            <w:tcW w:w="1099" w:type="pct"/>
            <w:tcBorders>
              <w:top w:val="single" w:sz="10" w:space="0" w:color="auto"/>
              <w:left w:val="single" w:sz="10" w:space="0" w:color="auto"/>
              <w:bottom w:val="single" w:sz="10" w:space="0" w:color="auto"/>
              <w:right w:val="single" w:sz="4" w:space="0" w:color="auto"/>
            </w:tcBorders>
            <w:tcMar>
              <w:top w:w="20" w:type="nil"/>
              <w:left w:w="20" w:type="nil"/>
              <w:bottom w:w="20" w:type="nil"/>
              <w:right w:w="20" w:type="nil"/>
            </w:tcMar>
            <w:vAlign w:val="bottom"/>
          </w:tcPr>
          <w:p w14:paraId="3D491DCC" w14:textId="77777777" w:rsidR="00EE5277" w:rsidRPr="00F15DB8" w:rsidRDefault="00EE5277" w:rsidP="00DF4704">
            <w:pPr>
              <w:keepNext/>
              <w:spacing w:before="120" w:after="120"/>
              <w:jc w:val="center"/>
              <w:rPr>
                <w:lang w:val="en-US"/>
              </w:rPr>
            </w:pPr>
            <w:r w:rsidRPr="00F15DB8">
              <w:rPr>
                <w:lang w:val="en-US"/>
              </w:rPr>
              <w:t>100</w:t>
            </w:r>
          </w:p>
        </w:tc>
        <w:tc>
          <w:tcPr>
            <w:tcW w:w="1099" w:type="pct"/>
            <w:tcBorders>
              <w:top w:val="single" w:sz="10" w:space="0" w:color="auto"/>
              <w:left w:val="single" w:sz="10" w:space="0" w:color="auto"/>
              <w:bottom w:val="single" w:sz="10" w:space="0" w:color="auto"/>
              <w:right w:val="single" w:sz="4" w:space="0" w:color="auto"/>
            </w:tcBorders>
            <w:vAlign w:val="bottom"/>
          </w:tcPr>
          <w:p w14:paraId="3908F1CD" w14:textId="77777777" w:rsidR="00EE5277" w:rsidRPr="00F15DB8" w:rsidRDefault="00EE5277" w:rsidP="00DF4704">
            <w:pPr>
              <w:keepNext/>
              <w:spacing w:before="120" w:after="120"/>
              <w:jc w:val="center"/>
              <w:rPr>
                <w:lang w:val="en-US"/>
              </w:rPr>
            </w:pPr>
            <w:r w:rsidRPr="00F15DB8">
              <w:rPr>
                <w:lang w:val="en-US"/>
              </w:rPr>
              <w:t>100</w:t>
            </w:r>
          </w:p>
        </w:tc>
      </w:tr>
    </w:tbl>
    <w:p w14:paraId="2373E743" w14:textId="77777777" w:rsidR="00EE5277" w:rsidRPr="00F15DB8" w:rsidRDefault="00EE5277" w:rsidP="006C2C13">
      <w:pPr>
        <w:spacing w:after="60"/>
        <w:rPr>
          <w:sz w:val="18"/>
          <w:szCs w:val="18"/>
          <w:lang w:val="en-US"/>
        </w:rPr>
      </w:pPr>
      <w:r w:rsidRPr="00F15DB8">
        <w:rPr>
          <w:sz w:val="18"/>
          <w:szCs w:val="18"/>
          <w:lang w:val="en-US"/>
        </w:rPr>
        <w:t>Notes to the table:</w:t>
      </w:r>
    </w:p>
    <w:p w14:paraId="307BB3D5" w14:textId="77777777" w:rsidR="00EE5277" w:rsidRPr="00F15DB8" w:rsidRDefault="00EE5277" w:rsidP="006C2C13">
      <w:pPr>
        <w:spacing w:after="60"/>
        <w:rPr>
          <w:sz w:val="18"/>
          <w:szCs w:val="18"/>
          <w:lang w:val="en-US"/>
        </w:rPr>
      </w:pPr>
      <w:r w:rsidRPr="00F15DB8">
        <w:rPr>
          <w:sz w:val="18"/>
          <w:szCs w:val="18"/>
          <w:lang w:val="en-US"/>
        </w:rPr>
        <w:t>All concentrations of pollutants in stack gases and stack gas flow rates are expressed on the basis of dry gas at normal conditions of 0</w:t>
      </w:r>
      <w:r w:rsidRPr="00F15DB8">
        <w:rPr>
          <w:sz w:val="18"/>
          <w:szCs w:val="18"/>
          <w:vertAlign w:val="superscript"/>
          <w:lang w:val="en-US"/>
        </w:rPr>
        <w:t>o</w:t>
      </w:r>
      <w:r w:rsidRPr="00F15DB8">
        <w:rPr>
          <w:sz w:val="18"/>
          <w:szCs w:val="18"/>
          <w:lang w:val="en-US"/>
        </w:rPr>
        <w:t xml:space="preserve">C and 101.3 </w:t>
      </w:r>
      <w:proofErr w:type="spellStart"/>
      <w:r w:rsidRPr="00F15DB8">
        <w:rPr>
          <w:sz w:val="18"/>
          <w:szCs w:val="18"/>
          <w:lang w:val="en-US"/>
        </w:rPr>
        <w:t>kPa</w:t>
      </w:r>
      <w:proofErr w:type="spellEnd"/>
      <w:r w:rsidRPr="00F15DB8">
        <w:rPr>
          <w:sz w:val="18"/>
          <w:szCs w:val="18"/>
          <w:lang w:val="en-US"/>
        </w:rPr>
        <w:t>, and with the stack gas corrected to 11% O</w:t>
      </w:r>
      <w:r w:rsidRPr="00F15DB8">
        <w:rPr>
          <w:sz w:val="18"/>
          <w:szCs w:val="18"/>
          <w:vertAlign w:val="subscript"/>
          <w:lang w:val="en-US"/>
        </w:rPr>
        <w:t xml:space="preserve">2 </w:t>
      </w:r>
      <w:r w:rsidRPr="00F15DB8">
        <w:rPr>
          <w:sz w:val="18"/>
          <w:szCs w:val="18"/>
          <w:lang w:val="en-US"/>
        </w:rPr>
        <w:t xml:space="preserve">(as referred to by normal cubic </w:t>
      </w:r>
      <w:proofErr w:type="spellStart"/>
      <w:r w:rsidRPr="00F15DB8">
        <w:rPr>
          <w:sz w:val="18"/>
          <w:szCs w:val="18"/>
          <w:lang w:val="en-US"/>
        </w:rPr>
        <w:t>metre</w:t>
      </w:r>
      <w:proofErr w:type="spellEnd"/>
      <w:r w:rsidRPr="00F15DB8">
        <w:rPr>
          <w:sz w:val="18"/>
          <w:szCs w:val="18"/>
          <w:lang w:val="en-US"/>
        </w:rPr>
        <w:t>, Nm</w:t>
      </w:r>
      <w:r w:rsidRPr="00F15DB8">
        <w:rPr>
          <w:sz w:val="18"/>
          <w:szCs w:val="18"/>
          <w:vertAlign w:val="superscript"/>
          <w:lang w:val="en-US"/>
        </w:rPr>
        <w:t>3</w:t>
      </w:r>
      <w:r w:rsidRPr="00F15DB8">
        <w:rPr>
          <w:sz w:val="18"/>
          <w:szCs w:val="18"/>
          <w:lang w:val="en-US"/>
        </w:rPr>
        <w:t>).</w:t>
      </w:r>
      <w:r w:rsidRPr="00F15DB8">
        <w:rPr>
          <w:rFonts w:ascii="MS Mincho" w:eastAsia="MS Mincho" w:hAnsi="MS Mincho" w:cs="MS Mincho" w:hint="eastAsia"/>
          <w:sz w:val="18"/>
          <w:szCs w:val="18"/>
          <w:lang w:val="en-US"/>
        </w:rPr>
        <w:t> </w:t>
      </w:r>
    </w:p>
    <w:p w14:paraId="14AEB897" w14:textId="14F6DE97" w:rsidR="00EE5277" w:rsidRPr="0007748B" w:rsidRDefault="00EE5277" w:rsidP="00131A0D">
      <w:pPr>
        <w:autoSpaceDE w:val="0"/>
        <w:autoSpaceDN w:val="0"/>
        <w:adjustRightInd w:val="0"/>
        <w:spacing w:after="60"/>
        <w:jc w:val="both"/>
        <w:rPr>
          <w:rFonts w:eastAsia="DengXian"/>
          <w:sz w:val="18"/>
          <w:szCs w:val="18"/>
          <w:lang w:val="en-US"/>
        </w:rPr>
      </w:pPr>
      <w:r w:rsidRPr="00F15DB8">
        <w:rPr>
          <w:sz w:val="18"/>
          <w:szCs w:val="18"/>
          <w:lang w:val="en-US"/>
        </w:rPr>
        <w:t>ITEQ – international toxic equivalency</w:t>
      </w:r>
      <w:r w:rsidR="00131A0D">
        <w:rPr>
          <w:rFonts w:ascii="MS Mincho" w:hAnsi="MS Mincho" w:cs="MS Mincho" w:hint="eastAsia"/>
          <w:sz w:val="18"/>
          <w:szCs w:val="18"/>
          <w:lang w:val="en-US"/>
        </w:rPr>
        <w:t xml:space="preserve"> </w:t>
      </w:r>
      <w:r w:rsidRPr="0007748B">
        <w:rPr>
          <w:rFonts w:eastAsia="DengXian"/>
          <w:sz w:val="18"/>
          <w:szCs w:val="18"/>
          <w:lang w:val="en-US"/>
        </w:rPr>
        <w:t xml:space="preserve">used for </w:t>
      </w:r>
      <w:r w:rsidRPr="0007748B">
        <w:rPr>
          <w:color w:val="auto"/>
          <w:sz w:val="18"/>
          <w:szCs w:val="18"/>
          <w:lang w:eastAsia="en-US"/>
        </w:rPr>
        <w:t xml:space="preserve">PCDDs and PCDFs. </w:t>
      </w:r>
    </w:p>
    <w:p w14:paraId="0DEC33E7" w14:textId="77777777" w:rsidR="00EE5277" w:rsidRDefault="00EE5277" w:rsidP="006C2C13">
      <w:pPr>
        <w:spacing w:after="60"/>
        <w:rPr>
          <w:rFonts w:ascii="MS Mincho" w:eastAsia="MS Mincho" w:hAnsi="MS Mincho" w:cs="MS Mincho"/>
          <w:sz w:val="18"/>
          <w:szCs w:val="18"/>
          <w:lang w:val="en-US"/>
        </w:rPr>
      </w:pPr>
      <w:r w:rsidRPr="00F15DB8">
        <w:rPr>
          <w:sz w:val="18"/>
          <w:szCs w:val="18"/>
          <w:lang w:val="en-US"/>
        </w:rPr>
        <w:t>TSP – total suspended particles</w:t>
      </w:r>
      <w:r w:rsidRPr="00F15DB8">
        <w:rPr>
          <w:rFonts w:ascii="MS Mincho" w:eastAsia="MS Mincho" w:hAnsi="MS Mincho" w:cs="MS Mincho" w:hint="eastAsia"/>
          <w:sz w:val="18"/>
          <w:szCs w:val="18"/>
          <w:lang w:val="en-US"/>
        </w:rPr>
        <w:t> </w:t>
      </w:r>
    </w:p>
    <w:p w14:paraId="398FDD7D" w14:textId="77777777" w:rsidR="00EE5277" w:rsidRDefault="00EE5277" w:rsidP="00EE5277">
      <w:pPr>
        <w:spacing w:after="0"/>
        <w:rPr>
          <w:rFonts w:ascii="MS Mincho" w:eastAsia="MS Mincho" w:hAnsi="MS Mincho" w:cs="MS Mincho"/>
          <w:sz w:val="18"/>
          <w:szCs w:val="18"/>
          <w:lang w:val="en-US"/>
        </w:rPr>
      </w:pPr>
    </w:p>
    <w:p w14:paraId="719725BD" w14:textId="5E4B384D" w:rsidR="00EE5277" w:rsidRDefault="00EE5277" w:rsidP="00EE5277">
      <w:pPr>
        <w:rPr>
          <w:lang w:val="en-US"/>
        </w:rPr>
      </w:pPr>
      <w:r w:rsidRPr="00F15DB8">
        <w:rPr>
          <w:lang w:val="en-US"/>
        </w:rPr>
        <w:t xml:space="preserve">These criteria represent the minimum destruction and removal efficiencies and maximum emission of pollutants to the atmosphere </w:t>
      </w:r>
      <w:r w:rsidR="008E5BF3">
        <w:rPr>
          <w:lang w:val="en-US"/>
        </w:rPr>
        <w:t>demonstrated</w:t>
      </w:r>
      <w:r w:rsidRPr="00F15DB8">
        <w:rPr>
          <w:lang w:val="en-US"/>
        </w:rPr>
        <w:t xml:space="preserve"> by technologies </w:t>
      </w:r>
      <w:r w:rsidR="008E5BF3">
        <w:rPr>
          <w:lang w:val="en-US"/>
        </w:rPr>
        <w:t>to</w:t>
      </w:r>
      <w:r w:rsidRPr="00F15DB8">
        <w:rPr>
          <w:lang w:val="en-US"/>
        </w:rPr>
        <w:t xml:space="preserve"> </w:t>
      </w:r>
      <w:r w:rsidR="008E5BF3">
        <w:rPr>
          <w:lang w:val="en-US"/>
        </w:rPr>
        <w:t>enable</w:t>
      </w:r>
      <w:r w:rsidRPr="00F15DB8">
        <w:rPr>
          <w:lang w:val="en-US"/>
        </w:rPr>
        <w:t xml:space="preserve"> </w:t>
      </w:r>
      <w:r w:rsidR="008E5BF3">
        <w:rPr>
          <w:lang w:val="en-US"/>
        </w:rPr>
        <w:t>their recommendation to the p</w:t>
      </w:r>
      <w:r w:rsidRPr="00F15DB8">
        <w:rPr>
          <w:lang w:val="en-US"/>
        </w:rPr>
        <w:t xml:space="preserve">arties </w:t>
      </w:r>
      <w:r w:rsidR="008E5BF3">
        <w:rPr>
          <w:lang w:val="en-US"/>
        </w:rPr>
        <w:t>to</w:t>
      </w:r>
      <w:r w:rsidRPr="00F15DB8">
        <w:rPr>
          <w:lang w:val="en-US"/>
        </w:rPr>
        <w:t xml:space="preserve"> the Montreal Protocol for approval as ODS destruction technologies</w:t>
      </w:r>
      <w:r w:rsidR="008E5BF3" w:rsidRPr="008E5BF3">
        <w:rPr>
          <w:color w:val="auto"/>
          <w:lang w:val="en-US"/>
        </w:rPr>
        <w:t>.</w:t>
      </w:r>
      <w:r w:rsidR="00784824" w:rsidRPr="008E5BF3">
        <w:rPr>
          <w:color w:val="auto"/>
          <w:lang w:val="en-US"/>
        </w:rPr>
        <w:t xml:space="preserve"> </w:t>
      </w:r>
      <w:r w:rsidR="009600D4" w:rsidRPr="00A549E8">
        <w:rPr>
          <w:color w:val="000000" w:themeColor="text1"/>
          <w:lang w:val="en-US"/>
        </w:rPr>
        <w:t xml:space="preserve">These criteria </w:t>
      </w:r>
      <w:r w:rsidR="006F0BCF" w:rsidRPr="00A549E8">
        <w:rPr>
          <w:color w:val="000000" w:themeColor="text1"/>
          <w:lang w:val="en-US"/>
        </w:rPr>
        <w:t>were developed after</w:t>
      </w:r>
      <w:r w:rsidR="009600D4" w:rsidRPr="00A549E8">
        <w:rPr>
          <w:color w:val="000000" w:themeColor="text1"/>
          <w:lang w:val="en-US"/>
        </w:rPr>
        <w:t xml:space="preserve"> an earlier</w:t>
      </w:r>
      <w:r w:rsidR="00731F78" w:rsidRPr="00A549E8">
        <w:rPr>
          <w:color w:val="000000" w:themeColor="text1"/>
          <w:lang w:val="en-US"/>
        </w:rPr>
        <w:t xml:space="preserve"> </w:t>
      </w:r>
      <w:r w:rsidR="009600D4" w:rsidRPr="00A549E8">
        <w:rPr>
          <w:color w:val="000000" w:themeColor="text1"/>
          <w:lang w:val="en-US"/>
        </w:rPr>
        <w:t>decision of Parties to the Montreal Protocol, taken at their Fourth Meeting, on “suggested minimum standards” for the operation of destruction facilities</w:t>
      </w:r>
      <w:r w:rsidR="004E6EC2" w:rsidRPr="00A549E8">
        <w:rPr>
          <w:color w:val="000000" w:themeColor="text1"/>
          <w:lang w:val="en-US"/>
        </w:rPr>
        <w:t xml:space="preserve"> (see Appendix </w:t>
      </w:r>
      <w:r w:rsidR="00821E67">
        <w:rPr>
          <w:color w:val="000000" w:themeColor="text1"/>
          <w:lang w:val="en-US"/>
        </w:rPr>
        <w:t>2</w:t>
      </w:r>
      <w:r w:rsidR="004E6EC2" w:rsidRPr="00A549E8">
        <w:rPr>
          <w:color w:val="000000" w:themeColor="text1"/>
          <w:lang w:val="en-US"/>
        </w:rPr>
        <w:t>)</w:t>
      </w:r>
      <w:r w:rsidR="009600D4" w:rsidRPr="00A549E8">
        <w:rPr>
          <w:color w:val="000000" w:themeColor="text1"/>
          <w:lang w:val="en-US"/>
        </w:rPr>
        <w:t>.</w:t>
      </w:r>
    </w:p>
    <w:p w14:paraId="3E395D66" w14:textId="0FAD6A57" w:rsidR="008B49D5" w:rsidRPr="008B49D5" w:rsidRDefault="008B49D5" w:rsidP="008B49D5">
      <w:pPr>
        <w:rPr>
          <w:color w:val="auto"/>
          <w:lang w:val="en-US"/>
        </w:rPr>
      </w:pPr>
      <w:r w:rsidRPr="008B49D5">
        <w:rPr>
          <w:color w:val="auto"/>
        </w:rPr>
        <w:t xml:space="preserve">The performance criteria </w:t>
      </w:r>
      <w:r>
        <w:rPr>
          <w:color w:val="auto"/>
        </w:rPr>
        <w:t xml:space="preserve">serve as a benchmark for comparison purposes. </w:t>
      </w:r>
      <w:r w:rsidRPr="008B49D5">
        <w:rPr>
          <w:color w:val="auto"/>
        </w:rPr>
        <w:t xml:space="preserve">They are not standards, nor do they meet internationally accepted emissions limits for pollutants. They </w:t>
      </w:r>
      <w:r w:rsidR="00065FC7">
        <w:rPr>
          <w:color w:val="auto"/>
        </w:rPr>
        <w:t>were developed</w:t>
      </w:r>
      <w:r w:rsidRPr="008B49D5">
        <w:rPr>
          <w:color w:val="auto"/>
        </w:rPr>
        <w:t xml:space="preserve"> only for the purposes of screening and recommending </w:t>
      </w:r>
      <w:r>
        <w:rPr>
          <w:color w:val="auto"/>
        </w:rPr>
        <w:t xml:space="preserve">generic </w:t>
      </w:r>
      <w:r w:rsidRPr="008B49D5">
        <w:rPr>
          <w:color w:val="auto"/>
        </w:rPr>
        <w:t xml:space="preserve">technologies that might be considered technically </w:t>
      </w:r>
      <w:r>
        <w:rPr>
          <w:color w:val="auto"/>
        </w:rPr>
        <w:t xml:space="preserve">capable of </w:t>
      </w:r>
      <w:r w:rsidRPr="008B49D5">
        <w:rPr>
          <w:color w:val="auto"/>
        </w:rPr>
        <w:t>meet</w:t>
      </w:r>
      <w:r>
        <w:rPr>
          <w:color w:val="auto"/>
        </w:rPr>
        <w:t>ing</w:t>
      </w:r>
      <w:r w:rsidRPr="008B49D5">
        <w:rPr>
          <w:color w:val="auto"/>
        </w:rPr>
        <w:t xml:space="preserve"> acceptable limits of pollutant emissions. Operators of destruction technologies </w:t>
      </w:r>
      <w:r>
        <w:rPr>
          <w:color w:val="auto"/>
        </w:rPr>
        <w:t>are required</w:t>
      </w:r>
      <w:r w:rsidRPr="008B49D5">
        <w:rPr>
          <w:color w:val="auto"/>
        </w:rPr>
        <w:t xml:space="preserve"> to meet local emissions </w:t>
      </w:r>
      <w:r w:rsidR="00065FC7">
        <w:rPr>
          <w:color w:val="auto"/>
        </w:rPr>
        <w:t>controls</w:t>
      </w:r>
      <w:r w:rsidRPr="008B49D5">
        <w:rPr>
          <w:color w:val="auto"/>
        </w:rPr>
        <w:t xml:space="preserve">, and </w:t>
      </w:r>
      <w:r w:rsidR="00065FC7">
        <w:rPr>
          <w:color w:val="auto"/>
        </w:rPr>
        <w:t xml:space="preserve">a </w:t>
      </w:r>
      <w:r w:rsidRPr="008B49D5">
        <w:rPr>
          <w:color w:val="auto"/>
        </w:rPr>
        <w:t xml:space="preserve">recommendation or </w:t>
      </w:r>
      <w:r w:rsidR="00065FC7">
        <w:rPr>
          <w:color w:val="auto"/>
        </w:rPr>
        <w:t xml:space="preserve">an </w:t>
      </w:r>
      <w:r w:rsidRPr="008B49D5">
        <w:rPr>
          <w:color w:val="auto"/>
        </w:rPr>
        <w:t xml:space="preserve">approval under the Montreal Protocol does not guarantee that local requirements can or will be met. There may be other concerns or emissions of interest to </w:t>
      </w:r>
      <w:r>
        <w:rPr>
          <w:color w:val="auto"/>
        </w:rPr>
        <w:t>governments</w:t>
      </w:r>
      <w:r w:rsidRPr="008B49D5">
        <w:rPr>
          <w:color w:val="auto"/>
        </w:rPr>
        <w:t xml:space="preserve"> at their national levels</w:t>
      </w:r>
      <w:r>
        <w:rPr>
          <w:color w:val="auto"/>
        </w:rPr>
        <w:t xml:space="preserve">. </w:t>
      </w:r>
      <w:r w:rsidRPr="008B49D5">
        <w:rPr>
          <w:color w:val="auto"/>
        </w:rPr>
        <w:t xml:space="preserve">In addition, the performance of technologies are plant and operation specific. </w:t>
      </w:r>
      <w:r w:rsidR="00065FC7">
        <w:rPr>
          <w:lang w:val="en-AU"/>
        </w:rPr>
        <w:t xml:space="preserve">Emissions management </w:t>
      </w:r>
      <w:r w:rsidR="004D6B5B">
        <w:rPr>
          <w:lang w:val="en-AU"/>
        </w:rPr>
        <w:t xml:space="preserve">is a </w:t>
      </w:r>
      <w:r>
        <w:rPr>
          <w:lang w:val="en-AU"/>
        </w:rPr>
        <w:t>matter for operators and government agencies within national regulatory frameworks.</w:t>
      </w:r>
    </w:p>
    <w:p w14:paraId="4E8FAB5C" w14:textId="440A7E63" w:rsidR="00602DDD" w:rsidRDefault="00784824" w:rsidP="00731F78">
      <w:pPr>
        <w:rPr>
          <w:color w:val="auto"/>
          <w:lang w:val="en-US"/>
        </w:rPr>
      </w:pPr>
      <w:r w:rsidRPr="0049656F">
        <w:rPr>
          <w:color w:val="auto"/>
          <w:lang w:val="en-US"/>
        </w:rPr>
        <w:t>Waste ODS are typically classified as hazardous waste</w:t>
      </w:r>
      <w:r w:rsidR="00065FC7">
        <w:rPr>
          <w:color w:val="auto"/>
          <w:lang w:val="en-US"/>
        </w:rPr>
        <w:t>s</w:t>
      </w:r>
      <w:r w:rsidRPr="0049656F">
        <w:rPr>
          <w:color w:val="auto"/>
          <w:lang w:val="en-US"/>
        </w:rPr>
        <w:t xml:space="preserve">, and relevant legislation imposes additional requirements, nationally, </w:t>
      </w:r>
      <w:r w:rsidR="00BE38D9">
        <w:rPr>
          <w:color w:val="auto"/>
          <w:lang w:val="en-US"/>
        </w:rPr>
        <w:t xml:space="preserve">or </w:t>
      </w:r>
      <w:r w:rsidRPr="0049656F">
        <w:rPr>
          <w:color w:val="auto"/>
          <w:lang w:val="en-US"/>
        </w:rPr>
        <w:t>regionally (E</w:t>
      </w:r>
      <w:r w:rsidR="00663CDF">
        <w:rPr>
          <w:color w:val="auto"/>
          <w:lang w:val="en-US"/>
        </w:rPr>
        <w:t xml:space="preserve">uropean </w:t>
      </w:r>
      <w:r w:rsidRPr="0049656F">
        <w:rPr>
          <w:color w:val="auto"/>
          <w:lang w:val="en-US"/>
        </w:rPr>
        <w:t>U</w:t>
      </w:r>
      <w:r w:rsidR="00663CDF">
        <w:rPr>
          <w:color w:val="auto"/>
          <w:lang w:val="en-US"/>
        </w:rPr>
        <w:t>nion</w:t>
      </w:r>
      <w:r w:rsidRPr="0049656F">
        <w:rPr>
          <w:color w:val="auto"/>
          <w:lang w:val="en-US"/>
        </w:rPr>
        <w:t>)</w:t>
      </w:r>
      <w:r w:rsidR="00BE38D9">
        <w:rPr>
          <w:color w:val="auto"/>
          <w:lang w:val="en-US"/>
        </w:rPr>
        <w:t>,</w:t>
      </w:r>
      <w:r w:rsidRPr="0049656F">
        <w:rPr>
          <w:color w:val="auto"/>
          <w:lang w:val="en-US"/>
        </w:rPr>
        <w:t xml:space="preserve"> </w:t>
      </w:r>
      <w:r w:rsidR="00BE38D9">
        <w:rPr>
          <w:color w:val="auto"/>
          <w:lang w:val="en-US"/>
        </w:rPr>
        <w:t xml:space="preserve">and may also be subject to international reference </w:t>
      </w:r>
      <w:r w:rsidR="00870180">
        <w:rPr>
          <w:color w:val="auto"/>
          <w:lang w:val="en-US"/>
        </w:rPr>
        <w:t>guidance</w:t>
      </w:r>
      <w:r w:rsidR="00BE38D9">
        <w:rPr>
          <w:color w:val="auto"/>
          <w:lang w:val="en-US"/>
        </w:rPr>
        <w:t xml:space="preserve"> </w:t>
      </w:r>
      <w:r w:rsidRPr="0049656F">
        <w:rPr>
          <w:color w:val="auto"/>
          <w:lang w:val="en-US"/>
        </w:rPr>
        <w:t>(Basel Convention) in terms of emissions performance, including other potential emissions and sources of emissions and monitoring.</w:t>
      </w:r>
      <w:r w:rsidR="00514300">
        <w:rPr>
          <w:color w:val="auto"/>
          <w:lang w:val="en-US"/>
        </w:rPr>
        <w:t xml:space="preserve"> </w:t>
      </w:r>
    </w:p>
    <w:p w14:paraId="4C7DD095" w14:textId="124C932C" w:rsidR="000523FA" w:rsidRDefault="000523FA" w:rsidP="00275CBE">
      <w:pPr>
        <w:pStyle w:val="Heading3"/>
      </w:pPr>
      <w:bookmarkStart w:id="24" w:name="_Toc510531447"/>
      <w:r>
        <w:t>2.1.</w:t>
      </w:r>
      <w:r w:rsidR="00BD4591">
        <w:t>1</w:t>
      </w:r>
      <w:r>
        <w:tab/>
        <w:t>Chlorinated dioxins and furans</w:t>
      </w:r>
      <w:bookmarkEnd w:id="24"/>
    </w:p>
    <w:p w14:paraId="02376D23" w14:textId="5D60C68D" w:rsidR="00C464E4" w:rsidRPr="00C464E4" w:rsidRDefault="00C464E4" w:rsidP="00C464E4">
      <w:pPr>
        <w:rPr>
          <w:rFonts w:ascii="TimesNewRomanPSMT" w:hAnsi="TimesNewRomanPSMT" w:cs="TimesNewRomanPSMT"/>
          <w:color w:val="auto"/>
          <w:szCs w:val="22"/>
        </w:rPr>
      </w:pPr>
      <w:r w:rsidRPr="00C464E4">
        <w:rPr>
          <w:rFonts w:ascii="TimesNewRomanPSMT" w:hAnsi="TimesNewRomanPSMT" w:cs="TimesNewRomanPSMT"/>
          <w:color w:val="auto"/>
          <w:szCs w:val="22"/>
        </w:rPr>
        <w:t xml:space="preserve">PCDDs and PCDFs </w:t>
      </w:r>
      <w:r w:rsidR="00DF62EA">
        <w:rPr>
          <w:rFonts w:ascii="TimesNewRomanPSMT" w:hAnsi="TimesNewRomanPSMT" w:cs="TimesNewRomanPSMT"/>
          <w:color w:val="auto"/>
          <w:szCs w:val="22"/>
        </w:rPr>
        <w:t xml:space="preserve">(chlorinated dioxins and furans) </w:t>
      </w:r>
      <w:r w:rsidRPr="00C464E4">
        <w:rPr>
          <w:rFonts w:ascii="TimesNewRomanPSMT" w:hAnsi="TimesNewRomanPSMT" w:cs="TimesNewRomanPSMT"/>
          <w:color w:val="auto"/>
          <w:szCs w:val="22"/>
        </w:rPr>
        <w:t>are generally released to the environment as mixtures of these compounds. The scientific community developed a system of toxic equivalency factors (TEFs) which relate the biological potency of compounds in the dioxin</w:t>
      </w:r>
      <w:r w:rsidR="00946811">
        <w:rPr>
          <w:rFonts w:ascii="TimesNewRomanPSMT" w:hAnsi="TimesNewRomanPSMT" w:cs="TimesNewRomanPSMT"/>
          <w:color w:val="auto"/>
          <w:szCs w:val="22"/>
        </w:rPr>
        <w:t xml:space="preserve"> </w:t>
      </w:r>
      <w:r w:rsidR="00946811">
        <w:rPr>
          <w:rFonts w:ascii="TimesNewRomanPSMT" w:hAnsi="TimesNewRomanPSMT" w:cs="TimesNewRomanPSMT"/>
          <w:color w:val="auto"/>
          <w:szCs w:val="22"/>
        </w:rPr>
        <w:lastRenderedPageBreak/>
        <w:t xml:space="preserve">and </w:t>
      </w:r>
      <w:r w:rsidRPr="00C464E4">
        <w:rPr>
          <w:rFonts w:ascii="TimesNewRomanPSMT" w:hAnsi="TimesNewRomanPSMT" w:cs="TimesNewRomanPSMT"/>
          <w:color w:val="auto"/>
          <w:szCs w:val="22"/>
        </w:rPr>
        <w:t xml:space="preserve">furan family </w:t>
      </w:r>
      <w:r w:rsidR="00823AC8">
        <w:rPr>
          <w:rFonts w:ascii="TimesNewRomanPSMT" w:hAnsi="TimesNewRomanPSMT" w:cs="TimesNewRomanPSMT"/>
          <w:color w:val="auto"/>
          <w:szCs w:val="22"/>
        </w:rPr>
        <w:t xml:space="preserve">(dioxins/furans) </w:t>
      </w:r>
      <w:r w:rsidRPr="00C464E4">
        <w:rPr>
          <w:rFonts w:ascii="TimesNewRomanPSMT" w:hAnsi="TimesNewRomanPSMT" w:cs="TimesNewRomanPSMT"/>
          <w:color w:val="auto"/>
          <w:szCs w:val="22"/>
        </w:rPr>
        <w:t xml:space="preserve">to the reference </w:t>
      </w:r>
      <w:proofErr w:type="spellStart"/>
      <w:r w:rsidR="00C8262F">
        <w:rPr>
          <w:rFonts w:ascii="TimesNewRomanPSMT" w:hAnsi="TimesNewRomanPSMT" w:cs="TimesNewRomanPSMT"/>
          <w:color w:val="auto"/>
          <w:szCs w:val="22"/>
        </w:rPr>
        <w:t>t</w:t>
      </w:r>
      <w:r w:rsidR="00C8262F" w:rsidRPr="00C8262F">
        <w:rPr>
          <w:rFonts w:ascii="TimesNewRomanPSMT" w:hAnsi="TimesNewRomanPSMT" w:cs="TimesNewRomanPSMT"/>
          <w:color w:val="auto"/>
          <w:szCs w:val="22"/>
        </w:rPr>
        <w:t>etrachlorodibenzo</w:t>
      </w:r>
      <w:proofErr w:type="spellEnd"/>
      <w:r w:rsidR="00C8262F" w:rsidRPr="00C8262F">
        <w:rPr>
          <w:rFonts w:ascii="TimesNewRomanPSMT" w:hAnsi="TimesNewRomanPSMT" w:cs="TimesNewRomanPSMT"/>
          <w:color w:val="auto"/>
          <w:szCs w:val="22"/>
        </w:rPr>
        <w:t>-p-dioxin</w:t>
      </w:r>
      <w:r w:rsidR="00C8262F">
        <w:rPr>
          <w:rFonts w:ascii="TimesNewRomanPSMT" w:hAnsi="TimesNewRomanPSMT" w:cs="TimesNewRomanPSMT"/>
          <w:color w:val="auto"/>
          <w:szCs w:val="22"/>
        </w:rPr>
        <w:t xml:space="preserve"> (</w:t>
      </w:r>
      <w:r w:rsidRPr="006110B0">
        <w:rPr>
          <w:rFonts w:ascii="TimesNewRomanPSMT" w:hAnsi="TimesNewRomanPSMT" w:cs="TimesNewRomanPSMT"/>
          <w:color w:val="auto"/>
          <w:szCs w:val="22"/>
        </w:rPr>
        <w:t>TCDD</w:t>
      </w:r>
      <w:r w:rsidR="00C8262F">
        <w:rPr>
          <w:rFonts w:ascii="TimesNewRomanPSMT" w:hAnsi="TimesNewRomanPSMT" w:cs="TimesNewRomanPSMT"/>
          <w:color w:val="auto"/>
          <w:szCs w:val="22"/>
        </w:rPr>
        <w:t>)</w:t>
      </w:r>
      <w:r w:rsidRPr="00C464E4">
        <w:rPr>
          <w:rFonts w:ascii="TimesNewRomanPSMT" w:hAnsi="TimesNewRomanPSMT" w:cs="TimesNewRomanPSMT"/>
          <w:color w:val="auto"/>
          <w:szCs w:val="22"/>
        </w:rPr>
        <w:t xml:space="preserve"> compound. The concentration of each specific compound is multiplied by its corresponding TEF value, and the resulting potency-weighted concentration values are summed to form an expression of the mixture’s overall toxic equivalence (TEQ). The International Toxic Equivalents (ITEQ) scheme was established by NATO in 1988. More recently the TEFs were re-evaluated by the World Health Organisation and the revised TEQ scheme is generally universally accepted, with the updated TEFs used in the TEQ calculation.</w:t>
      </w:r>
      <w:r w:rsidRPr="00C464E4">
        <w:rPr>
          <w:rStyle w:val="FootnoteReference"/>
          <w:rFonts w:ascii="TimesNewRomanPSMT" w:hAnsi="TimesNewRomanPSMT" w:cs="TimesNewRomanPSMT"/>
          <w:color w:val="auto"/>
          <w:szCs w:val="22"/>
        </w:rPr>
        <w:footnoteReference w:id="13"/>
      </w:r>
      <w:r w:rsidRPr="00C464E4">
        <w:rPr>
          <w:rFonts w:ascii="TimesNewRomanPSMT" w:hAnsi="TimesNewRomanPSMT" w:cs="TimesNewRomanPSMT"/>
          <w:color w:val="auto"/>
          <w:szCs w:val="22"/>
        </w:rPr>
        <w:t xml:space="preserve"> </w:t>
      </w:r>
      <w:r w:rsidR="00351B1C">
        <w:rPr>
          <w:rFonts w:ascii="TimesNewRomanPSMT" w:hAnsi="TimesNewRomanPSMT" w:cs="TimesNewRomanPSMT"/>
          <w:color w:val="auto"/>
          <w:szCs w:val="22"/>
        </w:rPr>
        <w:t>S</w:t>
      </w:r>
      <w:r w:rsidR="007676D8">
        <w:rPr>
          <w:rFonts w:ascii="TimesNewRomanPSMT" w:hAnsi="TimesNewRomanPSMT" w:cs="TimesNewRomanPSMT"/>
          <w:color w:val="auto"/>
          <w:szCs w:val="22"/>
        </w:rPr>
        <w:t>ome of the data reviewed by the 2018 TFDT quotes TEQ values.</w:t>
      </w:r>
    </w:p>
    <w:p w14:paraId="78ADD13E" w14:textId="044F8C97" w:rsidR="004B5592" w:rsidRPr="0049656F" w:rsidRDefault="004B5592" w:rsidP="0049656F">
      <w:pPr>
        <w:rPr>
          <w:szCs w:val="22"/>
          <w:lang w:val="en-US"/>
        </w:rPr>
      </w:pPr>
      <w:r w:rsidRPr="0049656F">
        <w:rPr>
          <w:szCs w:val="22"/>
          <w:lang w:val="en-US"/>
        </w:rPr>
        <w:t xml:space="preserve">The performance criterion for </w:t>
      </w:r>
      <w:r w:rsidR="00DF62EA">
        <w:rPr>
          <w:szCs w:val="22"/>
          <w:lang w:val="en-US"/>
        </w:rPr>
        <w:t xml:space="preserve">chlorinated </w:t>
      </w:r>
      <w:r w:rsidRPr="0049656F">
        <w:rPr>
          <w:szCs w:val="22"/>
          <w:lang w:val="en-US"/>
        </w:rPr>
        <w:t>dioxins</w:t>
      </w:r>
      <w:r w:rsidR="00823AC8">
        <w:rPr>
          <w:szCs w:val="22"/>
          <w:lang w:val="en-US"/>
        </w:rPr>
        <w:t>/</w:t>
      </w:r>
      <w:r w:rsidRPr="0049656F">
        <w:rPr>
          <w:szCs w:val="22"/>
          <w:lang w:val="en-US"/>
        </w:rPr>
        <w:t>furans of 0.2 ng ITEQ Nm</w:t>
      </w:r>
      <w:r w:rsidRPr="0049656F">
        <w:rPr>
          <w:szCs w:val="22"/>
          <w:vertAlign w:val="superscript"/>
          <w:lang w:val="en-US"/>
        </w:rPr>
        <w:t>3</w:t>
      </w:r>
      <w:r w:rsidR="00065FC7">
        <w:rPr>
          <w:szCs w:val="22"/>
          <w:lang w:val="en-US"/>
        </w:rPr>
        <w:t xml:space="preserve">, as </w:t>
      </w:r>
      <w:r w:rsidRPr="0049656F">
        <w:rPr>
          <w:szCs w:val="22"/>
          <w:lang w:val="en-US"/>
        </w:rPr>
        <w:t>defined by the 2002 TFDT</w:t>
      </w:r>
      <w:r w:rsidR="00065FC7">
        <w:rPr>
          <w:szCs w:val="22"/>
          <w:lang w:val="en-US"/>
        </w:rPr>
        <w:t>,</w:t>
      </w:r>
      <w:r w:rsidRPr="0049656F">
        <w:rPr>
          <w:szCs w:val="22"/>
          <w:lang w:val="en-US"/>
        </w:rPr>
        <w:t xml:space="preserve"> </w:t>
      </w:r>
      <w:r w:rsidR="00580343">
        <w:rPr>
          <w:szCs w:val="22"/>
          <w:lang w:val="en-US"/>
        </w:rPr>
        <w:t xml:space="preserve">lay </w:t>
      </w:r>
      <w:r w:rsidRPr="0049656F">
        <w:rPr>
          <w:szCs w:val="22"/>
          <w:lang w:val="en-US"/>
        </w:rPr>
        <w:t xml:space="preserve">between </w:t>
      </w:r>
      <w:r w:rsidR="00580343">
        <w:rPr>
          <w:szCs w:val="22"/>
          <w:lang w:val="en-US"/>
        </w:rPr>
        <w:t xml:space="preserve">the </w:t>
      </w:r>
      <w:r w:rsidRPr="0049656F">
        <w:rPr>
          <w:rFonts w:ascii="TimesNewRomanPSMT" w:hAnsi="TimesNewRomanPSMT" w:cs="TimesNewRomanPSMT"/>
          <w:szCs w:val="22"/>
        </w:rPr>
        <w:t xml:space="preserve">more stringent requirements in </w:t>
      </w:r>
      <w:r w:rsidR="00065FC7">
        <w:rPr>
          <w:rFonts w:ascii="TimesNewRomanPSMT" w:hAnsi="TimesNewRomanPSMT" w:cs="TimesNewRomanPSMT"/>
          <w:szCs w:val="22"/>
        </w:rPr>
        <w:t>some</w:t>
      </w:r>
      <w:r w:rsidRPr="0049656F">
        <w:rPr>
          <w:rFonts w:ascii="TimesNewRomanPSMT" w:hAnsi="TimesNewRomanPSMT" w:cs="TimesNewRomanPSMT"/>
          <w:szCs w:val="22"/>
        </w:rPr>
        <w:t xml:space="preserve"> countries (&lt;0.1 ng ITEQ Nm</w:t>
      </w:r>
      <w:r w:rsidRPr="0049656F">
        <w:rPr>
          <w:rFonts w:ascii="TimesNewRomanPSMT" w:hAnsi="TimesNewRomanPSMT" w:cs="TimesNewRomanPSMT"/>
          <w:szCs w:val="22"/>
          <w:vertAlign w:val="superscript"/>
        </w:rPr>
        <w:t>3</w:t>
      </w:r>
      <w:r w:rsidRPr="0049656F">
        <w:rPr>
          <w:rFonts w:ascii="TimesNewRomanPSMT" w:hAnsi="TimesNewRomanPSMT" w:cs="TimesNewRomanPSMT"/>
          <w:szCs w:val="22"/>
        </w:rPr>
        <w:t xml:space="preserve">) </w:t>
      </w:r>
      <w:r w:rsidR="00065FC7">
        <w:rPr>
          <w:rFonts w:ascii="TimesNewRomanPSMT" w:hAnsi="TimesNewRomanPSMT" w:cs="TimesNewRomanPSMT"/>
          <w:szCs w:val="22"/>
        </w:rPr>
        <w:t>and</w:t>
      </w:r>
      <w:r w:rsidRPr="0049656F">
        <w:rPr>
          <w:rFonts w:ascii="TimesNewRomanPSMT" w:hAnsi="TimesNewRomanPSMT" w:cs="TimesNewRomanPSMT"/>
          <w:szCs w:val="22"/>
        </w:rPr>
        <w:t xml:space="preserve"> </w:t>
      </w:r>
      <w:r w:rsidR="00065FC7">
        <w:rPr>
          <w:rFonts w:ascii="TimesNewRomanPSMT" w:hAnsi="TimesNewRomanPSMT" w:cs="TimesNewRomanPSMT"/>
          <w:szCs w:val="22"/>
        </w:rPr>
        <w:t>less stringent</w:t>
      </w:r>
      <w:r w:rsidRPr="0049656F">
        <w:rPr>
          <w:rFonts w:ascii="TimesNewRomanPSMT" w:hAnsi="TimesNewRomanPSMT" w:cs="TimesNewRomanPSMT"/>
          <w:szCs w:val="22"/>
        </w:rPr>
        <w:t xml:space="preserve"> </w:t>
      </w:r>
      <w:r w:rsidR="00065FC7">
        <w:rPr>
          <w:rFonts w:ascii="TimesNewRomanPSMT" w:hAnsi="TimesNewRomanPSMT" w:cs="TimesNewRomanPSMT"/>
          <w:szCs w:val="22"/>
        </w:rPr>
        <w:t xml:space="preserve">requirements in other </w:t>
      </w:r>
      <w:r w:rsidRPr="0049656F">
        <w:rPr>
          <w:rFonts w:ascii="TimesNewRomanPSMT" w:hAnsi="TimesNewRomanPSMT" w:cs="TimesNewRomanPSMT"/>
          <w:szCs w:val="22"/>
        </w:rPr>
        <w:t>countries</w:t>
      </w:r>
      <w:r w:rsidR="0049656F">
        <w:rPr>
          <w:rFonts w:ascii="TimesNewRomanPSMT" w:hAnsi="TimesNewRomanPSMT" w:cs="TimesNewRomanPSMT"/>
          <w:szCs w:val="22"/>
        </w:rPr>
        <w:t xml:space="preserve"> at that time</w:t>
      </w:r>
      <w:r w:rsidRPr="0049656F">
        <w:rPr>
          <w:rFonts w:ascii="TimesNewRomanPSMT" w:hAnsi="TimesNewRomanPSMT" w:cs="TimesNewRomanPSMT"/>
          <w:szCs w:val="22"/>
        </w:rPr>
        <w:t xml:space="preserve">. </w:t>
      </w:r>
      <w:r w:rsidR="0049656F">
        <w:rPr>
          <w:rFonts w:ascii="TimesNewRomanPSMT" w:hAnsi="TimesNewRomanPSMT" w:cs="TimesNewRomanPSMT"/>
          <w:szCs w:val="22"/>
        </w:rPr>
        <w:t xml:space="preserve">In response to decision XXII/10, </w:t>
      </w:r>
      <w:r w:rsidR="00065FC7" w:rsidRPr="0049656F">
        <w:rPr>
          <w:szCs w:val="22"/>
          <w:lang w:val="en-US"/>
        </w:rPr>
        <w:t>the</w:t>
      </w:r>
      <w:r w:rsidR="00065FC7" w:rsidRPr="0049656F">
        <w:rPr>
          <w:szCs w:val="22"/>
        </w:rPr>
        <w:t xml:space="preserve"> </w:t>
      </w:r>
      <w:r w:rsidR="003807C3">
        <w:rPr>
          <w:szCs w:val="22"/>
        </w:rPr>
        <w:t xml:space="preserve">2011 </w:t>
      </w:r>
      <w:r w:rsidR="00065FC7">
        <w:rPr>
          <w:szCs w:val="22"/>
        </w:rPr>
        <w:t>TEAP Task F</w:t>
      </w:r>
      <w:r w:rsidR="00065FC7" w:rsidRPr="0049656F">
        <w:rPr>
          <w:szCs w:val="22"/>
        </w:rPr>
        <w:t>orce</w:t>
      </w:r>
      <w:r w:rsidR="00065FC7">
        <w:rPr>
          <w:szCs w:val="22"/>
        </w:rPr>
        <w:t xml:space="preserve"> (2011 TFDT)</w:t>
      </w:r>
      <w:r w:rsidR="00065FC7">
        <w:rPr>
          <w:rStyle w:val="FootnoteReference"/>
          <w:szCs w:val="22"/>
        </w:rPr>
        <w:footnoteReference w:id="14"/>
      </w:r>
      <w:r w:rsidR="00065FC7" w:rsidRPr="0049656F">
        <w:rPr>
          <w:szCs w:val="22"/>
        </w:rPr>
        <w:t xml:space="preserve"> </w:t>
      </w:r>
      <w:r w:rsidR="00065FC7">
        <w:rPr>
          <w:szCs w:val="22"/>
        </w:rPr>
        <w:t xml:space="preserve">reviewed </w:t>
      </w:r>
      <w:r w:rsidR="0049656F">
        <w:rPr>
          <w:rFonts w:ascii="TimesNewRomanPSMT" w:hAnsi="TimesNewRomanPSMT" w:cs="TimesNewRomanPSMT"/>
          <w:szCs w:val="22"/>
        </w:rPr>
        <w:t>t</w:t>
      </w:r>
      <w:r w:rsidR="00602DDD" w:rsidRPr="0049656F">
        <w:rPr>
          <w:szCs w:val="22"/>
          <w:lang w:val="en-US"/>
        </w:rPr>
        <w:t>h</w:t>
      </w:r>
      <w:r w:rsidRPr="0049656F">
        <w:rPr>
          <w:szCs w:val="22"/>
          <w:lang w:val="en-US"/>
        </w:rPr>
        <w:t>is performance criterion</w:t>
      </w:r>
      <w:r w:rsidRPr="0049656F">
        <w:rPr>
          <w:szCs w:val="22"/>
        </w:rPr>
        <w:t xml:space="preserve"> </w:t>
      </w:r>
      <w:r w:rsidR="00065FC7">
        <w:rPr>
          <w:szCs w:val="22"/>
        </w:rPr>
        <w:t xml:space="preserve">and </w:t>
      </w:r>
      <w:r w:rsidRPr="0049656F">
        <w:rPr>
          <w:szCs w:val="22"/>
        </w:rPr>
        <w:t xml:space="preserve">concluded that </w:t>
      </w:r>
      <w:r w:rsidRPr="0049656F">
        <w:rPr>
          <w:szCs w:val="22"/>
          <w:lang w:val="en-US"/>
        </w:rPr>
        <w:t>a limit of 0.1 ng ITEQ Nm</w:t>
      </w:r>
      <w:r w:rsidRPr="00065FC7">
        <w:rPr>
          <w:szCs w:val="22"/>
          <w:vertAlign w:val="superscript"/>
          <w:lang w:val="en-US"/>
        </w:rPr>
        <w:t>3</w:t>
      </w:r>
      <w:r w:rsidRPr="0049656F">
        <w:rPr>
          <w:szCs w:val="22"/>
          <w:lang w:val="en-US"/>
        </w:rPr>
        <w:t xml:space="preserve"> would be closer to the </w:t>
      </w:r>
      <w:r w:rsidR="00065FC7">
        <w:rPr>
          <w:szCs w:val="22"/>
          <w:lang w:val="en-US"/>
        </w:rPr>
        <w:t xml:space="preserve">global </w:t>
      </w:r>
      <w:r w:rsidRPr="0049656F">
        <w:rPr>
          <w:szCs w:val="22"/>
          <w:lang w:val="en-US"/>
        </w:rPr>
        <w:t>industry norm</w:t>
      </w:r>
      <w:r w:rsidR="00065FC7">
        <w:rPr>
          <w:szCs w:val="22"/>
          <w:lang w:val="en-US"/>
        </w:rPr>
        <w:t>. However, the 2011 TFDT</w:t>
      </w:r>
      <w:r w:rsidRPr="0049656F">
        <w:rPr>
          <w:szCs w:val="22"/>
          <w:lang w:val="en-US"/>
        </w:rPr>
        <w:t xml:space="preserve"> </w:t>
      </w:r>
      <w:r w:rsidR="00065FC7">
        <w:rPr>
          <w:szCs w:val="22"/>
          <w:lang w:val="en-US"/>
        </w:rPr>
        <w:t xml:space="preserve">also </w:t>
      </w:r>
      <w:r w:rsidRPr="0049656F">
        <w:rPr>
          <w:szCs w:val="22"/>
          <w:lang w:val="en-US"/>
        </w:rPr>
        <w:t xml:space="preserve">noted that there may be some existing </w:t>
      </w:r>
      <w:r w:rsidR="00065FC7">
        <w:rPr>
          <w:szCs w:val="22"/>
          <w:lang w:val="en-US"/>
        </w:rPr>
        <w:t>approved destruction</w:t>
      </w:r>
      <w:r w:rsidRPr="0049656F">
        <w:rPr>
          <w:szCs w:val="22"/>
          <w:lang w:val="en-US"/>
        </w:rPr>
        <w:t xml:space="preserve"> technologies that might not satisfy this criterion</w:t>
      </w:r>
      <w:r w:rsidR="00065FC7">
        <w:rPr>
          <w:szCs w:val="22"/>
          <w:lang w:val="en-US"/>
        </w:rPr>
        <w:t>, and that a review might be required</w:t>
      </w:r>
      <w:r w:rsidRPr="0049656F">
        <w:rPr>
          <w:szCs w:val="22"/>
          <w:lang w:val="en-US"/>
        </w:rPr>
        <w:t>.</w:t>
      </w:r>
      <w:r w:rsidR="00016331" w:rsidRPr="0049656F">
        <w:rPr>
          <w:szCs w:val="22"/>
          <w:lang w:val="en-US"/>
        </w:rPr>
        <w:t xml:space="preserve"> The </w:t>
      </w:r>
      <w:r w:rsidR="00065FC7">
        <w:rPr>
          <w:szCs w:val="22"/>
          <w:lang w:val="en-US"/>
        </w:rPr>
        <w:t>2011 TFDT</w:t>
      </w:r>
      <w:r w:rsidR="00016331" w:rsidRPr="0049656F">
        <w:rPr>
          <w:szCs w:val="22"/>
          <w:lang w:val="en-US"/>
        </w:rPr>
        <w:t xml:space="preserve"> concluded that </w:t>
      </w:r>
      <w:r w:rsidR="00B95895" w:rsidRPr="0049656F">
        <w:rPr>
          <w:szCs w:val="22"/>
          <w:lang w:val="en-US"/>
        </w:rPr>
        <w:t xml:space="preserve">parties may wish to consider </w:t>
      </w:r>
      <w:r w:rsidR="00016331" w:rsidRPr="0049656F">
        <w:rPr>
          <w:szCs w:val="22"/>
          <w:lang w:val="en-US"/>
        </w:rPr>
        <w:t xml:space="preserve">consultation on a revision to </w:t>
      </w:r>
      <w:r w:rsidR="006A02A3" w:rsidRPr="0049656F">
        <w:rPr>
          <w:szCs w:val="22"/>
          <w:lang w:val="en-US"/>
        </w:rPr>
        <w:t>the dioxins</w:t>
      </w:r>
      <w:r w:rsidR="00823AC8">
        <w:rPr>
          <w:szCs w:val="22"/>
          <w:lang w:val="en-US"/>
        </w:rPr>
        <w:t>/</w:t>
      </w:r>
      <w:r w:rsidR="006A02A3" w:rsidRPr="0049656F">
        <w:rPr>
          <w:szCs w:val="22"/>
          <w:lang w:val="en-US"/>
        </w:rPr>
        <w:t>furans criterion.</w:t>
      </w:r>
      <w:r w:rsidR="00065FC7">
        <w:rPr>
          <w:szCs w:val="22"/>
          <w:lang w:val="en-US"/>
        </w:rPr>
        <w:t xml:space="preserve"> No decision was taken by parties in relation to such a revision.</w:t>
      </w:r>
      <w:r w:rsidR="00C464E4" w:rsidRPr="00C464E4">
        <w:rPr>
          <w:color w:val="auto"/>
          <w:lang w:val="en-US"/>
        </w:rPr>
        <w:t xml:space="preserve"> The Basel Convention </w:t>
      </w:r>
      <w:r w:rsidR="00423030">
        <w:rPr>
          <w:color w:val="auto"/>
          <w:lang w:val="en-US"/>
        </w:rPr>
        <w:t xml:space="preserve">in its guidance applicable to Persistent Organic Pollutants (POPs) under the Stockholm Convention </w:t>
      </w:r>
      <w:r w:rsidR="003001B1">
        <w:rPr>
          <w:color w:val="auto"/>
          <w:lang w:val="en-US"/>
        </w:rPr>
        <w:t xml:space="preserve">also </w:t>
      </w:r>
      <w:r w:rsidR="00C464E4" w:rsidRPr="00C464E4">
        <w:rPr>
          <w:color w:val="auto"/>
          <w:lang w:val="en-US"/>
        </w:rPr>
        <w:t xml:space="preserve">requires an emission limit of </w:t>
      </w:r>
      <w:bookmarkStart w:id="25" w:name="_Hlk505438712"/>
      <w:r w:rsidR="00C464E4" w:rsidRPr="00C464E4">
        <w:rPr>
          <w:color w:val="auto"/>
          <w:lang w:val="en-US"/>
        </w:rPr>
        <w:t>0.1 ng TEQ/Nm</w:t>
      </w:r>
      <w:r w:rsidR="00C464E4" w:rsidRPr="00C464E4">
        <w:rPr>
          <w:color w:val="auto"/>
          <w:vertAlign w:val="superscript"/>
          <w:lang w:val="en-US"/>
        </w:rPr>
        <w:t>3</w:t>
      </w:r>
      <w:r w:rsidR="00C464E4" w:rsidRPr="00C464E4">
        <w:rPr>
          <w:color w:val="auto"/>
          <w:lang w:val="en-US"/>
        </w:rPr>
        <w:t xml:space="preserve"> </w:t>
      </w:r>
      <w:bookmarkEnd w:id="25"/>
      <w:r w:rsidR="00C464E4" w:rsidRPr="00C464E4">
        <w:rPr>
          <w:color w:val="auto"/>
          <w:lang w:val="en-US"/>
        </w:rPr>
        <w:t xml:space="preserve">for </w:t>
      </w:r>
      <w:r w:rsidR="00974994">
        <w:rPr>
          <w:color w:val="auto"/>
          <w:lang w:val="en-US"/>
        </w:rPr>
        <w:t>chlorinated dioxins/furans</w:t>
      </w:r>
      <w:r w:rsidR="00C464E4" w:rsidRPr="00C464E4">
        <w:rPr>
          <w:color w:val="auto"/>
          <w:lang w:val="en-US"/>
        </w:rPr>
        <w:t xml:space="preserve"> for atmospheric emissions.</w:t>
      </w:r>
    </w:p>
    <w:p w14:paraId="4B6DF1FA" w14:textId="3883E61B" w:rsidR="006A02A3" w:rsidRPr="00DA13B4" w:rsidRDefault="00B95895" w:rsidP="006A02A3">
      <w:pPr>
        <w:autoSpaceDE w:val="0"/>
        <w:autoSpaceDN w:val="0"/>
        <w:adjustRightInd w:val="0"/>
        <w:rPr>
          <w:color w:val="auto"/>
        </w:rPr>
      </w:pPr>
      <w:r w:rsidRPr="00DA13B4">
        <w:rPr>
          <w:color w:val="auto"/>
          <w:lang w:val="en-US"/>
        </w:rPr>
        <w:t>The TEQ scheme</w:t>
      </w:r>
      <w:r w:rsidR="001032C4" w:rsidRPr="00DA13B4">
        <w:rPr>
          <w:color w:val="auto"/>
          <w:lang w:val="en-US"/>
        </w:rPr>
        <w:t xml:space="preserve"> updated </w:t>
      </w:r>
      <w:r w:rsidRPr="00DA13B4">
        <w:rPr>
          <w:color w:val="auto"/>
          <w:lang w:val="en-US"/>
        </w:rPr>
        <w:t>by the WHO</w:t>
      </w:r>
      <w:r w:rsidRPr="00DA13B4">
        <w:rPr>
          <w:color w:val="auto"/>
        </w:rPr>
        <w:t xml:space="preserve"> </w:t>
      </w:r>
      <w:r w:rsidR="006A02A3" w:rsidRPr="00DA13B4">
        <w:rPr>
          <w:color w:val="auto"/>
        </w:rPr>
        <w:t xml:space="preserve">for </w:t>
      </w:r>
      <w:r w:rsidR="001032C4" w:rsidRPr="00DA13B4">
        <w:rPr>
          <w:color w:val="auto"/>
        </w:rPr>
        <w:t xml:space="preserve">dioxins and dioxin-like substances (including </w:t>
      </w:r>
      <w:r w:rsidR="006A02A3" w:rsidRPr="00DA13B4">
        <w:rPr>
          <w:color w:val="auto"/>
        </w:rPr>
        <w:t xml:space="preserve">chlorinated </w:t>
      </w:r>
      <w:r w:rsidR="006A02A3" w:rsidRPr="00DA13B4">
        <w:rPr>
          <w:color w:val="auto"/>
          <w:lang w:val="en-US"/>
        </w:rPr>
        <w:t>dioxins/furans</w:t>
      </w:r>
      <w:r w:rsidR="0050225C" w:rsidRPr="00DA13B4">
        <w:rPr>
          <w:color w:val="auto"/>
          <w:lang w:val="en-US"/>
        </w:rPr>
        <w:t>)</w:t>
      </w:r>
      <w:r w:rsidRPr="00DA13B4">
        <w:rPr>
          <w:color w:val="auto"/>
          <w:lang w:val="en-US"/>
        </w:rPr>
        <w:t xml:space="preserve"> is </w:t>
      </w:r>
      <w:r w:rsidR="001032C4" w:rsidRPr="00DA13B4">
        <w:rPr>
          <w:color w:val="auto"/>
          <w:lang w:val="en-US"/>
        </w:rPr>
        <w:t xml:space="preserve">generally </w:t>
      </w:r>
      <w:r w:rsidRPr="00DA13B4">
        <w:rPr>
          <w:color w:val="auto"/>
          <w:lang w:val="en-US"/>
        </w:rPr>
        <w:t>accepted</w:t>
      </w:r>
      <w:r w:rsidR="006A02A3" w:rsidRPr="00DA13B4">
        <w:rPr>
          <w:color w:val="auto"/>
          <w:lang w:val="en-US"/>
        </w:rPr>
        <w:t xml:space="preserve"> </w:t>
      </w:r>
      <w:r w:rsidR="00134278" w:rsidRPr="00DA13B4">
        <w:rPr>
          <w:color w:val="auto"/>
          <w:lang w:val="en-US"/>
        </w:rPr>
        <w:t xml:space="preserve">with an international </w:t>
      </w:r>
      <w:r w:rsidR="006A02A3" w:rsidRPr="00DA13B4">
        <w:rPr>
          <w:color w:val="auto"/>
          <w:lang w:val="en-US"/>
        </w:rPr>
        <w:t xml:space="preserve">emission </w:t>
      </w:r>
      <w:r w:rsidR="00134278" w:rsidRPr="00DA13B4">
        <w:rPr>
          <w:color w:val="auto"/>
          <w:lang w:val="en-US"/>
        </w:rPr>
        <w:t>limit of</w:t>
      </w:r>
      <w:r w:rsidR="006A02A3" w:rsidRPr="00DA13B4">
        <w:rPr>
          <w:color w:val="auto"/>
          <w:lang w:val="en-US"/>
        </w:rPr>
        <w:t xml:space="preserve"> 0.1 ng </w:t>
      </w:r>
      <w:bookmarkStart w:id="26" w:name="_Hlk505439203"/>
      <w:r w:rsidR="006A02A3" w:rsidRPr="00E61BC5">
        <w:rPr>
          <w:color w:val="auto"/>
          <w:lang w:val="en-US"/>
        </w:rPr>
        <w:t>TEQ/Nm</w:t>
      </w:r>
      <w:r w:rsidR="006A02A3" w:rsidRPr="00E61BC5">
        <w:rPr>
          <w:color w:val="auto"/>
          <w:vertAlign w:val="superscript"/>
          <w:lang w:val="en-US"/>
        </w:rPr>
        <w:t>3</w:t>
      </w:r>
      <w:bookmarkEnd w:id="26"/>
      <w:r w:rsidR="006A02A3" w:rsidRPr="00DA13B4">
        <w:rPr>
          <w:color w:val="auto"/>
          <w:lang w:val="en-US"/>
        </w:rPr>
        <w:t xml:space="preserve">. </w:t>
      </w:r>
      <w:r w:rsidR="00B40182">
        <w:rPr>
          <w:color w:val="auto"/>
          <w:lang w:val="en-US"/>
        </w:rPr>
        <w:t>However, t</w:t>
      </w:r>
      <w:r w:rsidR="00690431" w:rsidRPr="00DA13B4">
        <w:rPr>
          <w:color w:val="auto"/>
          <w:lang w:val="en-US"/>
        </w:rPr>
        <w:t xml:space="preserve">he </w:t>
      </w:r>
      <w:r w:rsidR="0000664E">
        <w:rPr>
          <w:color w:val="auto"/>
          <w:lang w:val="en-US"/>
        </w:rPr>
        <w:t xml:space="preserve">performance </w:t>
      </w:r>
      <w:r w:rsidR="00690431" w:rsidRPr="00DA13B4">
        <w:rPr>
          <w:color w:val="auto"/>
          <w:lang w:val="en-US"/>
        </w:rPr>
        <w:t xml:space="preserve">criterion for </w:t>
      </w:r>
      <w:r w:rsidR="0000664E">
        <w:rPr>
          <w:color w:val="auto"/>
          <w:lang w:val="en-US"/>
        </w:rPr>
        <w:t xml:space="preserve">recommending </w:t>
      </w:r>
      <w:r w:rsidR="00DA13B4">
        <w:rPr>
          <w:color w:val="auto"/>
          <w:lang w:val="en-US"/>
        </w:rPr>
        <w:t>destruction technologies</w:t>
      </w:r>
      <w:r w:rsidR="00690431" w:rsidRPr="00DA13B4">
        <w:rPr>
          <w:color w:val="auto"/>
          <w:lang w:val="en-US"/>
        </w:rPr>
        <w:t xml:space="preserve"> </w:t>
      </w:r>
      <w:r w:rsidR="0000664E">
        <w:rPr>
          <w:color w:val="auto"/>
          <w:lang w:val="en-US"/>
        </w:rPr>
        <w:t xml:space="preserve">for approval by parties </w:t>
      </w:r>
      <w:r w:rsidR="00690431" w:rsidRPr="00DA13B4">
        <w:rPr>
          <w:color w:val="auto"/>
          <w:lang w:val="en-US"/>
        </w:rPr>
        <w:t xml:space="preserve">under the Montreal Protocol is </w:t>
      </w:r>
      <w:r w:rsidR="00B40182" w:rsidRPr="00A549E8">
        <w:rPr>
          <w:color w:val="000000" w:themeColor="text1"/>
          <w:lang w:val="en-US"/>
        </w:rPr>
        <w:t>&lt;</w:t>
      </w:r>
      <w:r w:rsidR="00690431" w:rsidRPr="00DA13B4">
        <w:rPr>
          <w:color w:val="auto"/>
          <w:lang w:val="en-US"/>
        </w:rPr>
        <w:t xml:space="preserve">0.2 ng </w:t>
      </w:r>
      <w:r w:rsidR="0050225C" w:rsidRPr="00DA13B4">
        <w:rPr>
          <w:color w:val="auto"/>
          <w:lang w:val="en-US"/>
        </w:rPr>
        <w:t>I</w:t>
      </w:r>
      <w:r w:rsidR="00690431" w:rsidRPr="00DA13B4">
        <w:rPr>
          <w:color w:val="auto"/>
          <w:lang w:val="en-US"/>
        </w:rPr>
        <w:t>TEQ/Nm</w:t>
      </w:r>
      <w:r w:rsidR="00690431" w:rsidRPr="00DA13B4">
        <w:rPr>
          <w:color w:val="auto"/>
          <w:vertAlign w:val="superscript"/>
          <w:lang w:val="en-US"/>
        </w:rPr>
        <w:t>3</w:t>
      </w:r>
      <w:r w:rsidR="00690431" w:rsidRPr="00DA13B4">
        <w:rPr>
          <w:color w:val="auto"/>
          <w:lang w:val="en-US"/>
        </w:rPr>
        <w:t>.</w:t>
      </w:r>
      <w:r w:rsidRPr="00DA13B4">
        <w:rPr>
          <w:color w:val="auto"/>
          <w:lang w:val="en-US"/>
        </w:rPr>
        <w:t xml:space="preserve"> </w:t>
      </w:r>
      <w:r w:rsidR="00B40182">
        <w:rPr>
          <w:lang w:val="en-US"/>
        </w:rPr>
        <w:t xml:space="preserve">As in previous reviews, the 2018 TFDT has continued to use the </w:t>
      </w:r>
      <w:r w:rsidR="00B40182" w:rsidRPr="0049656F">
        <w:rPr>
          <w:szCs w:val="22"/>
          <w:lang w:val="en-US"/>
        </w:rPr>
        <w:t xml:space="preserve">performance criterion for </w:t>
      </w:r>
      <w:r w:rsidR="000871BA">
        <w:rPr>
          <w:szCs w:val="22"/>
          <w:lang w:val="en-US"/>
        </w:rPr>
        <w:t xml:space="preserve">chlorinated </w:t>
      </w:r>
      <w:r w:rsidR="00B40182" w:rsidRPr="0049656F">
        <w:rPr>
          <w:szCs w:val="22"/>
          <w:lang w:val="en-US"/>
        </w:rPr>
        <w:t>dioxins</w:t>
      </w:r>
      <w:r w:rsidR="00823AC8">
        <w:rPr>
          <w:szCs w:val="22"/>
          <w:lang w:val="en-US"/>
        </w:rPr>
        <w:t>/</w:t>
      </w:r>
      <w:r w:rsidR="00B40182" w:rsidRPr="0049656F">
        <w:rPr>
          <w:szCs w:val="22"/>
          <w:lang w:val="en-US"/>
        </w:rPr>
        <w:t>furans (PCDDs/PCDFs) of 0.2 ng ITEQ Nm</w:t>
      </w:r>
      <w:r w:rsidR="00B40182" w:rsidRPr="0049656F">
        <w:rPr>
          <w:szCs w:val="22"/>
          <w:vertAlign w:val="superscript"/>
          <w:lang w:val="en-US"/>
        </w:rPr>
        <w:t>3</w:t>
      </w:r>
      <w:r w:rsidR="00B40182">
        <w:rPr>
          <w:szCs w:val="22"/>
          <w:lang w:val="en-US"/>
        </w:rPr>
        <w:t xml:space="preserve"> for concentrated sources and 0.5 ng ITEQ Nm</w:t>
      </w:r>
      <w:r w:rsidR="00B40182" w:rsidRPr="009375EE">
        <w:rPr>
          <w:szCs w:val="22"/>
          <w:vertAlign w:val="superscript"/>
          <w:lang w:val="en-US"/>
        </w:rPr>
        <w:t>3</w:t>
      </w:r>
      <w:r w:rsidR="00B40182">
        <w:rPr>
          <w:szCs w:val="22"/>
          <w:lang w:val="en-US"/>
        </w:rPr>
        <w:t xml:space="preserve"> for diluted sources as </w:t>
      </w:r>
      <w:r w:rsidR="00B40182" w:rsidRPr="0049656F">
        <w:rPr>
          <w:szCs w:val="22"/>
          <w:lang w:val="en-US"/>
        </w:rPr>
        <w:t>defined by the 2002 TFDT</w:t>
      </w:r>
      <w:r w:rsidR="00B40182">
        <w:rPr>
          <w:szCs w:val="22"/>
          <w:lang w:val="en-US"/>
        </w:rPr>
        <w:t xml:space="preserve">, for this assessment. </w:t>
      </w:r>
      <w:r w:rsidR="00B40182" w:rsidRPr="00DA13B4">
        <w:rPr>
          <w:lang w:val="en-US"/>
        </w:rPr>
        <w:t xml:space="preserve">Parties may wish to </w:t>
      </w:r>
      <w:r w:rsidR="00B40182">
        <w:rPr>
          <w:lang w:val="en-US"/>
        </w:rPr>
        <w:t>consider a review of</w:t>
      </w:r>
      <w:r w:rsidR="00B40182" w:rsidRPr="00DA13B4">
        <w:rPr>
          <w:lang w:val="en-US"/>
        </w:rPr>
        <w:t xml:space="preserve"> </w:t>
      </w:r>
      <w:r w:rsidR="00B40182">
        <w:rPr>
          <w:lang w:val="en-US"/>
        </w:rPr>
        <w:t>this</w:t>
      </w:r>
      <w:r w:rsidR="00B40182" w:rsidRPr="00DA13B4">
        <w:rPr>
          <w:lang w:val="en-US"/>
        </w:rPr>
        <w:t xml:space="preserve"> performance criterion</w:t>
      </w:r>
      <w:r w:rsidR="00B40182">
        <w:rPr>
          <w:lang w:val="en-US"/>
        </w:rPr>
        <w:t xml:space="preserve"> to make it consistent with the lower WHO TEQ level</w:t>
      </w:r>
      <w:r w:rsidR="009D3FCA">
        <w:rPr>
          <w:szCs w:val="22"/>
          <w:lang w:val="en-US"/>
        </w:rPr>
        <w:t>.</w:t>
      </w:r>
      <w:r w:rsidR="00B40182">
        <w:rPr>
          <w:rStyle w:val="FootnoteReference"/>
          <w:szCs w:val="22"/>
          <w:lang w:val="en-US"/>
        </w:rPr>
        <w:footnoteReference w:id="15"/>
      </w:r>
    </w:p>
    <w:p w14:paraId="31EC35F8" w14:textId="1849841C" w:rsidR="000523FA" w:rsidRDefault="000523FA" w:rsidP="00275CBE">
      <w:pPr>
        <w:pStyle w:val="Heading3"/>
      </w:pPr>
      <w:bookmarkStart w:id="27" w:name="_Toc510531448"/>
      <w:r>
        <w:lastRenderedPageBreak/>
        <w:t>2.1.</w:t>
      </w:r>
      <w:r w:rsidR="00BD4591">
        <w:t>2</w:t>
      </w:r>
      <w:r>
        <w:tab/>
        <w:t xml:space="preserve">Brominated </w:t>
      </w:r>
      <w:r w:rsidR="008F070E">
        <w:t xml:space="preserve">and mixed </w:t>
      </w:r>
      <w:r w:rsidR="00BC0062">
        <w:t xml:space="preserve">halogenated </w:t>
      </w:r>
      <w:r>
        <w:t>dioxins and furans</w:t>
      </w:r>
      <w:bookmarkEnd w:id="27"/>
    </w:p>
    <w:p w14:paraId="4DEEF35E" w14:textId="7CBB431C" w:rsidR="008F070E" w:rsidRDefault="00EE5277" w:rsidP="00EE5277">
      <w:pPr>
        <w:autoSpaceDE w:val="0"/>
        <w:autoSpaceDN w:val="0"/>
        <w:adjustRightInd w:val="0"/>
      </w:pPr>
      <w:r w:rsidRPr="00F15DB8">
        <w:t xml:space="preserve">The </w:t>
      </w:r>
      <w:r w:rsidR="00DA13B4">
        <w:t>2011 TFDT</w:t>
      </w:r>
      <w:r w:rsidRPr="00F15DB8">
        <w:t xml:space="preserve"> also considered methyl bromide destruction and the potential formation of poly</w:t>
      </w:r>
      <w:r w:rsidR="009D3FCA">
        <w:t>-</w:t>
      </w:r>
      <w:r w:rsidRPr="00F15DB8">
        <w:t xml:space="preserve">brominated </w:t>
      </w:r>
      <w:proofErr w:type="spellStart"/>
      <w:r w:rsidRPr="00F15DB8">
        <w:t>dibenzo</w:t>
      </w:r>
      <w:proofErr w:type="spellEnd"/>
      <w:r w:rsidRPr="00F15DB8">
        <w:t>-</w:t>
      </w:r>
      <w:r w:rsidRPr="00F15DB8">
        <w:rPr>
          <w:i/>
          <w:iCs/>
        </w:rPr>
        <w:t>p</w:t>
      </w:r>
      <w:r w:rsidRPr="00F15DB8">
        <w:t>-dioxins and poly</w:t>
      </w:r>
      <w:r w:rsidR="009D3FCA">
        <w:t>-</w:t>
      </w:r>
      <w:r w:rsidRPr="00F15DB8">
        <w:t xml:space="preserve">brominated </w:t>
      </w:r>
      <w:proofErr w:type="spellStart"/>
      <w:r w:rsidRPr="00F15DB8">
        <w:t>di</w:t>
      </w:r>
      <w:r w:rsidR="009D3FCA">
        <w:t>benzofurans</w:t>
      </w:r>
      <w:proofErr w:type="spellEnd"/>
      <w:r w:rsidR="009D3FCA">
        <w:t xml:space="preserve"> (PBDD/PBDF</w:t>
      </w:r>
      <w:r w:rsidR="00974994">
        <w:t>, or brominated dioxins</w:t>
      </w:r>
      <w:r w:rsidR="00823AC8">
        <w:t>/</w:t>
      </w:r>
      <w:r w:rsidR="00974994">
        <w:t>furans</w:t>
      </w:r>
      <w:r w:rsidR="009D3FCA">
        <w:t>). The 2011 TFDT</w:t>
      </w:r>
      <w:r w:rsidRPr="00F15DB8">
        <w:t xml:space="preserve"> noted that</w:t>
      </w:r>
      <w:r w:rsidR="009D3FCA">
        <w:t>,</w:t>
      </w:r>
      <w:r w:rsidRPr="00F15DB8">
        <w:t xml:space="preserve"> in 1998, an expert group </w:t>
      </w:r>
      <w:r w:rsidR="009D3FCA">
        <w:t xml:space="preserve">had </w:t>
      </w:r>
      <w:r w:rsidRPr="00F15DB8">
        <w:t xml:space="preserve">recommended the adoption of the same limits </w:t>
      </w:r>
      <w:r w:rsidR="009D3FCA">
        <w:t xml:space="preserve">for </w:t>
      </w:r>
      <w:r w:rsidR="00974994">
        <w:t>brominated dioxins</w:t>
      </w:r>
      <w:r w:rsidR="00823AC8">
        <w:t>/</w:t>
      </w:r>
      <w:r w:rsidR="00974994">
        <w:t>furans</w:t>
      </w:r>
      <w:r w:rsidR="009D3FCA">
        <w:t xml:space="preserve"> as for </w:t>
      </w:r>
      <w:r w:rsidR="00974994">
        <w:t>chlorinated dioxins</w:t>
      </w:r>
      <w:r w:rsidR="00823AC8">
        <w:t>/</w:t>
      </w:r>
      <w:r w:rsidR="00974994">
        <w:t>furans</w:t>
      </w:r>
      <w:r w:rsidRPr="00F15DB8">
        <w:t xml:space="preserve">. </w:t>
      </w:r>
    </w:p>
    <w:p w14:paraId="1FFA5AFD" w14:textId="5B33203D" w:rsidR="00BC0062" w:rsidRDefault="00EE5277" w:rsidP="00EE5277">
      <w:pPr>
        <w:autoSpaceDE w:val="0"/>
        <w:autoSpaceDN w:val="0"/>
        <w:adjustRightInd w:val="0"/>
      </w:pPr>
      <w:r w:rsidRPr="00F15DB8">
        <w:t>In addition</w:t>
      </w:r>
      <w:r>
        <w:t>,</w:t>
      </w:r>
      <w:r w:rsidRPr="00F15DB8">
        <w:t xml:space="preserve"> </w:t>
      </w:r>
      <w:r w:rsidR="009D3FCA" w:rsidRPr="00F15DB8">
        <w:t xml:space="preserve">in 2010 </w:t>
      </w:r>
      <w:r w:rsidRPr="00F15DB8">
        <w:t>the UK Committee on Toxicity concluded that the available evidence suggests that mixed halogenated compounds (dioxins</w:t>
      </w:r>
      <w:r w:rsidR="00823AC8">
        <w:t>/</w:t>
      </w:r>
      <w:r w:rsidRPr="00F15DB8">
        <w:t>furans containing chlorine and bromine) are less toxic than the equivalent chlorinated compounds.</w:t>
      </w:r>
      <w:r>
        <w:rPr>
          <w:rStyle w:val="FootnoteReference"/>
        </w:rPr>
        <w:footnoteReference w:id="16"/>
      </w:r>
      <w:r w:rsidRPr="00F15DB8">
        <w:t xml:space="preserve"> </w:t>
      </w:r>
    </w:p>
    <w:p w14:paraId="7ACD9A53" w14:textId="5368B514" w:rsidR="001657A1" w:rsidRPr="00DE0456" w:rsidRDefault="001657A1" w:rsidP="001657A1">
      <w:pPr>
        <w:rPr>
          <w:lang w:val="en-US" w:eastAsia="en-US"/>
        </w:rPr>
      </w:pPr>
      <w:bookmarkStart w:id="28" w:name="_Hlk505438549"/>
      <w:r>
        <w:rPr>
          <w:shd w:val="clear" w:color="auto" w:fill="FFFFFF"/>
          <w:lang w:val="en-US" w:eastAsia="en-US"/>
        </w:rPr>
        <w:t xml:space="preserve">Analysis of brominated and mixed chlorinated/brominated </w:t>
      </w:r>
      <w:r w:rsidRPr="00DE0456">
        <w:rPr>
          <w:shd w:val="clear" w:color="auto" w:fill="FFFFFF"/>
          <w:lang w:val="en-US" w:eastAsia="en-US"/>
        </w:rPr>
        <w:t>dioxins/furan</w:t>
      </w:r>
      <w:r>
        <w:rPr>
          <w:shd w:val="clear" w:color="auto" w:fill="FFFFFF"/>
          <w:lang w:val="en-US" w:eastAsia="en-US"/>
        </w:rPr>
        <w:t>s</w:t>
      </w:r>
      <w:r w:rsidRPr="00DE0456">
        <w:rPr>
          <w:shd w:val="clear" w:color="auto" w:fill="FFFFFF"/>
          <w:lang w:val="en-US" w:eastAsia="en-US"/>
        </w:rPr>
        <w:t xml:space="preserve"> </w:t>
      </w:r>
      <w:r>
        <w:rPr>
          <w:shd w:val="clear" w:color="auto" w:fill="FFFFFF"/>
          <w:lang w:val="en-US" w:eastAsia="en-US"/>
        </w:rPr>
        <w:t>would be appropriate due diligence</w:t>
      </w:r>
      <w:r w:rsidRPr="00DE0456">
        <w:rPr>
          <w:shd w:val="clear" w:color="auto" w:fill="FFFFFF"/>
          <w:lang w:val="en-US" w:eastAsia="en-US"/>
        </w:rPr>
        <w:t xml:space="preserve"> </w:t>
      </w:r>
      <w:r>
        <w:rPr>
          <w:shd w:val="clear" w:color="auto" w:fill="FFFFFF"/>
          <w:lang w:val="en-US" w:eastAsia="en-US"/>
        </w:rPr>
        <w:t xml:space="preserve">under circumstances where they may be formed </w:t>
      </w:r>
      <w:r w:rsidRPr="00DE0456">
        <w:rPr>
          <w:shd w:val="clear" w:color="auto" w:fill="FFFFFF"/>
          <w:lang w:val="en-US" w:eastAsia="en-US"/>
        </w:rPr>
        <w:t xml:space="preserve">and may be mandatory under local requirements. </w:t>
      </w:r>
    </w:p>
    <w:p w14:paraId="018C3A55" w14:textId="61554623" w:rsidR="004704AD" w:rsidRDefault="004704AD" w:rsidP="00275CBE">
      <w:pPr>
        <w:pStyle w:val="Heading2"/>
      </w:pPr>
      <w:bookmarkStart w:id="29" w:name="_Toc510531449"/>
      <w:bookmarkEnd w:id="28"/>
      <w:r w:rsidRPr="006110B0">
        <w:t>2.2</w:t>
      </w:r>
      <w:r w:rsidRPr="006110B0">
        <w:tab/>
      </w:r>
      <w:r w:rsidR="00274783" w:rsidRPr="006110B0">
        <w:t>C</w:t>
      </w:r>
      <w:r w:rsidRPr="006110B0">
        <w:t xml:space="preserve">onsiderations for performance criteria </w:t>
      </w:r>
      <w:r w:rsidR="00774598" w:rsidRPr="006110B0">
        <w:t>relevant to</w:t>
      </w:r>
      <w:r w:rsidRPr="006110B0">
        <w:t xml:space="preserve"> approved destruction technologies </w:t>
      </w:r>
      <w:r w:rsidR="00245905" w:rsidRPr="006110B0">
        <w:t>for</w:t>
      </w:r>
      <w:r w:rsidR="001233FC" w:rsidRPr="006110B0">
        <w:t xml:space="preserve"> their applicability to</w:t>
      </w:r>
      <w:r w:rsidRPr="006110B0">
        <w:t xml:space="preserve"> HFC</w:t>
      </w:r>
      <w:r w:rsidR="00663EA9" w:rsidRPr="00BD5B4A">
        <w:t>s</w:t>
      </w:r>
      <w:bookmarkEnd w:id="29"/>
    </w:p>
    <w:p w14:paraId="6C6CFDBF" w14:textId="37BC48EE" w:rsidR="0082083A" w:rsidRDefault="0082083A" w:rsidP="0082083A">
      <w:pPr>
        <w:rPr>
          <w:color w:val="auto"/>
          <w:lang w:val="en-US" w:eastAsia="en-US"/>
        </w:rPr>
      </w:pPr>
      <w:r>
        <w:rPr>
          <w:color w:val="auto"/>
          <w:lang w:val="en-US" w:eastAsia="en-US"/>
        </w:rPr>
        <w:t>The following section outlines considerations for performance criteria relevant to the assessm</w:t>
      </w:r>
      <w:r w:rsidR="00245905">
        <w:rPr>
          <w:color w:val="auto"/>
          <w:lang w:val="en-US" w:eastAsia="en-US"/>
        </w:rPr>
        <w:t xml:space="preserve">ent of destruction technologies for their applicability to HFCs. </w:t>
      </w:r>
      <w:r>
        <w:rPr>
          <w:color w:val="auto"/>
          <w:lang w:val="en-US" w:eastAsia="en-US"/>
        </w:rPr>
        <w:t>Based on its technical assessment, the 2018 TFDT has concluded that n</w:t>
      </w:r>
      <w:r w:rsidRPr="0082083A">
        <w:rPr>
          <w:color w:val="auto"/>
          <w:lang w:val="en-US" w:eastAsia="en-US"/>
        </w:rPr>
        <w:t xml:space="preserve">o </w:t>
      </w:r>
      <w:r w:rsidRPr="0082083A">
        <w:rPr>
          <w:i/>
          <w:color w:val="auto"/>
          <w:lang w:val="en-US" w:eastAsia="en-US"/>
        </w:rPr>
        <w:t>additional</w:t>
      </w:r>
      <w:r w:rsidRPr="0082083A">
        <w:rPr>
          <w:color w:val="auto"/>
          <w:lang w:val="en-US" w:eastAsia="en-US"/>
        </w:rPr>
        <w:t xml:space="preserve"> performance criteria are necessary for </w:t>
      </w:r>
      <w:r>
        <w:rPr>
          <w:color w:val="auto"/>
          <w:lang w:val="en-US" w:eastAsia="en-US"/>
        </w:rPr>
        <w:t xml:space="preserve">assessing destruction technologies for </w:t>
      </w:r>
      <w:r w:rsidRPr="0082083A">
        <w:rPr>
          <w:color w:val="auto"/>
          <w:lang w:val="en-US" w:eastAsia="en-US"/>
        </w:rPr>
        <w:t>the destruction of HFCs.</w:t>
      </w:r>
    </w:p>
    <w:p w14:paraId="63EFAF47" w14:textId="7699B26D" w:rsidR="00CA7520" w:rsidRDefault="00CA7520" w:rsidP="00275CBE">
      <w:pPr>
        <w:pStyle w:val="Heading3"/>
      </w:pPr>
      <w:bookmarkStart w:id="30" w:name="_Toc510531450"/>
      <w:bookmarkStart w:id="31" w:name="_Hlk504832953"/>
      <w:r>
        <w:t>2.2.1</w:t>
      </w:r>
      <w:r>
        <w:tab/>
        <w:t>DRE</w:t>
      </w:r>
      <w:r w:rsidR="00351B1C">
        <w:rPr>
          <w:rStyle w:val="FootnoteReference"/>
        </w:rPr>
        <w:footnoteReference w:id="17"/>
      </w:r>
      <w:r>
        <w:t>, emissions of other pollutants, and technical capability</w:t>
      </w:r>
      <w:bookmarkEnd w:id="30"/>
    </w:p>
    <w:p w14:paraId="3FCF389E" w14:textId="0F498BFD" w:rsidR="00486355" w:rsidRDefault="00486355" w:rsidP="00486355">
      <w:pPr>
        <w:autoSpaceDE w:val="0"/>
        <w:autoSpaceDN w:val="0"/>
        <w:adjustRightInd w:val="0"/>
      </w:pPr>
      <w:r w:rsidRPr="00F15DB8">
        <w:t xml:space="preserve">The DRE, emissions of other pollutants, and technical capability </w:t>
      </w:r>
      <w:r w:rsidR="0060369B">
        <w:t>of</w:t>
      </w:r>
      <w:r w:rsidR="000523FA">
        <w:t xml:space="preserve"> the </w:t>
      </w:r>
      <w:r w:rsidR="0060369B">
        <w:t xml:space="preserve">2002 TFDT performance criteria </w:t>
      </w:r>
      <w:r w:rsidRPr="00F15DB8">
        <w:t>are equally applicable to HFCs</w:t>
      </w:r>
      <w:bookmarkEnd w:id="31"/>
      <w:r w:rsidRPr="00F15DB8">
        <w:t xml:space="preserve">, particularly as </w:t>
      </w:r>
      <w:r>
        <w:t xml:space="preserve">many ODS already contain fluorine and </w:t>
      </w:r>
      <w:r w:rsidRPr="00F15DB8">
        <w:t xml:space="preserve">a </w:t>
      </w:r>
      <w:r w:rsidR="0060369B">
        <w:t>criterion</w:t>
      </w:r>
      <w:r w:rsidRPr="00F15DB8">
        <w:t xml:space="preserve"> is already </w:t>
      </w:r>
      <w:r w:rsidR="0060369B">
        <w:t>included</w:t>
      </w:r>
      <w:r>
        <w:t xml:space="preserve"> </w:t>
      </w:r>
      <w:r w:rsidRPr="00F15DB8">
        <w:t xml:space="preserve">for HF emissions. </w:t>
      </w:r>
      <w:r>
        <w:t>In fact, the genera</w:t>
      </w:r>
      <w:r w:rsidR="0060369B">
        <w:t>tion rate of HF from some ODS has been shown to be</w:t>
      </w:r>
      <w:r>
        <w:t xml:space="preserve"> similar to that fr</w:t>
      </w:r>
      <w:r w:rsidR="0060369B">
        <w:t>om some HFCs</w:t>
      </w:r>
      <w:r w:rsidR="0060369B">
        <w:rPr>
          <w:rStyle w:val="FootnoteReference"/>
        </w:rPr>
        <w:footnoteReference w:id="18"/>
      </w:r>
      <w:r w:rsidR="0060369B">
        <w:t xml:space="preserve">, as </w:t>
      </w:r>
      <w:r w:rsidR="007168EA">
        <w:t xml:space="preserve">calculated based on stoichiometry and </w:t>
      </w:r>
      <w:r w:rsidR="0060369B">
        <w:t>shown in Table 2-</w:t>
      </w:r>
      <w:r w:rsidR="00FF74CF">
        <w:t>3</w:t>
      </w:r>
      <w:r>
        <w:t>.</w:t>
      </w:r>
    </w:p>
    <w:p w14:paraId="45212ECF" w14:textId="77777777" w:rsidR="00C13777" w:rsidRDefault="00C13777">
      <w:pPr>
        <w:spacing w:after="0"/>
        <w:rPr>
          <w:b/>
          <w:i/>
        </w:rPr>
      </w:pPr>
      <w:r>
        <w:rPr>
          <w:b/>
          <w:i/>
        </w:rPr>
        <w:br w:type="page"/>
      </w:r>
    </w:p>
    <w:p w14:paraId="0BBBDC3E" w14:textId="1F8ED229" w:rsidR="00486355" w:rsidRPr="00D1412D" w:rsidRDefault="00FF74CF" w:rsidP="00C13777">
      <w:pPr>
        <w:keepNext/>
        <w:autoSpaceDE w:val="0"/>
        <w:autoSpaceDN w:val="0"/>
        <w:adjustRightInd w:val="0"/>
        <w:rPr>
          <w:b/>
          <w:i/>
        </w:rPr>
      </w:pPr>
      <w:r>
        <w:rPr>
          <w:b/>
          <w:i/>
        </w:rPr>
        <w:lastRenderedPageBreak/>
        <w:t>Table 2-3</w:t>
      </w:r>
      <w:r w:rsidR="00486355" w:rsidRPr="00D1412D">
        <w:rPr>
          <w:b/>
          <w:i/>
        </w:rPr>
        <w:t>: HF Generation Rates</w:t>
      </w:r>
    </w:p>
    <w:tbl>
      <w:tblPr>
        <w:tblW w:w="5698" w:type="dxa"/>
        <w:tblCellMar>
          <w:top w:w="15" w:type="dxa"/>
          <w:bottom w:w="15" w:type="dxa"/>
        </w:tblCellMar>
        <w:tblLook w:val="04A0" w:firstRow="1" w:lastRow="0" w:firstColumn="1" w:lastColumn="0" w:noHBand="0" w:noVBand="1"/>
      </w:tblPr>
      <w:tblGrid>
        <w:gridCol w:w="1546"/>
        <w:gridCol w:w="1299"/>
        <w:gridCol w:w="2853"/>
      </w:tblGrid>
      <w:tr w:rsidR="00486355" w:rsidRPr="00456E89" w14:paraId="2E9AB7AF" w14:textId="77777777" w:rsidTr="0060369B">
        <w:trPr>
          <w:trHeight w:val="306"/>
        </w:trPr>
        <w:tc>
          <w:tcPr>
            <w:tcW w:w="2845"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40FCFE01" w14:textId="77777777" w:rsidR="00486355" w:rsidRPr="00456E89" w:rsidRDefault="00486355" w:rsidP="005A3ED1">
            <w:pPr>
              <w:spacing w:after="0"/>
              <w:jc w:val="center"/>
              <w:rPr>
                <w:b/>
                <w:bCs/>
                <w:szCs w:val="22"/>
                <w:lang w:eastAsia="en-GB"/>
              </w:rPr>
            </w:pPr>
            <w:r w:rsidRPr="00456E89">
              <w:rPr>
                <w:b/>
                <w:bCs/>
                <w:szCs w:val="22"/>
                <w:lang w:eastAsia="en-GB"/>
              </w:rPr>
              <w:t>Substance</w:t>
            </w:r>
          </w:p>
        </w:tc>
        <w:tc>
          <w:tcPr>
            <w:tcW w:w="2853" w:type="dxa"/>
            <w:tcBorders>
              <w:top w:val="single" w:sz="4" w:space="0" w:color="auto"/>
              <w:left w:val="single" w:sz="4" w:space="0" w:color="auto"/>
              <w:bottom w:val="nil"/>
              <w:right w:val="single" w:sz="4" w:space="0" w:color="auto"/>
            </w:tcBorders>
            <w:shd w:val="clear" w:color="000000" w:fill="FFFFFF"/>
            <w:vAlign w:val="center"/>
            <w:hideMark/>
          </w:tcPr>
          <w:p w14:paraId="44A95124" w14:textId="4F2C578D" w:rsidR="00486355" w:rsidRPr="00456E89" w:rsidRDefault="00486355" w:rsidP="005A3ED1">
            <w:pPr>
              <w:spacing w:after="0"/>
              <w:jc w:val="center"/>
              <w:rPr>
                <w:b/>
                <w:bCs/>
                <w:szCs w:val="22"/>
                <w:lang w:eastAsia="en-GB"/>
              </w:rPr>
            </w:pPr>
            <w:r w:rsidRPr="00456E89">
              <w:rPr>
                <w:b/>
                <w:bCs/>
                <w:szCs w:val="22"/>
                <w:lang w:eastAsia="en-GB"/>
              </w:rPr>
              <w:t>HF generation</w:t>
            </w:r>
            <w:r w:rsidR="00514300">
              <w:rPr>
                <w:b/>
                <w:bCs/>
                <w:szCs w:val="22"/>
                <w:lang w:eastAsia="en-GB"/>
              </w:rPr>
              <w:t xml:space="preserve">   </w:t>
            </w:r>
          </w:p>
        </w:tc>
      </w:tr>
      <w:tr w:rsidR="00486355" w:rsidRPr="00456E89" w14:paraId="52005F06" w14:textId="77777777" w:rsidTr="0060369B">
        <w:trPr>
          <w:trHeight w:val="582"/>
        </w:trPr>
        <w:tc>
          <w:tcPr>
            <w:tcW w:w="2845" w:type="dxa"/>
            <w:gridSpan w:val="2"/>
            <w:vMerge/>
            <w:tcBorders>
              <w:top w:val="single" w:sz="4" w:space="0" w:color="auto"/>
              <w:left w:val="single" w:sz="4" w:space="0" w:color="auto"/>
              <w:bottom w:val="single" w:sz="4" w:space="0" w:color="auto"/>
              <w:right w:val="single" w:sz="4" w:space="0" w:color="auto"/>
            </w:tcBorders>
            <w:vAlign w:val="center"/>
            <w:hideMark/>
          </w:tcPr>
          <w:p w14:paraId="008573BE" w14:textId="77777777" w:rsidR="00486355" w:rsidRPr="00456E89" w:rsidRDefault="00486355" w:rsidP="005A3ED1">
            <w:pPr>
              <w:spacing w:after="0"/>
              <w:rPr>
                <w:b/>
                <w:bCs/>
                <w:szCs w:val="22"/>
                <w:lang w:eastAsia="en-GB"/>
              </w:rPr>
            </w:pPr>
          </w:p>
        </w:tc>
        <w:tc>
          <w:tcPr>
            <w:tcW w:w="2853" w:type="dxa"/>
            <w:tcBorders>
              <w:top w:val="nil"/>
              <w:left w:val="single" w:sz="4" w:space="0" w:color="auto"/>
              <w:bottom w:val="single" w:sz="4" w:space="0" w:color="auto"/>
              <w:right w:val="single" w:sz="4" w:space="0" w:color="auto"/>
            </w:tcBorders>
            <w:shd w:val="clear" w:color="000000" w:fill="FFFFFF"/>
            <w:vAlign w:val="center"/>
            <w:hideMark/>
          </w:tcPr>
          <w:p w14:paraId="1AB5F839" w14:textId="08D0FA8D" w:rsidR="00486355" w:rsidRPr="00456E89" w:rsidRDefault="00486355" w:rsidP="005A3ED1">
            <w:pPr>
              <w:spacing w:after="0"/>
              <w:jc w:val="center"/>
              <w:rPr>
                <w:b/>
                <w:bCs/>
                <w:szCs w:val="22"/>
                <w:lang w:eastAsia="en-GB"/>
              </w:rPr>
            </w:pPr>
            <w:r w:rsidRPr="00456E89">
              <w:rPr>
                <w:b/>
                <w:bCs/>
                <w:szCs w:val="22"/>
                <w:lang w:eastAsia="en-GB"/>
              </w:rPr>
              <w:t>kg HF/kg substance destroyed</w:t>
            </w:r>
            <w:r w:rsidR="00514300">
              <w:rPr>
                <w:b/>
                <w:bCs/>
                <w:szCs w:val="22"/>
                <w:lang w:eastAsia="en-GB"/>
              </w:rPr>
              <w:t xml:space="preserve"> </w:t>
            </w:r>
          </w:p>
        </w:tc>
      </w:tr>
      <w:tr w:rsidR="00486355" w:rsidRPr="00456E89" w14:paraId="0BEF7B89" w14:textId="77777777" w:rsidTr="0060369B">
        <w:trPr>
          <w:trHeight w:val="306"/>
        </w:trPr>
        <w:tc>
          <w:tcPr>
            <w:tcW w:w="1546" w:type="dxa"/>
            <w:tcBorders>
              <w:top w:val="single" w:sz="4" w:space="0" w:color="auto"/>
              <w:left w:val="single" w:sz="4" w:space="0" w:color="auto"/>
              <w:bottom w:val="single" w:sz="4" w:space="0" w:color="auto"/>
              <w:right w:val="single" w:sz="4" w:space="0" w:color="auto"/>
            </w:tcBorders>
            <w:noWrap/>
            <w:vAlign w:val="bottom"/>
            <w:hideMark/>
          </w:tcPr>
          <w:p w14:paraId="734A56FC" w14:textId="77777777" w:rsidR="00486355" w:rsidRPr="00456E89" w:rsidRDefault="00486355" w:rsidP="005A3ED1">
            <w:pPr>
              <w:spacing w:after="0"/>
              <w:rPr>
                <w:szCs w:val="22"/>
                <w:lang w:eastAsia="en-GB"/>
              </w:rPr>
            </w:pPr>
            <w:r w:rsidRPr="00456E89">
              <w:rPr>
                <w:szCs w:val="22"/>
                <w:lang w:eastAsia="en-GB"/>
              </w:rPr>
              <w:t>CFC-12</w:t>
            </w:r>
          </w:p>
        </w:tc>
        <w:tc>
          <w:tcPr>
            <w:tcW w:w="1298" w:type="dxa"/>
            <w:tcBorders>
              <w:top w:val="single" w:sz="4" w:space="0" w:color="auto"/>
              <w:left w:val="single" w:sz="4" w:space="0" w:color="auto"/>
              <w:bottom w:val="single" w:sz="4" w:space="0" w:color="auto"/>
              <w:right w:val="single" w:sz="4" w:space="0" w:color="auto"/>
            </w:tcBorders>
            <w:noWrap/>
            <w:vAlign w:val="bottom"/>
            <w:hideMark/>
          </w:tcPr>
          <w:p w14:paraId="05F7F5FD" w14:textId="55DFA81A" w:rsidR="00486355" w:rsidRPr="00456E89" w:rsidRDefault="0060369B" w:rsidP="005A3ED1">
            <w:pPr>
              <w:spacing w:after="0"/>
              <w:rPr>
                <w:szCs w:val="22"/>
                <w:lang w:eastAsia="en-GB"/>
              </w:rPr>
            </w:pPr>
            <w:r>
              <w:rPr>
                <w:szCs w:val="22"/>
                <w:lang w:eastAsia="en-GB"/>
              </w:rPr>
              <w:t>CF</w:t>
            </w:r>
            <w:r w:rsidRPr="0060369B">
              <w:rPr>
                <w:szCs w:val="22"/>
                <w:vertAlign w:val="subscript"/>
                <w:lang w:eastAsia="en-GB"/>
              </w:rPr>
              <w:t>2</w:t>
            </w:r>
            <w:r w:rsidR="00486355" w:rsidRPr="00456E89">
              <w:rPr>
                <w:szCs w:val="22"/>
                <w:lang w:eastAsia="en-GB"/>
              </w:rPr>
              <w:t>Cl</w:t>
            </w:r>
            <w:r w:rsidR="00486355" w:rsidRPr="0060369B">
              <w:rPr>
                <w:szCs w:val="22"/>
                <w:vertAlign w:val="subscript"/>
                <w:lang w:eastAsia="en-GB"/>
              </w:rPr>
              <w:t>2</w:t>
            </w:r>
          </w:p>
        </w:tc>
        <w:tc>
          <w:tcPr>
            <w:tcW w:w="2853" w:type="dxa"/>
            <w:tcBorders>
              <w:top w:val="single" w:sz="4" w:space="0" w:color="auto"/>
              <w:left w:val="single" w:sz="4" w:space="0" w:color="auto"/>
              <w:bottom w:val="single" w:sz="4" w:space="0" w:color="auto"/>
              <w:right w:val="single" w:sz="4" w:space="0" w:color="auto"/>
            </w:tcBorders>
            <w:noWrap/>
            <w:vAlign w:val="bottom"/>
            <w:hideMark/>
          </w:tcPr>
          <w:p w14:paraId="14A4A8E1" w14:textId="77777777" w:rsidR="00486355" w:rsidRPr="00456E89" w:rsidRDefault="00486355" w:rsidP="005A3ED1">
            <w:pPr>
              <w:spacing w:after="0"/>
              <w:jc w:val="center"/>
              <w:rPr>
                <w:szCs w:val="22"/>
                <w:lang w:eastAsia="en-GB"/>
              </w:rPr>
            </w:pPr>
            <w:r w:rsidRPr="00456E89">
              <w:rPr>
                <w:szCs w:val="22"/>
                <w:lang w:eastAsia="en-GB"/>
              </w:rPr>
              <w:t>0.33</w:t>
            </w:r>
          </w:p>
        </w:tc>
      </w:tr>
      <w:tr w:rsidR="00486355" w:rsidRPr="00456E89" w14:paraId="4049E18F" w14:textId="77777777" w:rsidTr="0060369B">
        <w:trPr>
          <w:trHeight w:val="306"/>
        </w:trPr>
        <w:tc>
          <w:tcPr>
            <w:tcW w:w="1546" w:type="dxa"/>
            <w:tcBorders>
              <w:top w:val="single" w:sz="4" w:space="0" w:color="auto"/>
              <w:left w:val="single" w:sz="4" w:space="0" w:color="auto"/>
              <w:bottom w:val="single" w:sz="4" w:space="0" w:color="auto"/>
              <w:right w:val="single" w:sz="4" w:space="0" w:color="auto"/>
            </w:tcBorders>
            <w:noWrap/>
            <w:vAlign w:val="bottom"/>
            <w:hideMark/>
          </w:tcPr>
          <w:p w14:paraId="7D62E84B" w14:textId="69196B56" w:rsidR="00486355" w:rsidRPr="00456E89" w:rsidRDefault="0060369B" w:rsidP="005A3ED1">
            <w:pPr>
              <w:spacing w:after="0"/>
              <w:rPr>
                <w:szCs w:val="22"/>
                <w:lang w:eastAsia="en-GB"/>
              </w:rPr>
            </w:pPr>
            <w:r>
              <w:rPr>
                <w:szCs w:val="22"/>
                <w:lang w:eastAsia="en-GB"/>
              </w:rPr>
              <w:t>HCFC-</w:t>
            </w:r>
            <w:r w:rsidR="00486355" w:rsidRPr="00456E89">
              <w:rPr>
                <w:szCs w:val="22"/>
                <w:lang w:eastAsia="en-GB"/>
              </w:rPr>
              <w:t>22</w:t>
            </w:r>
          </w:p>
        </w:tc>
        <w:tc>
          <w:tcPr>
            <w:tcW w:w="1298" w:type="dxa"/>
            <w:tcBorders>
              <w:top w:val="single" w:sz="4" w:space="0" w:color="auto"/>
              <w:left w:val="single" w:sz="4" w:space="0" w:color="auto"/>
              <w:bottom w:val="single" w:sz="4" w:space="0" w:color="auto"/>
              <w:right w:val="single" w:sz="4" w:space="0" w:color="auto"/>
            </w:tcBorders>
            <w:noWrap/>
            <w:vAlign w:val="bottom"/>
            <w:hideMark/>
          </w:tcPr>
          <w:p w14:paraId="567687EC" w14:textId="77777777" w:rsidR="00486355" w:rsidRPr="00456E89" w:rsidRDefault="00486355" w:rsidP="005A3ED1">
            <w:pPr>
              <w:spacing w:after="0"/>
              <w:rPr>
                <w:szCs w:val="22"/>
                <w:lang w:eastAsia="en-GB"/>
              </w:rPr>
            </w:pPr>
            <w:r w:rsidRPr="00456E89">
              <w:rPr>
                <w:szCs w:val="22"/>
                <w:lang w:eastAsia="en-GB"/>
              </w:rPr>
              <w:t>CHF</w:t>
            </w:r>
            <w:r w:rsidRPr="0060369B">
              <w:rPr>
                <w:szCs w:val="22"/>
                <w:vertAlign w:val="subscript"/>
                <w:lang w:eastAsia="en-GB"/>
              </w:rPr>
              <w:t>2</w:t>
            </w:r>
            <w:r w:rsidRPr="00456E89">
              <w:rPr>
                <w:szCs w:val="22"/>
                <w:lang w:eastAsia="en-GB"/>
              </w:rPr>
              <w:t>Cl</w:t>
            </w:r>
          </w:p>
        </w:tc>
        <w:tc>
          <w:tcPr>
            <w:tcW w:w="2853" w:type="dxa"/>
            <w:tcBorders>
              <w:top w:val="single" w:sz="4" w:space="0" w:color="auto"/>
              <w:left w:val="single" w:sz="4" w:space="0" w:color="auto"/>
              <w:bottom w:val="single" w:sz="4" w:space="0" w:color="auto"/>
              <w:right w:val="single" w:sz="4" w:space="0" w:color="auto"/>
            </w:tcBorders>
            <w:noWrap/>
            <w:vAlign w:val="bottom"/>
            <w:hideMark/>
          </w:tcPr>
          <w:p w14:paraId="1C493A2F" w14:textId="77777777" w:rsidR="00486355" w:rsidRPr="00456E89" w:rsidRDefault="00486355" w:rsidP="005A3ED1">
            <w:pPr>
              <w:spacing w:after="0"/>
              <w:jc w:val="center"/>
              <w:rPr>
                <w:szCs w:val="22"/>
                <w:lang w:eastAsia="en-GB"/>
              </w:rPr>
            </w:pPr>
            <w:r w:rsidRPr="00456E89">
              <w:rPr>
                <w:szCs w:val="22"/>
                <w:lang w:eastAsia="en-GB"/>
              </w:rPr>
              <w:t>0.46</w:t>
            </w:r>
          </w:p>
        </w:tc>
      </w:tr>
      <w:tr w:rsidR="00486355" w:rsidRPr="00456E89" w14:paraId="403F45A6" w14:textId="77777777" w:rsidTr="0060369B">
        <w:trPr>
          <w:trHeight w:val="306"/>
        </w:trPr>
        <w:tc>
          <w:tcPr>
            <w:tcW w:w="1546" w:type="dxa"/>
            <w:tcBorders>
              <w:top w:val="single" w:sz="4" w:space="0" w:color="auto"/>
              <w:left w:val="single" w:sz="4" w:space="0" w:color="auto"/>
              <w:bottom w:val="single" w:sz="4" w:space="0" w:color="auto"/>
              <w:right w:val="single" w:sz="4" w:space="0" w:color="auto"/>
            </w:tcBorders>
            <w:noWrap/>
            <w:vAlign w:val="bottom"/>
            <w:hideMark/>
          </w:tcPr>
          <w:p w14:paraId="6D5F0589" w14:textId="77777777" w:rsidR="00486355" w:rsidRPr="00456E89" w:rsidRDefault="00486355" w:rsidP="005A3ED1">
            <w:pPr>
              <w:spacing w:after="0"/>
              <w:rPr>
                <w:szCs w:val="22"/>
                <w:lang w:eastAsia="en-GB"/>
              </w:rPr>
            </w:pPr>
            <w:r w:rsidRPr="00456E89">
              <w:rPr>
                <w:szCs w:val="22"/>
                <w:lang w:eastAsia="en-GB"/>
              </w:rPr>
              <w:t>CFC-115</w:t>
            </w:r>
          </w:p>
        </w:tc>
        <w:tc>
          <w:tcPr>
            <w:tcW w:w="1298" w:type="dxa"/>
            <w:tcBorders>
              <w:top w:val="single" w:sz="4" w:space="0" w:color="auto"/>
              <w:left w:val="single" w:sz="4" w:space="0" w:color="auto"/>
              <w:bottom w:val="single" w:sz="4" w:space="0" w:color="auto"/>
              <w:right w:val="single" w:sz="4" w:space="0" w:color="auto"/>
            </w:tcBorders>
            <w:noWrap/>
            <w:vAlign w:val="bottom"/>
            <w:hideMark/>
          </w:tcPr>
          <w:p w14:paraId="716449C2" w14:textId="77777777" w:rsidR="00486355" w:rsidRPr="00456E89" w:rsidRDefault="00486355" w:rsidP="005A3ED1">
            <w:pPr>
              <w:spacing w:after="0"/>
              <w:rPr>
                <w:szCs w:val="22"/>
                <w:lang w:eastAsia="en-GB"/>
              </w:rPr>
            </w:pPr>
            <w:r w:rsidRPr="00456E89">
              <w:rPr>
                <w:szCs w:val="22"/>
                <w:lang w:eastAsia="en-GB"/>
              </w:rPr>
              <w:t>C</w:t>
            </w:r>
            <w:r w:rsidRPr="0060369B">
              <w:rPr>
                <w:szCs w:val="22"/>
                <w:vertAlign w:val="subscript"/>
                <w:lang w:eastAsia="en-GB"/>
              </w:rPr>
              <w:t>2</w:t>
            </w:r>
            <w:r w:rsidRPr="00456E89">
              <w:rPr>
                <w:szCs w:val="22"/>
                <w:lang w:eastAsia="en-GB"/>
              </w:rPr>
              <w:t>F</w:t>
            </w:r>
            <w:r w:rsidRPr="0060369B">
              <w:rPr>
                <w:szCs w:val="22"/>
                <w:vertAlign w:val="subscript"/>
                <w:lang w:eastAsia="en-GB"/>
              </w:rPr>
              <w:t>5</w:t>
            </w:r>
            <w:r w:rsidRPr="00456E89">
              <w:rPr>
                <w:szCs w:val="22"/>
                <w:lang w:eastAsia="en-GB"/>
              </w:rPr>
              <w:t>Cl</w:t>
            </w:r>
          </w:p>
        </w:tc>
        <w:tc>
          <w:tcPr>
            <w:tcW w:w="2853" w:type="dxa"/>
            <w:tcBorders>
              <w:top w:val="single" w:sz="4" w:space="0" w:color="auto"/>
              <w:left w:val="single" w:sz="4" w:space="0" w:color="auto"/>
              <w:bottom w:val="single" w:sz="4" w:space="0" w:color="auto"/>
              <w:right w:val="single" w:sz="4" w:space="0" w:color="auto"/>
            </w:tcBorders>
            <w:noWrap/>
            <w:vAlign w:val="bottom"/>
            <w:hideMark/>
          </w:tcPr>
          <w:p w14:paraId="2F6E9462" w14:textId="77777777" w:rsidR="00486355" w:rsidRPr="00456E89" w:rsidRDefault="00486355" w:rsidP="005A3ED1">
            <w:pPr>
              <w:spacing w:after="0"/>
              <w:jc w:val="center"/>
              <w:rPr>
                <w:szCs w:val="22"/>
                <w:lang w:eastAsia="en-GB"/>
              </w:rPr>
            </w:pPr>
            <w:r w:rsidRPr="00456E89">
              <w:rPr>
                <w:szCs w:val="22"/>
                <w:lang w:eastAsia="en-GB"/>
              </w:rPr>
              <w:t>0.65</w:t>
            </w:r>
          </w:p>
        </w:tc>
      </w:tr>
      <w:tr w:rsidR="00486355" w:rsidRPr="00456E89" w14:paraId="59738093" w14:textId="77777777" w:rsidTr="0060369B">
        <w:trPr>
          <w:trHeight w:val="306"/>
        </w:trPr>
        <w:tc>
          <w:tcPr>
            <w:tcW w:w="1546" w:type="dxa"/>
            <w:tcBorders>
              <w:top w:val="single" w:sz="4" w:space="0" w:color="auto"/>
              <w:left w:val="single" w:sz="4" w:space="0" w:color="auto"/>
              <w:bottom w:val="single" w:sz="4" w:space="0" w:color="auto"/>
              <w:right w:val="single" w:sz="4" w:space="0" w:color="auto"/>
            </w:tcBorders>
            <w:noWrap/>
            <w:vAlign w:val="bottom"/>
            <w:hideMark/>
          </w:tcPr>
          <w:p w14:paraId="565FC72C" w14:textId="6A5923A5" w:rsidR="00486355" w:rsidRPr="00456E89" w:rsidRDefault="0060369B" w:rsidP="005A3ED1">
            <w:pPr>
              <w:spacing w:after="0"/>
              <w:rPr>
                <w:szCs w:val="22"/>
                <w:lang w:eastAsia="en-GB"/>
              </w:rPr>
            </w:pPr>
            <w:r>
              <w:rPr>
                <w:szCs w:val="22"/>
                <w:lang w:eastAsia="en-GB"/>
              </w:rPr>
              <w:t>Halon-</w:t>
            </w:r>
            <w:r w:rsidR="00486355" w:rsidRPr="00456E89">
              <w:rPr>
                <w:szCs w:val="22"/>
                <w:lang w:eastAsia="en-GB"/>
              </w:rPr>
              <w:t>1301</w:t>
            </w:r>
          </w:p>
        </w:tc>
        <w:tc>
          <w:tcPr>
            <w:tcW w:w="1298" w:type="dxa"/>
            <w:tcBorders>
              <w:top w:val="single" w:sz="4" w:space="0" w:color="auto"/>
              <w:left w:val="single" w:sz="4" w:space="0" w:color="auto"/>
              <w:bottom w:val="single" w:sz="4" w:space="0" w:color="auto"/>
              <w:right w:val="single" w:sz="4" w:space="0" w:color="auto"/>
            </w:tcBorders>
            <w:noWrap/>
            <w:vAlign w:val="bottom"/>
            <w:hideMark/>
          </w:tcPr>
          <w:p w14:paraId="3368C2F8" w14:textId="77777777" w:rsidR="00486355" w:rsidRPr="00456E89" w:rsidRDefault="00486355" w:rsidP="005A3ED1">
            <w:pPr>
              <w:spacing w:after="0"/>
              <w:rPr>
                <w:szCs w:val="22"/>
                <w:lang w:eastAsia="en-GB"/>
              </w:rPr>
            </w:pPr>
            <w:r w:rsidRPr="00456E89">
              <w:rPr>
                <w:szCs w:val="22"/>
                <w:lang w:eastAsia="en-GB"/>
              </w:rPr>
              <w:t>CF</w:t>
            </w:r>
            <w:r w:rsidRPr="0060369B">
              <w:rPr>
                <w:szCs w:val="22"/>
                <w:vertAlign w:val="subscript"/>
                <w:lang w:eastAsia="en-GB"/>
              </w:rPr>
              <w:t>3</w:t>
            </w:r>
            <w:r w:rsidRPr="00456E89">
              <w:rPr>
                <w:szCs w:val="22"/>
                <w:lang w:eastAsia="en-GB"/>
              </w:rPr>
              <w:t>Br</w:t>
            </w:r>
          </w:p>
        </w:tc>
        <w:tc>
          <w:tcPr>
            <w:tcW w:w="2853" w:type="dxa"/>
            <w:tcBorders>
              <w:top w:val="single" w:sz="4" w:space="0" w:color="auto"/>
              <w:left w:val="single" w:sz="4" w:space="0" w:color="auto"/>
              <w:bottom w:val="single" w:sz="4" w:space="0" w:color="auto"/>
              <w:right w:val="single" w:sz="4" w:space="0" w:color="auto"/>
            </w:tcBorders>
            <w:noWrap/>
            <w:vAlign w:val="bottom"/>
            <w:hideMark/>
          </w:tcPr>
          <w:p w14:paraId="550C71B8" w14:textId="77777777" w:rsidR="00486355" w:rsidRPr="00456E89" w:rsidRDefault="00486355" w:rsidP="005A3ED1">
            <w:pPr>
              <w:spacing w:after="0"/>
              <w:jc w:val="center"/>
              <w:rPr>
                <w:szCs w:val="22"/>
                <w:lang w:eastAsia="en-GB"/>
              </w:rPr>
            </w:pPr>
            <w:r w:rsidRPr="00456E89">
              <w:rPr>
                <w:szCs w:val="22"/>
                <w:lang w:eastAsia="en-GB"/>
              </w:rPr>
              <w:t>0.40</w:t>
            </w:r>
          </w:p>
        </w:tc>
      </w:tr>
      <w:tr w:rsidR="00486355" w:rsidRPr="00456E89" w14:paraId="74BD7583" w14:textId="77777777" w:rsidTr="0060369B">
        <w:trPr>
          <w:trHeight w:val="306"/>
        </w:trPr>
        <w:tc>
          <w:tcPr>
            <w:tcW w:w="1546" w:type="dxa"/>
            <w:tcBorders>
              <w:top w:val="single" w:sz="4" w:space="0" w:color="auto"/>
              <w:left w:val="single" w:sz="4" w:space="0" w:color="auto"/>
              <w:bottom w:val="single" w:sz="4" w:space="0" w:color="auto"/>
              <w:right w:val="single" w:sz="4" w:space="0" w:color="auto"/>
            </w:tcBorders>
            <w:noWrap/>
            <w:vAlign w:val="bottom"/>
            <w:hideMark/>
          </w:tcPr>
          <w:p w14:paraId="3F187459" w14:textId="36D58282" w:rsidR="00486355" w:rsidRPr="00456E89" w:rsidRDefault="0060369B" w:rsidP="005A3ED1">
            <w:pPr>
              <w:spacing w:after="0"/>
              <w:rPr>
                <w:szCs w:val="22"/>
                <w:lang w:eastAsia="en-GB"/>
              </w:rPr>
            </w:pPr>
            <w:r>
              <w:rPr>
                <w:szCs w:val="22"/>
                <w:lang w:eastAsia="en-GB"/>
              </w:rPr>
              <w:t>HFC-</w:t>
            </w:r>
            <w:r w:rsidR="00486355" w:rsidRPr="00456E89">
              <w:rPr>
                <w:szCs w:val="22"/>
                <w:lang w:eastAsia="en-GB"/>
              </w:rPr>
              <w:t>134a</w:t>
            </w:r>
          </w:p>
        </w:tc>
        <w:tc>
          <w:tcPr>
            <w:tcW w:w="1298" w:type="dxa"/>
            <w:tcBorders>
              <w:top w:val="single" w:sz="4" w:space="0" w:color="auto"/>
              <w:left w:val="single" w:sz="4" w:space="0" w:color="auto"/>
              <w:bottom w:val="single" w:sz="4" w:space="0" w:color="auto"/>
              <w:right w:val="single" w:sz="4" w:space="0" w:color="auto"/>
            </w:tcBorders>
            <w:noWrap/>
            <w:vAlign w:val="bottom"/>
            <w:hideMark/>
          </w:tcPr>
          <w:p w14:paraId="28345838" w14:textId="77777777" w:rsidR="00486355" w:rsidRPr="00456E89" w:rsidRDefault="00486355" w:rsidP="005A3ED1">
            <w:pPr>
              <w:spacing w:after="0"/>
              <w:rPr>
                <w:szCs w:val="22"/>
                <w:lang w:eastAsia="en-GB"/>
              </w:rPr>
            </w:pPr>
            <w:r w:rsidRPr="00456E89">
              <w:rPr>
                <w:szCs w:val="22"/>
                <w:lang w:eastAsia="en-GB"/>
              </w:rPr>
              <w:t>C</w:t>
            </w:r>
            <w:r w:rsidRPr="0060369B">
              <w:rPr>
                <w:szCs w:val="22"/>
                <w:vertAlign w:val="subscript"/>
                <w:lang w:eastAsia="en-GB"/>
              </w:rPr>
              <w:t>2</w:t>
            </w:r>
            <w:r w:rsidRPr="00456E89">
              <w:rPr>
                <w:szCs w:val="22"/>
                <w:lang w:eastAsia="en-GB"/>
              </w:rPr>
              <w:t>H</w:t>
            </w:r>
            <w:r w:rsidRPr="0060369B">
              <w:rPr>
                <w:szCs w:val="22"/>
                <w:vertAlign w:val="subscript"/>
                <w:lang w:eastAsia="en-GB"/>
              </w:rPr>
              <w:t>2</w:t>
            </w:r>
            <w:r w:rsidRPr="00456E89">
              <w:rPr>
                <w:szCs w:val="22"/>
                <w:lang w:eastAsia="en-GB"/>
              </w:rPr>
              <w:t>F</w:t>
            </w:r>
            <w:r w:rsidRPr="0060369B">
              <w:rPr>
                <w:szCs w:val="22"/>
                <w:vertAlign w:val="subscript"/>
                <w:lang w:eastAsia="en-GB"/>
              </w:rPr>
              <w:t>4</w:t>
            </w:r>
          </w:p>
        </w:tc>
        <w:tc>
          <w:tcPr>
            <w:tcW w:w="2853" w:type="dxa"/>
            <w:tcBorders>
              <w:top w:val="single" w:sz="4" w:space="0" w:color="auto"/>
              <w:left w:val="single" w:sz="4" w:space="0" w:color="auto"/>
              <w:bottom w:val="single" w:sz="4" w:space="0" w:color="auto"/>
              <w:right w:val="single" w:sz="4" w:space="0" w:color="auto"/>
            </w:tcBorders>
            <w:noWrap/>
            <w:vAlign w:val="bottom"/>
            <w:hideMark/>
          </w:tcPr>
          <w:p w14:paraId="7B2926AB" w14:textId="77777777" w:rsidR="00486355" w:rsidRPr="00456E89" w:rsidRDefault="00486355" w:rsidP="005A3ED1">
            <w:pPr>
              <w:spacing w:after="0"/>
              <w:jc w:val="center"/>
              <w:rPr>
                <w:szCs w:val="22"/>
                <w:lang w:eastAsia="en-GB"/>
              </w:rPr>
            </w:pPr>
            <w:r w:rsidRPr="00456E89">
              <w:rPr>
                <w:szCs w:val="22"/>
                <w:lang w:eastAsia="en-GB"/>
              </w:rPr>
              <w:t>0.78</w:t>
            </w:r>
          </w:p>
        </w:tc>
      </w:tr>
      <w:tr w:rsidR="00486355" w:rsidRPr="00456E89" w14:paraId="502242FA" w14:textId="77777777" w:rsidTr="0060369B">
        <w:trPr>
          <w:trHeight w:val="306"/>
        </w:trPr>
        <w:tc>
          <w:tcPr>
            <w:tcW w:w="1546" w:type="dxa"/>
            <w:tcBorders>
              <w:top w:val="single" w:sz="4" w:space="0" w:color="auto"/>
              <w:left w:val="single" w:sz="4" w:space="0" w:color="auto"/>
              <w:bottom w:val="single" w:sz="4" w:space="0" w:color="auto"/>
              <w:right w:val="single" w:sz="4" w:space="0" w:color="auto"/>
            </w:tcBorders>
            <w:noWrap/>
            <w:vAlign w:val="bottom"/>
            <w:hideMark/>
          </w:tcPr>
          <w:p w14:paraId="23522B7C" w14:textId="2C2E79E0" w:rsidR="00486355" w:rsidRPr="00456E89" w:rsidRDefault="0060369B" w:rsidP="005A3ED1">
            <w:pPr>
              <w:spacing w:after="0"/>
              <w:rPr>
                <w:szCs w:val="22"/>
                <w:lang w:eastAsia="en-GB"/>
              </w:rPr>
            </w:pPr>
            <w:r>
              <w:rPr>
                <w:szCs w:val="22"/>
                <w:lang w:eastAsia="en-GB"/>
              </w:rPr>
              <w:t>HFC-</w:t>
            </w:r>
            <w:r w:rsidR="00486355" w:rsidRPr="00456E89">
              <w:rPr>
                <w:szCs w:val="22"/>
                <w:lang w:eastAsia="en-GB"/>
              </w:rPr>
              <w:t>143a</w:t>
            </w:r>
          </w:p>
        </w:tc>
        <w:tc>
          <w:tcPr>
            <w:tcW w:w="1298" w:type="dxa"/>
            <w:tcBorders>
              <w:top w:val="single" w:sz="4" w:space="0" w:color="auto"/>
              <w:left w:val="single" w:sz="4" w:space="0" w:color="auto"/>
              <w:bottom w:val="single" w:sz="4" w:space="0" w:color="auto"/>
              <w:right w:val="single" w:sz="4" w:space="0" w:color="auto"/>
            </w:tcBorders>
            <w:noWrap/>
            <w:vAlign w:val="bottom"/>
            <w:hideMark/>
          </w:tcPr>
          <w:p w14:paraId="225B087E" w14:textId="77777777" w:rsidR="00486355" w:rsidRPr="00456E89" w:rsidRDefault="00486355" w:rsidP="005A3ED1">
            <w:pPr>
              <w:spacing w:after="0"/>
              <w:rPr>
                <w:szCs w:val="22"/>
                <w:lang w:eastAsia="en-GB"/>
              </w:rPr>
            </w:pPr>
            <w:r w:rsidRPr="00456E89">
              <w:rPr>
                <w:szCs w:val="22"/>
                <w:lang w:eastAsia="en-GB"/>
              </w:rPr>
              <w:t>C</w:t>
            </w:r>
            <w:r w:rsidRPr="0060369B">
              <w:rPr>
                <w:szCs w:val="22"/>
                <w:vertAlign w:val="subscript"/>
                <w:lang w:eastAsia="en-GB"/>
              </w:rPr>
              <w:t>2</w:t>
            </w:r>
            <w:r w:rsidRPr="00456E89">
              <w:rPr>
                <w:szCs w:val="22"/>
                <w:lang w:eastAsia="en-GB"/>
              </w:rPr>
              <w:t>H</w:t>
            </w:r>
            <w:r w:rsidRPr="0060369B">
              <w:rPr>
                <w:szCs w:val="22"/>
                <w:vertAlign w:val="subscript"/>
                <w:lang w:eastAsia="en-GB"/>
              </w:rPr>
              <w:t>3</w:t>
            </w:r>
            <w:r w:rsidRPr="00456E89">
              <w:rPr>
                <w:szCs w:val="22"/>
                <w:lang w:eastAsia="en-GB"/>
              </w:rPr>
              <w:t>F</w:t>
            </w:r>
            <w:r w:rsidRPr="0060369B">
              <w:rPr>
                <w:szCs w:val="22"/>
                <w:vertAlign w:val="subscript"/>
                <w:lang w:eastAsia="en-GB"/>
              </w:rPr>
              <w:t>3</w:t>
            </w:r>
          </w:p>
        </w:tc>
        <w:tc>
          <w:tcPr>
            <w:tcW w:w="2853" w:type="dxa"/>
            <w:tcBorders>
              <w:top w:val="single" w:sz="4" w:space="0" w:color="auto"/>
              <w:left w:val="single" w:sz="4" w:space="0" w:color="auto"/>
              <w:bottom w:val="single" w:sz="4" w:space="0" w:color="auto"/>
              <w:right w:val="single" w:sz="4" w:space="0" w:color="auto"/>
            </w:tcBorders>
            <w:noWrap/>
            <w:vAlign w:val="bottom"/>
            <w:hideMark/>
          </w:tcPr>
          <w:p w14:paraId="19619873" w14:textId="77777777" w:rsidR="00486355" w:rsidRPr="00456E89" w:rsidRDefault="00486355" w:rsidP="005A3ED1">
            <w:pPr>
              <w:spacing w:after="0"/>
              <w:jc w:val="center"/>
              <w:rPr>
                <w:szCs w:val="22"/>
                <w:lang w:eastAsia="en-GB"/>
              </w:rPr>
            </w:pPr>
            <w:r w:rsidRPr="00456E89">
              <w:rPr>
                <w:szCs w:val="22"/>
                <w:lang w:eastAsia="en-GB"/>
              </w:rPr>
              <w:t>0.71</w:t>
            </w:r>
          </w:p>
        </w:tc>
      </w:tr>
      <w:tr w:rsidR="00EA76A8" w:rsidRPr="00456E89" w14:paraId="6B9427EA" w14:textId="77777777" w:rsidTr="0060369B">
        <w:trPr>
          <w:trHeight w:val="306"/>
        </w:trPr>
        <w:tc>
          <w:tcPr>
            <w:tcW w:w="1546" w:type="dxa"/>
            <w:tcBorders>
              <w:top w:val="single" w:sz="4" w:space="0" w:color="auto"/>
              <w:left w:val="single" w:sz="4" w:space="0" w:color="auto"/>
              <w:bottom w:val="single" w:sz="4" w:space="0" w:color="auto"/>
              <w:right w:val="single" w:sz="4" w:space="0" w:color="auto"/>
            </w:tcBorders>
            <w:noWrap/>
            <w:vAlign w:val="bottom"/>
          </w:tcPr>
          <w:p w14:paraId="2E5C3BE2" w14:textId="2EBD8D33" w:rsidR="00EA76A8" w:rsidRDefault="00EA76A8" w:rsidP="005A3ED1">
            <w:pPr>
              <w:spacing w:after="0"/>
              <w:rPr>
                <w:szCs w:val="22"/>
                <w:lang w:eastAsia="en-GB"/>
              </w:rPr>
            </w:pPr>
            <w:r>
              <w:rPr>
                <w:szCs w:val="22"/>
                <w:lang w:eastAsia="en-GB"/>
              </w:rPr>
              <w:t>HFC-23</w:t>
            </w:r>
          </w:p>
        </w:tc>
        <w:tc>
          <w:tcPr>
            <w:tcW w:w="1298" w:type="dxa"/>
            <w:tcBorders>
              <w:top w:val="single" w:sz="4" w:space="0" w:color="auto"/>
              <w:left w:val="single" w:sz="4" w:space="0" w:color="auto"/>
              <w:bottom w:val="single" w:sz="4" w:space="0" w:color="auto"/>
              <w:right w:val="single" w:sz="4" w:space="0" w:color="auto"/>
            </w:tcBorders>
            <w:noWrap/>
            <w:vAlign w:val="bottom"/>
          </w:tcPr>
          <w:p w14:paraId="237215EF" w14:textId="11512C88" w:rsidR="00EA76A8" w:rsidRPr="00456E89" w:rsidRDefault="00345E9B" w:rsidP="005A3ED1">
            <w:pPr>
              <w:spacing w:after="0"/>
              <w:rPr>
                <w:szCs w:val="22"/>
                <w:lang w:eastAsia="en-GB"/>
              </w:rPr>
            </w:pPr>
            <w:r>
              <w:rPr>
                <w:szCs w:val="22"/>
                <w:lang w:eastAsia="en-GB"/>
              </w:rPr>
              <w:t>CHF</w:t>
            </w:r>
            <w:r w:rsidRPr="00D406B2">
              <w:rPr>
                <w:szCs w:val="22"/>
                <w:vertAlign w:val="subscript"/>
                <w:lang w:eastAsia="en-GB"/>
              </w:rPr>
              <w:t>3</w:t>
            </w:r>
          </w:p>
        </w:tc>
        <w:tc>
          <w:tcPr>
            <w:tcW w:w="2853" w:type="dxa"/>
            <w:tcBorders>
              <w:top w:val="single" w:sz="4" w:space="0" w:color="auto"/>
              <w:left w:val="single" w:sz="4" w:space="0" w:color="auto"/>
              <w:bottom w:val="single" w:sz="4" w:space="0" w:color="auto"/>
              <w:right w:val="single" w:sz="4" w:space="0" w:color="auto"/>
            </w:tcBorders>
            <w:noWrap/>
            <w:vAlign w:val="bottom"/>
          </w:tcPr>
          <w:p w14:paraId="6AC03A94" w14:textId="7BA7200A" w:rsidR="00EA76A8" w:rsidRPr="00456E89" w:rsidRDefault="00345E9B" w:rsidP="005A3ED1">
            <w:pPr>
              <w:spacing w:after="0"/>
              <w:jc w:val="center"/>
              <w:rPr>
                <w:szCs w:val="22"/>
                <w:lang w:eastAsia="en-GB"/>
              </w:rPr>
            </w:pPr>
            <w:r>
              <w:rPr>
                <w:szCs w:val="22"/>
                <w:lang w:eastAsia="en-GB"/>
              </w:rPr>
              <w:t>0.86</w:t>
            </w:r>
          </w:p>
        </w:tc>
      </w:tr>
    </w:tbl>
    <w:p w14:paraId="1888885A" w14:textId="77777777" w:rsidR="000871BA" w:rsidRDefault="000871BA" w:rsidP="00486355">
      <w:pPr>
        <w:autoSpaceDE w:val="0"/>
        <w:autoSpaceDN w:val="0"/>
        <w:adjustRightInd w:val="0"/>
      </w:pPr>
    </w:p>
    <w:p w14:paraId="67E46774" w14:textId="4855A42F" w:rsidR="00486355" w:rsidRPr="0060369B" w:rsidRDefault="004D159B" w:rsidP="00486355">
      <w:pPr>
        <w:autoSpaceDE w:val="0"/>
        <w:autoSpaceDN w:val="0"/>
        <w:adjustRightInd w:val="0"/>
      </w:pPr>
      <w:r>
        <w:t>T</w:t>
      </w:r>
      <w:r w:rsidR="0060369B">
        <w:t xml:space="preserve">he 2018 TFDT has applied </w:t>
      </w:r>
      <w:r w:rsidR="0060369B" w:rsidRPr="0060369B">
        <w:t>the</w:t>
      </w:r>
      <w:r w:rsidR="00486355" w:rsidRPr="0060369B">
        <w:t xml:space="preserve"> </w:t>
      </w:r>
      <w:r w:rsidR="0060369B">
        <w:t xml:space="preserve">same performance </w:t>
      </w:r>
      <w:r w:rsidR="00486355" w:rsidRPr="0060369B">
        <w:t>criteria established for ODS for DRE, emissions of other pollutants</w:t>
      </w:r>
      <w:r w:rsidR="00CA7520">
        <w:t xml:space="preserve"> (</w:t>
      </w:r>
      <w:r w:rsidR="00CA7520" w:rsidRPr="001212F5">
        <w:rPr>
          <w:lang w:val="en-US"/>
        </w:rPr>
        <w:t>acid gases</w:t>
      </w:r>
      <w:r w:rsidR="00CA7520">
        <w:rPr>
          <w:lang w:val="en-AU"/>
        </w:rPr>
        <w:t xml:space="preserve">, carbon monoxide, </w:t>
      </w:r>
      <w:r w:rsidR="00CA7520" w:rsidRPr="00463762">
        <w:rPr>
          <w:lang w:val="en-AU"/>
        </w:rPr>
        <w:t xml:space="preserve">and </w:t>
      </w:r>
      <w:r w:rsidR="00CA7520">
        <w:rPr>
          <w:lang w:val="en-AU"/>
        </w:rPr>
        <w:t>total suspended particulates)</w:t>
      </w:r>
      <w:r w:rsidR="00486355" w:rsidRPr="0060369B">
        <w:t xml:space="preserve">, and technical capability to </w:t>
      </w:r>
      <w:r w:rsidR="0060369B">
        <w:t xml:space="preserve">the destruction of </w:t>
      </w:r>
      <w:r w:rsidR="00486355" w:rsidRPr="0060369B">
        <w:t>HFCs</w:t>
      </w:r>
      <w:r w:rsidR="004763F8">
        <w:t xml:space="preserve">, </w:t>
      </w:r>
      <w:r w:rsidR="004763F8" w:rsidRPr="000D5CF7">
        <w:t xml:space="preserve">and also </w:t>
      </w:r>
      <w:r w:rsidR="000D5CF7" w:rsidRPr="000D5CF7">
        <w:t>take</w:t>
      </w:r>
      <w:r w:rsidR="000D5CF7">
        <w:t>n</w:t>
      </w:r>
      <w:r w:rsidR="000D5CF7" w:rsidRPr="000D5CF7">
        <w:t xml:space="preserve"> into</w:t>
      </w:r>
      <w:r w:rsidR="004763F8" w:rsidRPr="000D5CF7">
        <w:t xml:space="preserve"> consideration </w:t>
      </w:r>
      <w:r w:rsidR="00BE2C43" w:rsidRPr="000D5CF7">
        <w:t xml:space="preserve">the </w:t>
      </w:r>
      <w:r w:rsidR="004763F8" w:rsidRPr="000D5CF7">
        <w:t xml:space="preserve">previous </w:t>
      </w:r>
      <w:r w:rsidR="00BE2C43" w:rsidRPr="000D5CF7">
        <w:t>assessments of approved ODS destruction technolog</w:t>
      </w:r>
      <w:r w:rsidR="000D5CF7" w:rsidRPr="000D5CF7">
        <w:t>ies.</w:t>
      </w:r>
    </w:p>
    <w:p w14:paraId="06C41076" w14:textId="77150CA5" w:rsidR="00CA7520" w:rsidRDefault="00CA7520" w:rsidP="00275CBE">
      <w:pPr>
        <w:pStyle w:val="Heading3"/>
      </w:pPr>
      <w:bookmarkStart w:id="32" w:name="_Toc510531451"/>
      <w:r>
        <w:t>2.2.2</w:t>
      </w:r>
      <w:r>
        <w:tab/>
        <w:t>Fluorinated dioxins and furans</w:t>
      </w:r>
      <w:bookmarkEnd w:id="32"/>
    </w:p>
    <w:p w14:paraId="4061B2E5" w14:textId="7FADF604" w:rsidR="00486355" w:rsidRPr="001F2B6A" w:rsidRDefault="00486355" w:rsidP="00CA7520">
      <w:pPr>
        <w:rPr>
          <w:lang w:eastAsia="en-US"/>
        </w:rPr>
      </w:pPr>
      <w:r w:rsidRPr="001F2B6A">
        <w:rPr>
          <w:lang w:eastAsia="en-US"/>
        </w:rPr>
        <w:t>As any high temperature process used to destroy ODS has associated with it the</w:t>
      </w:r>
      <w:r>
        <w:rPr>
          <w:lang w:eastAsia="en-US"/>
        </w:rPr>
        <w:t xml:space="preserve"> </w:t>
      </w:r>
      <w:r w:rsidRPr="001F2B6A">
        <w:rPr>
          <w:lang w:eastAsia="en-US"/>
        </w:rPr>
        <w:t xml:space="preserve">potential formation (as </w:t>
      </w:r>
      <w:r w:rsidR="009D241E">
        <w:rPr>
          <w:lang w:eastAsia="en-US"/>
        </w:rPr>
        <w:t xml:space="preserve">unintended </w:t>
      </w:r>
      <w:r w:rsidRPr="001F2B6A">
        <w:rPr>
          <w:lang w:eastAsia="en-US"/>
        </w:rPr>
        <w:t>by-products) of dioxins</w:t>
      </w:r>
      <w:r w:rsidR="002B0B0E">
        <w:rPr>
          <w:lang w:eastAsia="en-US"/>
        </w:rPr>
        <w:t>/</w:t>
      </w:r>
      <w:r w:rsidRPr="001F2B6A">
        <w:rPr>
          <w:lang w:eastAsia="en-US"/>
        </w:rPr>
        <w:t>furans, depending on the process and operating parameters, it is important to consider if fluorinated dioxins</w:t>
      </w:r>
      <w:r w:rsidR="002B0B0E">
        <w:rPr>
          <w:lang w:eastAsia="en-US"/>
        </w:rPr>
        <w:t>/</w:t>
      </w:r>
      <w:r w:rsidRPr="001F2B6A">
        <w:rPr>
          <w:lang w:eastAsia="en-US"/>
        </w:rPr>
        <w:t>furans could be formed from HFCs</w:t>
      </w:r>
      <w:r w:rsidR="00CA7520">
        <w:rPr>
          <w:lang w:eastAsia="en-US"/>
        </w:rPr>
        <w:t>, and indeed other ODS-</w:t>
      </w:r>
      <w:r w:rsidRPr="001F2B6A">
        <w:rPr>
          <w:lang w:eastAsia="en-US"/>
        </w:rPr>
        <w:t>containing fluorine. In addition, applying the same performance parameter, as used for chlorinated and brominated species, requires some knowledge of the relative toxicity of fluorinated dioxins</w:t>
      </w:r>
      <w:r w:rsidR="002B0B0E">
        <w:rPr>
          <w:lang w:eastAsia="en-US"/>
        </w:rPr>
        <w:t>/</w:t>
      </w:r>
      <w:r w:rsidRPr="001F2B6A">
        <w:rPr>
          <w:lang w:eastAsia="en-US"/>
        </w:rPr>
        <w:t xml:space="preserve">furans. </w:t>
      </w:r>
    </w:p>
    <w:p w14:paraId="2C5F8FE3" w14:textId="77777777" w:rsidR="00C13777" w:rsidRDefault="00486355" w:rsidP="00C13777">
      <w:r w:rsidRPr="00F15DB8">
        <w:t>A published study</w:t>
      </w:r>
      <w:bookmarkStart w:id="33" w:name="_Ref504829211"/>
      <w:r>
        <w:rPr>
          <w:rStyle w:val="FootnoteReference"/>
        </w:rPr>
        <w:footnoteReference w:id="19"/>
      </w:r>
      <w:bookmarkEnd w:id="33"/>
      <w:r w:rsidRPr="00F15DB8">
        <w:t xml:space="preserve"> has shown that it is much more difficult to form fluorinated dioxins, under conditions where chlorinated dioxins are formed. No fluorinated dioxins were detected in municipal fly ash, and no fluorinated dioxins were detected if fluoride was added to the fly ash followed by heat treatment</w:t>
      </w:r>
      <w:r w:rsidR="00CA7520">
        <w:t xml:space="preserve">. </w:t>
      </w:r>
      <w:r w:rsidRPr="001F2B6A">
        <w:t xml:space="preserve">Under similar conditions, with addition of chloride, </w:t>
      </w:r>
      <w:r w:rsidR="00974994">
        <w:t>chlorinated dioxins</w:t>
      </w:r>
      <w:r w:rsidR="002B0B0E">
        <w:t>/</w:t>
      </w:r>
      <w:r w:rsidR="00974994">
        <w:t>furans</w:t>
      </w:r>
      <w:r w:rsidRPr="001F2B6A">
        <w:t xml:space="preserve"> were detected.</w:t>
      </w:r>
      <w:r>
        <w:t xml:space="preserve"> </w:t>
      </w:r>
      <w:r w:rsidRPr="00F15DB8">
        <w:t>No fluorinated dioxins were detected from CFC</w:t>
      </w:r>
      <w:r>
        <w:t>-</w:t>
      </w:r>
      <w:r w:rsidRPr="00F15DB8">
        <w:t xml:space="preserve">11 or </w:t>
      </w:r>
      <w:r w:rsidR="00BF3B2B">
        <w:t>polytetrafluoroethylene (</w:t>
      </w:r>
      <w:r w:rsidRPr="00F15DB8">
        <w:t>PTFE</w:t>
      </w:r>
      <w:r w:rsidR="00BF3B2B">
        <w:t>)</w:t>
      </w:r>
      <w:r w:rsidRPr="00F15DB8">
        <w:t xml:space="preserve"> at temperatures in the range of 550-750</w:t>
      </w:r>
      <w:r w:rsidR="00BD5B4A">
        <w:t>º</w:t>
      </w:r>
      <w:r w:rsidRPr="00F15DB8">
        <w:t xml:space="preserve">C. </w:t>
      </w:r>
      <w:r>
        <w:t>Therefore, t</w:t>
      </w:r>
      <w:r w:rsidRPr="00F15DB8">
        <w:t>he techniques that are successfully employed to minimize the formation of chlorinated dioxins should similarly apply to any possible fluorine analogues, particularly as it has been shown to be much more difficult to form fluorinated dioxins, under conditions where chlorinated dioxins are formed.</w:t>
      </w:r>
    </w:p>
    <w:p w14:paraId="53D066BE" w14:textId="537AE2E7" w:rsidR="00486355" w:rsidRPr="00C13777" w:rsidRDefault="00486355" w:rsidP="00C13777">
      <w:r w:rsidRPr="00F15DB8">
        <w:rPr>
          <w:lang w:val="en-US"/>
        </w:rPr>
        <w:t xml:space="preserve">There are </w:t>
      </w:r>
      <w:r>
        <w:rPr>
          <w:lang w:val="en-US"/>
        </w:rPr>
        <w:t>several</w:t>
      </w:r>
      <w:r w:rsidRPr="00F15DB8">
        <w:rPr>
          <w:lang w:val="en-US"/>
        </w:rPr>
        <w:t xml:space="preserve"> papers</w:t>
      </w:r>
      <w:r>
        <w:rPr>
          <w:rStyle w:val="FootnoteReference"/>
        </w:rPr>
        <w:footnoteReference w:id="20"/>
      </w:r>
      <w:r>
        <w:rPr>
          <w:vertAlign w:val="superscript"/>
        </w:rPr>
        <w:t>,</w:t>
      </w:r>
      <w:r>
        <w:rPr>
          <w:rStyle w:val="FootnoteReference"/>
        </w:rPr>
        <w:footnoteReference w:id="21"/>
      </w:r>
      <w:r>
        <w:rPr>
          <w:vertAlign w:val="superscript"/>
        </w:rPr>
        <w:t>,</w:t>
      </w:r>
      <w:r>
        <w:rPr>
          <w:rStyle w:val="FootnoteReference"/>
        </w:rPr>
        <w:footnoteReference w:id="22"/>
      </w:r>
      <w:r>
        <w:rPr>
          <w:vertAlign w:val="superscript"/>
        </w:rPr>
        <w:t>,</w:t>
      </w:r>
      <w:r>
        <w:rPr>
          <w:rStyle w:val="FootnoteReference"/>
        </w:rPr>
        <w:footnoteReference w:id="23"/>
      </w:r>
      <w:r>
        <w:rPr>
          <w:lang w:val="en-US"/>
        </w:rPr>
        <w:t xml:space="preserve"> </w:t>
      </w:r>
      <w:r w:rsidRPr="00F15DB8">
        <w:rPr>
          <w:lang w:val="en-US"/>
        </w:rPr>
        <w:t xml:space="preserve">that show that 2,3,7,8-TFDD </w:t>
      </w:r>
      <w:r w:rsidRPr="00F15DB8">
        <w:t xml:space="preserve">(a fluorinated dioxin) </w:t>
      </w:r>
      <w:r w:rsidRPr="00F15DB8">
        <w:rPr>
          <w:lang w:val="en-US"/>
        </w:rPr>
        <w:t xml:space="preserve">has dioxin-like activity. However, it appears to be metabolized and excreted much faster than its </w:t>
      </w:r>
      <w:r w:rsidRPr="00F15DB8">
        <w:rPr>
          <w:lang w:val="en-US"/>
        </w:rPr>
        <w:lastRenderedPageBreak/>
        <w:t xml:space="preserve">chlorinated analogue, which suggests that the overall severity of any toxic effect </w:t>
      </w:r>
      <w:r w:rsidR="00CA7520">
        <w:rPr>
          <w:lang w:val="en-US"/>
        </w:rPr>
        <w:t>may</w:t>
      </w:r>
      <w:r w:rsidRPr="00F15DB8">
        <w:rPr>
          <w:lang w:val="en-US"/>
        </w:rPr>
        <w:t xml:space="preserve"> be much less. </w:t>
      </w:r>
      <w:r w:rsidRPr="00F15DB8">
        <w:t xml:space="preserve">It may be concluded that </w:t>
      </w:r>
      <w:r w:rsidRPr="00F15DB8">
        <w:rPr>
          <w:lang w:val="en-US"/>
        </w:rPr>
        <w:t xml:space="preserve">setting the same </w:t>
      </w:r>
      <w:r w:rsidRPr="00F15DB8">
        <w:t xml:space="preserve">emission performance </w:t>
      </w:r>
      <w:r w:rsidR="00CA7520">
        <w:t xml:space="preserve">criteria </w:t>
      </w:r>
      <w:r w:rsidRPr="00F15DB8">
        <w:t xml:space="preserve">for 2,3,7,8-TFDD and the other fluorinated </w:t>
      </w:r>
      <w:proofErr w:type="spellStart"/>
      <w:r w:rsidRPr="00F15DB8">
        <w:t>dibenzodioxins</w:t>
      </w:r>
      <w:proofErr w:type="spellEnd"/>
      <w:r w:rsidRPr="00F15DB8">
        <w:t xml:space="preserve"> and </w:t>
      </w:r>
      <w:proofErr w:type="spellStart"/>
      <w:r w:rsidRPr="00F15DB8">
        <w:t>dibenzofurans</w:t>
      </w:r>
      <w:proofErr w:type="spellEnd"/>
      <w:r w:rsidR="00BD5B4A">
        <w:t>,</w:t>
      </w:r>
      <w:r w:rsidRPr="00F15DB8">
        <w:t xml:space="preserve"> </w:t>
      </w:r>
      <w:r w:rsidRPr="00F15DB8">
        <w:rPr>
          <w:lang w:val="en-US"/>
        </w:rPr>
        <w:t xml:space="preserve">as </w:t>
      </w:r>
      <w:r w:rsidR="00BD5B4A">
        <w:rPr>
          <w:lang w:val="en-US"/>
        </w:rPr>
        <w:t xml:space="preserve">for </w:t>
      </w:r>
      <w:r w:rsidRPr="00F15DB8">
        <w:rPr>
          <w:lang w:val="en-US"/>
        </w:rPr>
        <w:t xml:space="preserve">chlorinated and </w:t>
      </w:r>
      <w:r w:rsidR="00CA7520">
        <w:rPr>
          <w:lang w:val="en-US"/>
        </w:rPr>
        <w:t>brominated dioxins</w:t>
      </w:r>
      <w:r w:rsidR="002B0B0E">
        <w:rPr>
          <w:lang w:val="en-US"/>
        </w:rPr>
        <w:t>/</w:t>
      </w:r>
      <w:r w:rsidR="00CA7520">
        <w:rPr>
          <w:lang w:val="en-US"/>
        </w:rPr>
        <w:t>furans</w:t>
      </w:r>
      <w:r w:rsidR="00BD5B4A">
        <w:rPr>
          <w:lang w:val="en-US"/>
        </w:rPr>
        <w:t>,</w:t>
      </w:r>
      <w:r w:rsidR="00CA7520">
        <w:rPr>
          <w:lang w:val="en-US"/>
        </w:rPr>
        <w:t xml:space="preserve"> w</w:t>
      </w:r>
      <w:r w:rsidRPr="00F15DB8">
        <w:rPr>
          <w:lang w:val="en-US"/>
        </w:rPr>
        <w:t xml:space="preserve">ould be a conservative </w:t>
      </w:r>
      <w:r w:rsidR="00CA7520">
        <w:rPr>
          <w:lang w:val="en-US"/>
        </w:rPr>
        <w:t xml:space="preserve">precautionary </w:t>
      </w:r>
      <w:r w:rsidRPr="00F15DB8">
        <w:rPr>
          <w:lang w:val="en-US"/>
        </w:rPr>
        <w:t xml:space="preserve">approach. </w:t>
      </w:r>
    </w:p>
    <w:p w14:paraId="4065E437" w14:textId="4CF14EB1" w:rsidR="00CA13BF" w:rsidRPr="00DE0456" w:rsidRDefault="00CA13BF" w:rsidP="00CA13BF">
      <w:pPr>
        <w:rPr>
          <w:lang w:val="en-US" w:eastAsia="en-US"/>
        </w:rPr>
      </w:pPr>
      <w:r>
        <w:rPr>
          <w:shd w:val="clear" w:color="auto" w:fill="FFFFFF"/>
          <w:lang w:val="en-US" w:eastAsia="en-US"/>
        </w:rPr>
        <w:t xml:space="preserve">Analysis of fluorinated </w:t>
      </w:r>
      <w:r w:rsidRPr="00DE0456">
        <w:rPr>
          <w:shd w:val="clear" w:color="auto" w:fill="FFFFFF"/>
          <w:lang w:val="en-US" w:eastAsia="en-US"/>
        </w:rPr>
        <w:t>dioxins/furan</w:t>
      </w:r>
      <w:r>
        <w:rPr>
          <w:shd w:val="clear" w:color="auto" w:fill="FFFFFF"/>
          <w:lang w:val="en-US" w:eastAsia="en-US"/>
        </w:rPr>
        <w:t>s</w:t>
      </w:r>
      <w:r w:rsidRPr="00DE0456">
        <w:rPr>
          <w:shd w:val="clear" w:color="auto" w:fill="FFFFFF"/>
          <w:lang w:val="en-US" w:eastAsia="en-US"/>
        </w:rPr>
        <w:t xml:space="preserve"> </w:t>
      </w:r>
      <w:r>
        <w:rPr>
          <w:shd w:val="clear" w:color="auto" w:fill="FFFFFF"/>
          <w:lang w:val="en-US" w:eastAsia="en-US"/>
        </w:rPr>
        <w:t>would be appropriate due diligence</w:t>
      </w:r>
      <w:r w:rsidRPr="00DE0456">
        <w:rPr>
          <w:shd w:val="clear" w:color="auto" w:fill="FFFFFF"/>
          <w:lang w:val="en-US" w:eastAsia="en-US"/>
        </w:rPr>
        <w:t xml:space="preserve"> </w:t>
      </w:r>
      <w:r>
        <w:rPr>
          <w:shd w:val="clear" w:color="auto" w:fill="FFFFFF"/>
          <w:lang w:val="en-US" w:eastAsia="en-US"/>
        </w:rPr>
        <w:t xml:space="preserve">under circumstances where they may be formed </w:t>
      </w:r>
      <w:r w:rsidRPr="00DE0456">
        <w:rPr>
          <w:shd w:val="clear" w:color="auto" w:fill="FFFFFF"/>
          <w:lang w:val="en-US" w:eastAsia="en-US"/>
        </w:rPr>
        <w:t xml:space="preserve">and may be mandatory under local requirements. </w:t>
      </w:r>
    </w:p>
    <w:p w14:paraId="7D8E5CC0" w14:textId="0E791ED2" w:rsidR="00DE0456" w:rsidRDefault="00DE0456" w:rsidP="00275CBE">
      <w:pPr>
        <w:pStyle w:val="Heading3"/>
      </w:pPr>
      <w:bookmarkStart w:id="34" w:name="_Toc510531452"/>
      <w:r>
        <w:t>2.2.3</w:t>
      </w:r>
      <w:r w:rsidR="00BE2C43">
        <w:tab/>
        <w:t>Consideration of previous assessment</w:t>
      </w:r>
      <w:r w:rsidR="00FE2524">
        <w:t>s</w:t>
      </w:r>
      <w:r w:rsidR="00BE2C43">
        <w:t xml:space="preserve"> of approved ODS destruction technologies</w:t>
      </w:r>
      <w:bookmarkEnd w:id="34"/>
    </w:p>
    <w:p w14:paraId="5D149DA0" w14:textId="2B41C669" w:rsidR="002D5490" w:rsidRDefault="007C7BD6" w:rsidP="0041354E">
      <w:pPr>
        <w:rPr>
          <w:lang w:val="en-US" w:eastAsia="en-US"/>
        </w:rPr>
      </w:pPr>
      <w:r>
        <w:rPr>
          <w:shd w:val="clear" w:color="auto" w:fill="FFFFFF"/>
          <w:lang w:val="en-US" w:eastAsia="en-US"/>
        </w:rPr>
        <w:t>There are three types of destruction technologies that have been approved for ODS destruction.</w:t>
      </w:r>
      <w:r w:rsidR="00514300">
        <w:rPr>
          <w:shd w:val="clear" w:color="auto" w:fill="FFFFFF"/>
          <w:lang w:val="en-US" w:eastAsia="en-US"/>
        </w:rPr>
        <w:t xml:space="preserve"> </w:t>
      </w:r>
      <w:r w:rsidR="002D5490">
        <w:rPr>
          <w:lang w:val="en-US" w:eastAsia="en-US"/>
        </w:rPr>
        <w:t xml:space="preserve">Thermal </w:t>
      </w:r>
      <w:r w:rsidR="00A4342B">
        <w:rPr>
          <w:lang w:val="en-US" w:eastAsia="en-US"/>
        </w:rPr>
        <w:t>o</w:t>
      </w:r>
      <w:r w:rsidR="002D5490">
        <w:rPr>
          <w:lang w:val="en-US" w:eastAsia="en-US"/>
        </w:rPr>
        <w:t xml:space="preserve">xidation </w:t>
      </w:r>
      <w:r w:rsidR="00A4342B">
        <w:rPr>
          <w:lang w:val="en-US" w:eastAsia="en-US"/>
        </w:rPr>
        <w:t>(</w:t>
      </w:r>
      <w:r w:rsidR="002D5490">
        <w:rPr>
          <w:lang w:val="en-US" w:eastAsia="en-US"/>
        </w:rPr>
        <w:t xml:space="preserve">or </w:t>
      </w:r>
      <w:r w:rsidR="00A4342B">
        <w:rPr>
          <w:lang w:val="en-US" w:eastAsia="en-US"/>
        </w:rPr>
        <w:t>i</w:t>
      </w:r>
      <w:r w:rsidR="002D5490">
        <w:rPr>
          <w:lang w:val="en-US" w:eastAsia="en-US"/>
        </w:rPr>
        <w:t>ncineration</w:t>
      </w:r>
      <w:r w:rsidR="00A4342B">
        <w:rPr>
          <w:lang w:val="en-US" w:eastAsia="en-US"/>
        </w:rPr>
        <w:t>)</w:t>
      </w:r>
      <w:r w:rsidR="002D5490">
        <w:rPr>
          <w:lang w:val="en-US" w:eastAsia="en-US"/>
        </w:rPr>
        <w:t xml:space="preserve"> is the use of controlled flame combustion to destroy substances in an engineered device. </w:t>
      </w:r>
      <w:r w:rsidR="005A6F5A">
        <w:rPr>
          <w:lang w:val="en-US" w:eastAsia="en-US"/>
        </w:rPr>
        <w:t>Plasma arc destruction generally occurs</w:t>
      </w:r>
      <w:r w:rsidR="005A6F5A" w:rsidRPr="007C7560">
        <w:rPr>
          <w:lang w:val="en-US" w:eastAsia="en-US"/>
        </w:rPr>
        <w:t xml:space="preserve"> by pyrolysis in an oxygen reduced environment at significantly higher temperatures than thermal oxidation</w:t>
      </w:r>
      <w:r w:rsidR="005A6F5A">
        <w:rPr>
          <w:lang w:val="en-US" w:eastAsia="en-US"/>
        </w:rPr>
        <w:t xml:space="preserve"> and differ from each other in</w:t>
      </w:r>
      <w:r w:rsidR="005A6F5A" w:rsidRPr="007C7560">
        <w:rPr>
          <w:lang w:val="en-US" w:eastAsia="en-US"/>
        </w:rPr>
        <w:t xml:space="preserve"> the </w:t>
      </w:r>
      <w:r w:rsidR="005A6F5A">
        <w:rPr>
          <w:lang w:val="en-US" w:eastAsia="en-US"/>
        </w:rPr>
        <w:t xml:space="preserve">type of </w:t>
      </w:r>
      <w:r w:rsidR="005A6F5A" w:rsidRPr="007C7560">
        <w:rPr>
          <w:lang w:val="en-US" w:eastAsia="en-US"/>
        </w:rPr>
        <w:t xml:space="preserve">inert gases employed, the method of heat generation to </w:t>
      </w:r>
      <w:r w:rsidR="005A6F5A">
        <w:rPr>
          <w:lang w:val="en-US" w:eastAsia="en-US"/>
        </w:rPr>
        <w:t>create</w:t>
      </w:r>
      <w:r w:rsidR="005A6F5A" w:rsidRPr="007C7560">
        <w:rPr>
          <w:lang w:val="en-US" w:eastAsia="en-US"/>
        </w:rPr>
        <w:t xml:space="preserve"> the plasma, and </w:t>
      </w:r>
      <w:r w:rsidR="005A6F5A">
        <w:rPr>
          <w:lang w:val="en-US" w:eastAsia="en-US"/>
        </w:rPr>
        <w:t xml:space="preserve">the </w:t>
      </w:r>
      <w:r w:rsidR="005A6F5A" w:rsidRPr="007C7560">
        <w:rPr>
          <w:lang w:val="en-US" w:eastAsia="en-US"/>
        </w:rPr>
        <w:t>plasma torch/process containment vessel design.</w:t>
      </w:r>
      <w:r w:rsidR="005A6F5A">
        <w:rPr>
          <w:lang w:val="en-US" w:eastAsia="en-US"/>
        </w:rPr>
        <w:t xml:space="preserve"> </w:t>
      </w:r>
      <w:r w:rsidR="00CA6026">
        <w:rPr>
          <w:lang w:val="en-US" w:eastAsia="en-US"/>
        </w:rPr>
        <w:t>Conversion (or n</w:t>
      </w:r>
      <w:r w:rsidR="005A6F5A">
        <w:rPr>
          <w:lang w:val="en-US" w:eastAsia="en-US"/>
        </w:rPr>
        <w:t>on-incineration</w:t>
      </w:r>
      <w:r w:rsidR="00CA6026">
        <w:rPr>
          <w:lang w:val="en-US" w:eastAsia="en-US"/>
        </w:rPr>
        <w:t>)</w:t>
      </w:r>
      <w:r w:rsidR="005A6F5A">
        <w:rPr>
          <w:lang w:val="en-US" w:eastAsia="en-US"/>
        </w:rPr>
        <w:t xml:space="preserve"> technologies are those that primarily rely on chemical transformation to destroy substances.</w:t>
      </w:r>
    </w:p>
    <w:p w14:paraId="5B43FA0B" w14:textId="27BE1C08" w:rsidR="00DE0456" w:rsidRPr="00DE0456" w:rsidRDefault="00DE0456" w:rsidP="0041354E">
      <w:pPr>
        <w:rPr>
          <w:lang w:val="en-US" w:eastAsia="en-US"/>
        </w:rPr>
      </w:pPr>
      <w:r w:rsidRPr="00DE0456">
        <w:rPr>
          <w:shd w:val="clear" w:color="auto" w:fill="FFFFFF"/>
          <w:lang w:val="en-US" w:eastAsia="en-US"/>
        </w:rPr>
        <w:t xml:space="preserve">The 2018 TFDT has used the following requirements to </w:t>
      </w:r>
      <w:r w:rsidR="00823AC8">
        <w:rPr>
          <w:shd w:val="clear" w:color="auto" w:fill="FFFFFF"/>
          <w:lang w:val="en-US" w:eastAsia="en-US"/>
        </w:rPr>
        <w:t>assess</w:t>
      </w:r>
      <w:r w:rsidR="00823AC8" w:rsidRPr="00DE0456">
        <w:rPr>
          <w:shd w:val="clear" w:color="auto" w:fill="FFFFFF"/>
          <w:lang w:val="en-US" w:eastAsia="en-US"/>
        </w:rPr>
        <w:t xml:space="preserve"> </w:t>
      </w:r>
      <w:r w:rsidRPr="00DE0456">
        <w:rPr>
          <w:shd w:val="clear" w:color="auto" w:fill="FFFFFF"/>
          <w:lang w:val="en-US" w:eastAsia="en-US"/>
        </w:rPr>
        <w:t>a technology</w:t>
      </w:r>
      <w:r w:rsidR="0041354E">
        <w:rPr>
          <w:shd w:val="clear" w:color="auto" w:fill="FFFFFF"/>
          <w:lang w:val="en-US" w:eastAsia="en-US"/>
        </w:rPr>
        <w:t xml:space="preserve"> </w:t>
      </w:r>
      <w:r w:rsidR="00823AC8">
        <w:rPr>
          <w:shd w:val="clear" w:color="auto" w:fill="FFFFFF"/>
          <w:lang w:val="en-US" w:eastAsia="en-US"/>
        </w:rPr>
        <w:t>that was</w:t>
      </w:r>
      <w:r w:rsidR="00823AC8" w:rsidRPr="00DE0456">
        <w:rPr>
          <w:shd w:val="clear" w:color="auto" w:fill="FFFFFF"/>
          <w:lang w:val="en-US" w:eastAsia="en-US"/>
        </w:rPr>
        <w:t xml:space="preserve"> </w:t>
      </w:r>
      <w:r w:rsidR="00823AC8">
        <w:rPr>
          <w:shd w:val="clear" w:color="auto" w:fill="FFFFFF"/>
          <w:lang w:val="en-US" w:eastAsia="en-US"/>
        </w:rPr>
        <w:t xml:space="preserve">previously approved </w:t>
      </w:r>
      <w:r w:rsidR="00823AC8" w:rsidRPr="00DE0456">
        <w:rPr>
          <w:shd w:val="clear" w:color="auto" w:fill="FFFFFF"/>
          <w:lang w:val="en-US" w:eastAsia="en-US"/>
        </w:rPr>
        <w:t xml:space="preserve">for </w:t>
      </w:r>
      <w:r w:rsidR="00823AC8">
        <w:rPr>
          <w:shd w:val="clear" w:color="auto" w:fill="FFFFFF"/>
          <w:lang w:val="en-US" w:eastAsia="en-US"/>
        </w:rPr>
        <w:t xml:space="preserve">ODS </w:t>
      </w:r>
      <w:r w:rsidR="00B53E27">
        <w:rPr>
          <w:shd w:val="clear" w:color="auto" w:fill="FFFFFF"/>
          <w:lang w:val="en-US" w:eastAsia="en-US"/>
        </w:rPr>
        <w:t xml:space="preserve">for its applicability </w:t>
      </w:r>
      <w:r w:rsidR="00F93039">
        <w:rPr>
          <w:shd w:val="clear" w:color="auto" w:fill="FFFFFF"/>
          <w:lang w:val="en-US" w:eastAsia="en-US"/>
        </w:rPr>
        <w:t>to</w:t>
      </w:r>
      <w:r w:rsidR="00B53E27">
        <w:rPr>
          <w:shd w:val="clear" w:color="auto" w:fill="FFFFFF"/>
          <w:lang w:val="en-US" w:eastAsia="en-US"/>
        </w:rPr>
        <w:t xml:space="preserve"> </w:t>
      </w:r>
      <w:r w:rsidR="00B53E27" w:rsidRPr="00DE0456">
        <w:rPr>
          <w:shd w:val="clear" w:color="auto" w:fill="FFFFFF"/>
          <w:lang w:val="en-US" w:eastAsia="en-US"/>
        </w:rPr>
        <w:t>HFCs destruction</w:t>
      </w:r>
      <w:r w:rsidR="0041354E">
        <w:rPr>
          <w:shd w:val="clear" w:color="auto" w:fill="FFFFFF"/>
          <w:lang w:val="en-US" w:eastAsia="en-US"/>
        </w:rPr>
        <w:t>.</w:t>
      </w:r>
      <w:r w:rsidR="00DA326A" w:rsidRPr="00DA326A">
        <w:rPr>
          <w:shd w:val="clear" w:color="auto" w:fill="FFFFFF"/>
          <w:lang w:val="en-US" w:eastAsia="en-US"/>
        </w:rPr>
        <w:t xml:space="preserve"> </w:t>
      </w:r>
    </w:p>
    <w:p w14:paraId="0075567D" w14:textId="1134029D" w:rsidR="00DA326A" w:rsidRPr="00DE0456" w:rsidRDefault="00DA326A" w:rsidP="00A549E8">
      <w:pPr>
        <w:pStyle w:val="ListParagraph"/>
        <w:rPr>
          <w:lang w:eastAsia="en-US"/>
        </w:rPr>
      </w:pPr>
      <w:r>
        <w:rPr>
          <w:shd w:val="clear" w:color="auto" w:fill="FFFFFF"/>
          <w:lang w:eastAsia="en-US"/>
        </w:rPr>
        <w:t>T</w:t>
      </w:r>
      <w:r w:rsidR="00DE0456" w:rsidRPr="000D5CF7">
        <w:rPr>
          <w:shd w:val="clear" w:color="auto" w:fill="FFFFFF"/>
          <w:lang w:eastAsia="en-US"/>
        </w:rPr>
        <w:t xml:space="preserve">he DRE must </w:t>
      </w:r>
      <w:r w:rsidR="0041354E" w:rsidRPr="000D5CF7">
        <w:rPr>
          <w:shd w:val="clear" w:color="auto" w:fill="FFFFFF"/>
          <w:lang w:eastAsia="en-US"/>
        </w:rPr>
        <w:t xml:space="preserve">be </w:t>
      </w:r>
      <w:r w:rsidR="00B53E27">
        <w:rPr>
          <w:shd w:val="clear" w:color="auto" w:fill="FFFFFF"/>
          <w:lang w:eastAsia="en-US"/>
        </w:rPr>
        <w:t>a minimum of</w:t>
      </w:r>
      <w:r w:rsidR="00DE0456" w:rsidRPr="000D5CF7">
        <w:rPr>
          <w:shd w:val="clear" w:color="auto" w:fill="FFFFFF"/>
          <w:lang w:eastAsia="en-US"/>
        </w:rPr>
        <w:t xml:space="preserve"> 99.99%</w:t>
      </w:r>
      <w:r w:rsidRPr="000D5CF7">
        <w:rPr>
          <w:shd w:val="clear" w:color="auto" w:fill="FFFFFF"/>
          <w:lang w:eastAsia="en-US"/>
        </w:rPr>
        <w:t xml:space="preserve"> for concentrated sources</w:t>
      </w:r>
      <w:r w:rsidR="00DE0456" w:rsidRPr="000D5CF7">
        <w:rPr>
          <w:shd w:val="clear" w:color="auto" w:fill="FFFFFF"/>
          <w:lang w:eastAsia="en-US"/>
        </w:rPr>
        <w:t xml:space="preserve"> or 95% for dilute sources</w:t>
      </w:r>
      <w:r w:rsidR="0041354E" w:rsidRPr="000D5CF7">
        <w:rPr>
          <w:shd w:val="clear" w:color="auto" w:fill="FFFFFF"/>
          <w:lang w:eastAsia="en-US"/>
        </w:rPr>
        <w:t xml:space="preserve">. </w:t>
      </w:r>
    </w:p>
    <w:p w14:paraId="783BA25F" w14:textId="2DDA6150" w:rsidR="00DE0456" w:rsidRPr="000D5CF7" w:rsidRDefault="00DE0456" w:rsidP="00A549E8">
      <w:pPr>
        <w:pStyle w:val="ListParagraph"/>
        <w:rPr>
          <w:lang w:eastAsia="en-US"/>
        </w:rPr>
      </w:pPr>
      <w:r w:rsidRPr="000D5CF7">
        <w:rPr>
          <w:shd w:val="clear" w:color="auto" w:fill="FFFFFF"/>
          <w:lang w:eastAsia="en-US"/>
        </w:rPr>
        <w:t xml:space="preserve">The HF emissions must be </w:t>
      </w:r>
      <w:r w:rsidR="0041354E" w:rsidRPr="000D5CF7">
        <w:rPr>
          <w:shd w:val="clear" w:color="auto" w:fill="FFFFFF"/>
          <w:lang w:eastAsia="en-US"/>
        </w:rPr>
        <w:t xml:space="preserve">demonstrated to be </w:t>
      </w:r>
      <w:r w:rsidRPr="000D5CF7">
        <w:rPr>
          <w:shd w:val="clear" w:color="auto" w:fill="FFFFFF"/>
          <w:lang w:eastAsia="en-US"/>
        </w:rPr>
        <w:t>less than 5</w:t>
      </w:r>
      <w:r w:rsidR="0041354E" w:rsidRPr="000D5CF7">
        <w:rPr>
          <w:shd w:val="clear" w:color="auto" w:fill="FFFFFF"/>
          <w:lang w:eastAsia="en-US"/>
        </w:rPr>
        <w:t xml:space="preserve"> </w:t>
      </w:r>
      <w:r w:rsidRPr="000D5CF7">
        <w:rPr>
          <w:shd w:val="clear" w:color="auto" w:fill="FFFFFF"/>
          <w:lang w:eastAsia="en-US"/>
        </w:rPr>
        <w:t>mg/Nm</w:t>
      </w:r>
      <w:r w:rsidRPr="000D5CF7">
        <w:rPr>
          <w:shd w:val="clear" w:color="auto" w:fill="FFFFFF"/>
          <w:vertAlign w:val="superscript"/>
          <w:lang w:eastAsia="en-US"/>
        </w:rPr>
        <w:t>3</w:t>
      </w:r>
      <w:r w:rsidR="0041354E" w:rsidRPr="000D5CF7">
        <w:rPr>
          <w:shd w:val="clear" w:color="auto" w:fill="FFFFFF"/>
          <w:lang w:eastAsia="en-US"/>
        </w:rPr>
        <w:t xml:space="preserve"> </w:t>
      </w:r>
      <w:r w:rsidRPr="000D5CF7">
        <w:rPr>
          <w:shd w:val="clear" w:color="auto" w:fill="FFFFFF"/>
          <w:lang w:eastAsia="en-US"/>
        </w:rPr>
        <w:t>and CO emissions less than 100</w:t>
      </w:r>
      <w:r w:rsidR="0041354E" w:rsidRPr="000D5CF7">
        <w:rPr>
          <w:shd w:val="clear" w:color="auto" w:fill="FFFFFF"/>
          <w:lang w:eastAsia="en-US"/>
        </w:rPr>
        <w:t xml:space="preserve"> </w:t>
      </w:r>
      <w:r w:rsidRPr="000D5CF7">
        <w:rPr>
          <w:shd w:val="clear" w:color="auto" w:fill="FFFFFF"/>
          <w:lang w:eastAsia="en-US"/>
        </w:rPr>
        <w:t>mg/Nm</w:t>
      </w:r>
      <w:r w:rsidRPr="000D5CF7">
        <w:rPr>
          <w:shd w:val="clear" w:color="auto" w:fill="FFFFFF"/>
          <w:vertAlign w:val="superscript"/>
          <w:lang w:eastAsia="en-US"/>
        </w:rPr>
        <w:t>3</w:t>
      </w:r>
      <w:r w:rsidR="0041354E" w:rsidRPr="000D5CF7">
        <w:rPr>
          <w:shd w:val="clear" w:color="auto" w:fill="FFFFFF"/>
          <w:vertAlign w:val="superscript"/>
          <w:lang w:eastAsia="en-US"/>
        </w:rPr>
        <w:t xml:space="preserve"> </w:t>
      </w:r>
      <w:r w:rsidR="0041354E" w:rsidRPr="000D5CF7">
        <w:rPr>
          <w:shd w:val="clear" w:color="auto" w:fill="FFFFFF"/>
          <w:lang w:eastAsia="en-US"/>
        </w:rPr>
        <w:t>for HFCs destruction.</w:t>
      </w:r>
    </w:p>
    <w:p w14:paraId="22D10CFA" w14:textId="1E0EA76A" w:rsidR="00DE0456" w:rsidRPr="00DE0456" w:rsidRDefault="0079781F" w:rsidP="0041354E">
      <w:pPr>
        <w:rPr>
          <w:lang w:val="en-US" w:eastAsia="en-US"/>
        </w:rPr>
      </w:pPr>
      <w:r>
        <w:rPr>
          <w:shd w:val="clear" w:color="auto" w:fill="FFFFFF"/>
          <w:lang w:val="en-US" w:eastAsia="en-US"/>
        </w:rPr>
        <w:t xml:space="preserve">Thermal oxidation and plasma arc </w:t>
      </w:r>
      <w:r w:rsidRPr="00DE0456">
        <w:rPr>
          <w:shd w:val="clear" w:color="auto" w:fill="FFFFFF"/>
          <w:lang w:val="en-US" w:eastAsia="en-US"/>
        </w:rPr>
        <w:t xml:space="preserve">technologies that </w:t>
      </w:r>
      <w:r>
        <w:rPr>
          <w:shd w:val="clear" w:color="auto" w:fill="FFFFFF"/>
          <w:lang w:val="en-US" w:eastAsia="en-US"/>
        </w:rPr>
        <w:t>have already met</w:t>
      </w:r>
      <w:r w:rsidRPr="00DE0456">
        <w:rPr>
          <w:shd w:val="clear" w:color="auto" w:fill="FFFFFF"/>
          <w:lang w:val="en-US" w:eastAsia="en-US"/>
        </w:rPr>
        <w:t xml:space="preserve"> th</w:t>
      </w:r>
      <w:r>
        <w:rPr>
          <w:shd w:val="clear" w:color="auto" w:fill="FFFFFF"/>
          <w:lang w:val="en-US" w:eastAsia="en-US"/>
        </w:rPr>
        <w:t>e</w:t>
      </w:r>
      <w:r w:rsidRPr="00DE0456">
        <w:rPr>
          <w:shd w:val="clear" w:color="auto" w:fill="FFFFFF"/>
          <w:lang w:val="en-US" w:eastAsia="en-US"/>
        </w:rPr>
        <w:t xml:space="preserve"> criterion for chlorinated dioxins/furans </w:t>
      </w:r>
      <w:r w:rsidR="00B53E27">
        <w:rPr>
          <w:shd w:val="clear" w:color="auto" w:fill="FFFFFF"/>
          <w:lang w:val="en-US" w:eastAsia="en-US"/>
        </w:rPr>
        <w:t>for</w:t>
      </w:r>
      <w:r w:rsidR="00B53E27" w:rsidRPr="00DE0456">
        <w:rPr>
          <w:shd w:val="clear" w:color="auto" w:fill="FFFFFF"/>
          <w:lang w:val="en-US" w:eastAsia="en-US"/>
        </w:rPr>
        <w:t xml:space="preserve"> </w:t>
      </w:r>
      <w:r w:rsidRPr="00DE0456">
        <w:rPr>
          <w:shd w:val="clear" w:color="auto" w:fill="FFFFFF"/>
          <w:lang w:val="en-US" w:eastAsia="en-US"/>
        </w:rPr>
        <w:t xml:space="preserve">ODS destruction are considered capable of meeting the </w:t>
      </w:r>
      <w:r w:rsidR="00F75613">
        <w:rPr>
          <w:shd w:val="clear" w:color="auto" w:fill="FFFFFF"/>
          <w:lang w:val="en-US" w:eastAsia="en-US"/>
        </w:rPr>
        <w:t xml:space="preserve">same </w:t>
      </w:r>
      <w:r w:rsidRPr="00DE0456">
        <w:rPr>
          <w:shd w:val="clear" w:color="auto" w:fill="FFFFFF"/>
          <w:lang w:val="en-US" w:eastAsia="en-US"/>
        </w:rPr>
        <w:t xml:space="preserve">performance criterion </w:t>
      </w:r>
      <w:r w:rsidR="00823AC8">
        <w:rPr>
          <w:shd w:val="clear" w:color="auto" w:fill="FFFFFF"/>
          <w:lang w:val="en-US" w:eastAsia="en-US"/>
        </w:rPr>
        <w:t xml:space="preserve">when used </w:t>
      </w:r>
      <w:r w:rsidRPr="00DE0456">
        <w:rPr>
          <w:shd w:val="clear" w:color="auto" w:fill="FFFFFF"/>
          <w:lang w:val="en-US" w:eastAsia="en-US"/>
        </w:rPr>
        <w:t>for HFCs</w:t>
      </w:r>
      <w:r w:rsidR="00F75613">
        <w:rPr>
          <w:shd w:val="clear" w:color="auto" w:fill="FFFFFF"/>
          <w:lang w:val="en-US" w:eastAsia="en-US"/>
        </w:rPr>
        <w:t xml:space="preserve"> destruction</w:t>
      </w:r>
      <w:r w:rsidRPr="00DE0456">
        <w:rPr>
          <w:shd w:val="clear" w:color="auto" w:fill="FFFFFF"/>
          <w:lang w:val="en-US" w:eastAsia="en-US"/>
        </w:rPr>
        <w:t>.</w:t>
      </w:r>
      <w:r>
        <w:rPr>
          <w:shd w:val="clear" w:color="auto" w:fill="FFFFFF"/>
          <w:lang w:val="en-US" w:eastAsia="en-US"/>
        </w:rPr>
        <w:t xml:space="preserve"> T</w:t>
      </w:r>
      <w:r w:rsidR="00DE0456" w:rsidRPr="00DE0456">
        <w:rPr>
          <w:shd w:val="clear" w:color="auto" w:fill="FFFFFF"/>
          <w:lang w:val="en-US" w:eastAsia="en-US"/>
        </w:rPr>
        <w:t xml:space="preserve">he available data </w:t>
      </w:r>
      <w:r>
        <w:rPr>
          <w:shd w:val="clear" w:color="auto" w:fill="FFFFFF"/>
          <w:lang w:val="en-US" w:eastAsia="en-US"/>
        </w:rPr>
        <w:t>for thermal o</w:t>
      </w:r>
      <w:r w:rsidR="00EB21A4">
        <w:rPr>
          <w:shd w:val="clear" w:color="auto" w:fill="FFFFFF"/>
          <w:lang w:val="en-US" w:eastAsia="en-US"/>
        </w:rPr>
        <w:t>x</w:t>
      </w:r>
      <w:r>
        <w:rPr>
          <w:shd w:val="clear" w:color="auto" w:fill="FFFFFF"/>
          <w:lang w:val="en-US" w:eastAsia="en-US"/>
        </w:rPr>
        <w:t xml:space="preserve">idation and plasma arc technologies </w:t>
      </w:r>
      <w:r w:rsidR="00DE0456" w:rsidRPr="00DE0456">
        <w:rPr>
          <w:shd w:val="clear" w:color="auto" w:fill="FFFFFF"/>
          <w:lang w:val="en-US" w:eastAsia="en-US"/>
        </w:rPr>
        <w:t>suggests that fluorinated dioxins/furans are much more difficult to form</w:t>
      </w:r>
      <w:r w:rsidR="00FE2524">
        <w:rPr>
          <w:shd w:val="clear" w:color="auto" w:fill="FFFFFF"/>
          <w:lang w:val="en-US" w:eastAsia="en-US"/>
        </w:rPr>
        <w:t>,</w:t>
      </w:r>
      <w:r w:rsidR="00DE0456" w:rsidRPr="00DE0456">
        <w:rPr>
          <w:shd w:val="clear" w:color="auto" w:fill="FFFFFF"/>
          <w:lang w:val="en-US" w:eastAsia="en-US"/>
        </w:rPr>
        <w:t xml:space="preserve"> and not formed under conditions where chlorinated dioxins are formed. However, </w:t>
      </w:r>
      <w:r w:rsidR="00B53E27">
        <w:rPr>
          <w:shd w:val="clear" w:color="auto" w:fill="FFFFFF"/>
          <w:lang w:val="en-US" w:eastAsia="en-US"/>
        </w:rPr>
        <w:t>since</w:t>
      </w:r>
      <w:r w:rsidR="00DE0456" w:rsidRPr="00DE0456">
        <w:rPr>
          <w:shd w:val="clear" w:color="auto" w:fill="FFFFFF"/>
          <w:lang w:val="en-US" w:eastAsia="en-US"/>
        </w:rPr>
        <w:t xml:space="preserve"> HFCs may contain ODS impurities or be part of a mixed waste, dioxins/furan</w:t>
      </w:r>
      <w:r w:rsidR="00FE2524">
        <w:rPr>
          <w:shd w:val="clear" w:color="auto" w:fill="FFFFFF"/>
          <w:lang w:val="en-US" w:eastAsia="en-US"/>
        </w:rPr>
        <w:t>s</w:t>
      </w:r>
      <w:r w:rsidR="00DE0456" w:rsidRPr="00DE0456">
        <w:rPr>
          <w:shd w:val="clear" w:color="auto" w:fill="FFFFFF"/>
          <w:lang w:val="en-US" w:eastAsia="en-US"/>
        </w:rPr>
        <w:t xml:space="preserve"> analysis </w:t>
      </w:r>
      <w:r w:rsidR="002F74D0">
        <w:rPr>
          <w:shd w:val="clear" w:color="auto" w:fill="FFFFFF"/>
          <w:lang w:val="en-US" w:eastAsia="en-US"/>
        </w:rPr>
        <w:t>would be appropriate due diligence</w:t>
      </w:r>
      <w:r w:rsidR="00DE0456" w:rsidRPr="00DE0456">
        <w:rPr>
          <w:shd w:val="clear" w:color="auto" w:fill="FFFFFF"/>
          <w:lang w:val="en-US" w:eastAsia="en-US"/>
        </w:rPr>
        <w:t xml:space="preserve">, and may be mandatory under local requirements. </w:t>
      </w:r>
    </w:p>
    <w:p w14:paraId="48EB8D0A" w14:textId="43461441" w:rsidR="00DE0456" w:rsidRPr="00DE0456" w:rsidRDefault="00DE0456" w:rsidP="0041354E">
      <w:pPr>
        <w:rPr>
          <w:lang w:val="en-US" w:eastAsia="en-US"/>
        </w:rPr>
      </w:pPr>
      <w:r w:rsidRPr="00DE0456">
        <w:rPr>
          <w:shd w:val="clear" w:color="auto" w:fill="FFFFFF"/>
          <w:lang w:val="en-US" w:eastAsia="en-US"/>
        </w:rPr>
        <w:t xml:space="preserve">For particulates (TSP), approved </w:t>
      </w:r>
      <w:r w:rsidR="00FE2524">
        <w:rPr>
          <w:shd w:val="clear" w:color="auto" w:fill="FFFFFF"/>
          <w:lang w:val="en-US" w:eastAsia="en-US"/>
        </w:rPr>
        <w:t xml:space="preserve">ODS </w:t>
      </w:r>
      <w:r w:rsidR="007C7BD6">
        <w:rPr>
          <w:shd w:val="clear" w:color="auto" w:fill="FFFFFF"/>
          <w:lang w:val="en-US" w:eastAsia="en-US"/>
        </w:rPr>
        <w:t xml:space="preserve">thermal oxidation and plasma arc </w:t>
      </w:r>
      <w:r w:rsidR="00FE2524">
        <w:rPr>
          <w:shd w:val="clear" w:color="auto" w:fill="FFFFFF"/>
          <w:lang w:val="en-US" w:eastAsia="en-US"/>
        </w:rPr>
        <w:t xml:space="preserve">destruction </w:t>
      </w:r>
      <w:r w:rsidRPr="00DE0456">
        <w:rPr>
          <w:shd w:val="clear" w:color="auto" w:fill="FFFFFF"/>
          <w:lang w:val="en-US" w:eastAsia="en-US"/>
        </w:rPr>
        <w:t xml:space="preserve">technologies are considered capable of meeting the </w:t>
      </w:r>
      <w:r w:rsidR="00FE2524">
        <w:rPr>
          <w:shd w:val="clear" w:color="auto" w:fill="FFFFFF"/>
          <w:lang w:val="en-US" w:eastAsia="en-US"/>
        </w:rPr>
        <w:t xml:space="preserve">same </w:t>
      </w:r>
      <w:r w:rsidR="00823AC8">
        <w:rPr>
          <w:shd w:val="clear" w:color="auto" w:fill="FFFFFF"/>
          <w:lang w:val="en-US" w:eastAsia="en-US"/>
        </w:rPr>
        <w:t xml:space="preserve">performance </w:t>
      </w:r>
      <w:r w:rsidR="009375EE">
        <w:rPr>
          <w:shd w:val="clear" w:color="auto" w:fill="FFFFFF"/>
          <w:lang w:val="en-US" w:eastAsia="en-US"/>
        </w:rPr>
        <w:t>criteri</w:t>
      </w:r>
      <w:r w:rsidR="00823AC8">
        <w:rPr>
          <w:shd w:val="clear" w:color="auto" w:fill="FFFFFF"/>
          <w:lang w:val="en-US" w:eastAsia="en-US"/>
        </w:rPr>
        <w:t>on</w:t>
      </w:r>
      <w:r w:rsidR="009375EE">
        <w:rPr>
          <w:shd w:val="clear" w:color="auto" w:fill="FFFFFF"/>
          <w:lang w:val="en-US" w:eastAsia="en-US"/>
        </w:rPr>
        <w:t xml:space="preserve"> when used</w:t>
      </w:r>
      <w:r w:rsidR="00FE2524">
        <w:rPr>
          <w:shd w:val="clear" w:color="auto" w:fill="FFFFFF"/>
          <w:lang w:val="en-US" w:eastAsia="en-US"/>
        </w:rPr>
        <w:t xml:space="preserve"> </w:t>
      </w:r>
      <w:r w:rsidRPr="00DE0456">
        <w:rPr>
          <w:shd w:val="clear" w:color="auto" w:fill="FFFFFF"/>
          <w:lang w:val="en-US" w:eastAsia="en-US"/>
        </w:rPr>
        <w:t>for HFC destruction. However, it is suggested that particulate analysis is carried out, and may be mandatory under local requirements</w:t>
      </w:r>
      <w:r w:rsidR="002777B2">
        <w:rPr>
          <w:shd w:val="clear" w:color="auto" w:fill="FFFFFF"/>
          <w:lang w:val="en-US" w:eastAsia="en-US"/>
        </w:rPr>
        <w:t>, as</w:t>
      </w:r>
      <w:r w:rsidR="007C7BD6">
        <w:rPr>
          <w:shd w:val="clear" w:color="auto" w:fill="FFFFFF"/>
          <w:lang w:val="en-US" w:eastAsia="en-US"/>
        </w:rPr>
        <w:t xml:space="preserve"> </w:t>
      </w:r>
      <w:r w:rsidR="002777B2">
        <w:rPr>
          <w:shd w:val="clear" w:color="auto" w:fill="FFFFFF"/>
          <w:lang w:val="en-US" w:eastAsia="en-US"/>
        </w:rPr>
        <w:t>p</w:t>
      </w:r>
      <w:r w:rsidR="007C7BD6">
        <w:rPr>
          <w:shd w:val="clear" w:color="auto" w:fill="FFFFFF"/>
          <w:lang w:val="en-US" w:eastAsia="en-US"/>
        </w:rPr>
        <w:t xml:space="preserve">articulates </w:t>
      </w:r>
      <w:r w:rsidR="002777B2">
        <w:rPr>
          <w:shd w:val="clear" w:color="auto" w:fill="FFFFFF"/>
          <w:lang w:val="en-US" w:eastAsia="en-US"/>
        </w:rPr>
        <w:t xml:space="preserve">may be </w:t>
      </w:r>
      <w:r w:rsidR="007C7BD6">
        <w:rPr>
          <w:shd w:val="clear" w:color="auto" w:fill="FFFFFF"/>
          <w:lang w:val="en-US" w:eastAsia="en-US"/>
        </w:rPr>
        <w:t xml:space="preserve">introduced by other </w:t>
      </w:r>
      <w:r w:rsidR="002777B2">
        <w:rPr>
          <w:shd w:val="clear" w:color="auto" w:fill="FFFFFF"/>
          <w:lang w:val="en-US" w:eastAsia="en-US"/>
        </w:rPr>
        <w:t xml:space="preserve">waste </w:t>
      </w:r>
      <w:r w:rsidR="007C7BD6">
        <w:rPr>
          <w:shd w:val="clear" w:color="auto" w:fill="FFFFFF"/>
          <w:lang w:val="en-US" w:eastAsia="en-US"/>
        </w:rPr>
        <w:t xml:space="preserve">streams introduced </w:t>
      </w:r>
      <w:r w:rsidR="002777B2">
        <w:rPr>
          <w:shd w:val="clear" w:color="auto" w:fill="FFFFFF"/>
          <w:lang w:val="en-US" w:eastAsia="en-US"/>
        </w:rPr>
        <w:t>co-destroyed with ODS or HFCs</w:t>
      </w:r>
      <w:r w:rsidR="007C7BD6">
        <w:rPr>
          <w:shd w:val="clear" w:color="auto" w:fill="FFFFFF"/>
          <w:lang w:val="en-US" w:eastAsia="en-US"/>
        </w:rPr>
        <w:t>.</w:t>
      </w:r>
      <w:r w:rsidR="00514300">
        <w:rPr>
          <w:shd w:val="clear" w:color="auto" w:fill="FFFFFF"/>
          <w:lang w:val="en-US" w:eastAsia="en-US"/>
        </w:rPr>
        <w:t xml:space="preserve"> </w:t>
      </w:r>
    </w:p>
    <w:p w14:paraId="0F8E97A5" w14:textId="36B08891" w:rsidR="00DE0456" w:rsidRDefault="008E495E" w:rsidP="0041354E">
      <w:pPr>
        <w:rPr>
          <w:shd w:val="clear" w:color="auto" w:fill="FFFFFF"/>
          <w:lang w:val="en-US" w:eastAsia="en-US"/>
        </w:rPr>
      </w:pPr>
      <w:r w:rsidRPr="00D227DC">
        <w:rPr>
          <w:color w:val="212121"/>
          <w:szCs w:val="22"/>
          <w:shd w:val="clear" w:color="auto" w:fill="FFFFFF"/>
        </w:rPr>
        <w:t>Incineration and plasma destruction processes operate at high temperatures linked to a rapid quench that minimise</w:t>
      </w:r>
      <w:r w:rsidR="00796ABD">
        <w:rPr>
          <w:color w:val="212121"/>
          <w:szCs w:val="22"/>
          <w:shd w:val="clear" w:color="auto" w:fill="FFFFFF"/>
        </w:rPr>
        <w:t>s</w:t>
      </w:r>
      <w:r w:rsidRPr="00D227DC">
        <w:rPr>
          <w:color w:val="212121"/>
          <w:szCs w:val="22"/>
          <w:shd w:val="clear" w:color="auto" w:fill="FFFFFF"/>
        </w:rPr>
        <w:t xml:space="preserve"> the formation of dioxins/furans.</w:t>
      </w:r>
      <w:r w:rsidR="005C454A" w:rsidRPr="007C3131">
        <w:rPr>
          <w:szCs w:val="22"/>
        </w:rPr>
        <w:t xml:space="preserve"> </w:t>
      </w:r>
      <w:r w:rsidR="005C454A" w:rsidRPr="000E4577">
        <w:rPr>
          <w:szCs w:val="22"/>
        </w:rPr>
        <w:t xml:space="preserve">Conversion (or non-incineration) </w:t>
      </w:r>
      <w:r w:rsidR="005C454A" w:rsidRPr="000E4577">
        <w:rPr>
          <w:szCs w:val="22"/>
          <w:lang w:val="en-US"/>
        </w:rPr>
        <w:t xml:space="preserve">technologies </w:t>
      </w:r>
      <w:r w:rsidR="001A0AC4" w:rsidRPr="000E4577">
        <w:rPr>
          <w:szCs w:val="22"/>
          <w:lang w:val="en-US"/>
        </w:rPr>
        <w:t xml:space="preserve">transform </w:t>
      </w:r>
      <w:r w:rsidR="005C454A" w:rsidRPr="000E4577">
        <w:rPr>
          <w:szCs w:val="22"/>
          <w:lang w:val="en-US"/>
        </w:rPr>
        <w:t>halocarbons</w:t>
      </w:r>
      <w:r w:rsidRPr="000E4577">
        <w:rPr>
          <w:szCs w:val="22"/>
          <w:lang w:val="en-US"/>
        </w:rPr>
        <w:t xml:space="preserve"> </w:t>
      </w:r>
      <w:r w:rsidR="00796ABD">
        <w:rPr>
          <w:szCs w:val="22"/>
          <w:lang w:val="en-US"/>
        </w:rPr>
        <w:t xml:space="preserve">under a range of operating conditions, often </w:t>
      </w:r>
      <w:r w:rsidRPr="000E4577">
        <w:rPr>
          <w:szCs w:val="22"/>
          <w:lang w:val="en-US"/>
        </w:rPr>
        <w:t>at lower temperature than incineration, using specific reactants to achieve the conversion of ODS</w:t>
      </w:r>
      <w:r w:rsidR="001A0AC4" w:rsidRPr="000E4577">
        <w:rPr>
          <w:szCs w:val="22"/>
          <w:lang w:val="en-US"/>
        </w:rPr>
        <w:t xml:space="preserve"> </w:t>
      </w:r>
      <w:r w:rsidR="00AD0C58">
        <w:rPr>
          <w:szCs w:val="22"/>
          <w:lang w:val="en-US"/>
        </w:rPr>
        <w:lastRenderedPageBreak/>
        <w:t>(</w:t>
      </w:r>
      <w:r w:rsidR="00796ABD">
        <w:rPr>
          <w:szCs w:val="22"/>
          <w:lang w:val="en-US"/>
        </w:rPr>
        <w:t>including</w:t>
      </w:r>
      <w:r w:rsidR="00AD0C58">
        <w:rPr>
          <w:szCs w:val="22"/>
          <w:lang w:val="en-US"/>
        </w:rPr>
        <w:t xml:space="preserve"> </w:t>
      </w:r>
      <w:r w:rsidR="00B535A0">
        <w:rPr>
          <w:szCs w:val="22"/>
          <w:lang w:val="en-US"/>
        </w:rPr>
        <w:t xml:space="preserve">conversion </w:t>
      </w:r>
      <w:r w:rsidR="005C454A" w:rsidRPr="007C3131">
        <w:rPr>
          <w:szCs w:val="22"/>
          <w:lang w:val="en-US"/>
        </w:rPr>
        <w:t>to</w:t>
      </w:r>
      <w:r w:rsidR="001A0AC4" w:rsidRPr="000E4577">
        <w:rPr>
          <w:szCs w:val="22"/>
          <w:lang w:val="en-US"/>
        </w:rPr>
        <w:t xml:space="preserve"> saleable products</w:t>
      </w:r>
      <w:r w:rsidR="00AD0C58">
        <w:rPr>
          <w:szCs w:val="22"/>
          <w:lang w:val="en-US"/>
        </w:rPr>
        <w:t xml:space="preserve"> like </w:t>
      </w:r>
      <w:r w:rsidR="005C454A" w:rsidRPr="000E4577">
        <w:rPr>
          <w:szCs w:val="22"/>
          <w:lang w:val="en-US"/>
        </w:rPr>
        <w:t xml:space="preserve">acids, </w:t>
      </w:r>
      <w:r w:rsidR="001A0AC4" w:rsidRPr="007C3131">
        <w:rPr>
          <w:szCs w:val="22"/>
          <w:lang w:val="en-US"/>
        </w:rPr>
        <w:t>vinyl monomer etc.</w:t>
      </w:r>
      <w:r w:rsidR="005C454A" w:rsidRPr="007C3131">
        <w:rPr>
          <w:szCs w:val="22"/>
          <w:lang w:val="en-US"/>
        </w:rPr>
        <w:t>)</w:t>
      </w:r>
      <w:r w:rsidR="00796ABD">
        <w:rPr>
          <w:szCs w:val="22"/>
          <w:lang w:val="en-US"/>
        </w:rPr>
        <w:t xml:space="preserve">. </w:t>
      </w:r>
      <w:r w:rsidR="00B535A0">
        <w:rPr>
          <w:szCs w:val="22"/>
          <w:lang w:val="en-US"/>
        </w:rPr>
        <w:t>Due to the unique and varied methods involved in conversions technologies</w:t>
      </w:r>
      <w:r w:rsidR="005C454A" w:rsidRPr="0000783E">
        <w:rPr>
          <w:szCs w:val="22"/>
          <w:lang w:val="en-US"/>
        </w:rPr>
        <w:t>,</w:t>
      </w:r>
      <w:r w:rsidR="0079781F" w:rsidRPr="0000783E">
        <w:rPr>
          <w:szCs w:val="22"/>
          <w:shd w:val="clear" w:color="auto" w:fill="FFFFFF"/>
          <w:lang w:val="en-US" w:eastAsia="en-US"/>
        </w:rPr>
        <w:t xml:space="preserve"> t</w:t>
      </w:r>
      <w:r w:rsidR="00DE0456" w:rsidRPr="00796ABD">
        <w:rPr>
          <w:szCs w:val="22"/>
          <w:shd w:val="clear" w:color="auto" w:fill="FFFFFF"/>
          <w:lang w:val="en-US" w:eastAsia="en-US"/>
        </w:rPr>
        <w:t>he 2018 TFDT considers it necessary</w:t>
      </w:r>
      <w:r w:rsidR="00FE2524" w:rsidRPr="00796ABD">
        <w:rPr>
          <w:szCs w:val="22"/>
          <w:shd w:val="clear" w:color="auto" w:fill="FFFFFF"/>
          <w:lang w:val="en-US" w:eastAsia="en-US"/>
        </w:rPr>
        <w:t xml:space="preserve"> that</w:t>
      </w:r>
      <w:r w:rsidR="00DE0456" w:rsidRPr="00796ABD">
        <w:rPr>
          <w:szCs w:val="22"/>
          <w:shd w:val="clear" w:color="auto" w:fill="FFFFFF"/>
          <w:lang w:val="en-US" w:eastAsia="en-US"/>
        </w:rPr>
        <w:t xml:space="preserve"> </w:t>
      </w:r>
      <w:r w:rsidR="0079781F" w:rsidRPr="00796ABD">
        <w:rPr>
          <w:szCs w:val="22"/>
          <w:shd w:val="clear" w:color="auto" w:fill="FFFFFF"/>
          <w:lang w:val="en-US" w:eastAsia="en-US"/>
        </w:rPr>
        <w:t>these</w:t>
      </w:r>
      <w:r w:rsidR="00FE2524" w:rsidRPr="00796ABD">
        <w:rPr>
          <w:szCs w:val="22"/>
          <w:shd w:val="clear" w:color="auto" w:fill="FFFFFF"/>
          <w:lang w:val="en-US" w:eastAsia="en-US"/>
        </w:rPr>
        <w:t xml:space="preserve"> technologies </w:t>
      </w:r>
      <w:r w:rsidR="00DE0456" w:rsidRPr="00796ABD">
        <w:rPr>
          <w:szCs w:val="22"/>
          <w:shd w:val="clear" w:color="auto" w:fill="FFFFFF"/>
          <w:lang w:val="en-US" w:eastAsia="en-US"/>
        </w:rPr>
        <w:t xml:space="preserve">demonstrate </w:t>
      </w:r>
      <w:r w:rsidR="00FE2524" w:rsidRPr="00796ABD">
        <w:rPr>
          <w:szCs w:val="22"/>
          <w:shd w:val="clear" w:color="auto" w:fill="FFFFFF"/>
          <w:lang w:val="en-US" w:eastAsia="en-US"/>
        </w:rPr>
        <w:t xml:space="preserve">they can meet </w:t>
      </w:r>
      <w:r w:rsidR="007C7BD6" w:rsidRPr="00796ABD">
        <w:rPr>
          <w:szCs w:val="22"/>
          <w:shd w:val="clear" w:color="auto" w:fill="FFFFFF"/>
          <w:lang w:val="en-US" w:eastAsia="en-US"/>
        </w:rPr>
        <w:t xml:space="preserve">all of the </w:t>
      </w:r>
      <w:r w:rsidR="00FE2524" w:rsidRPr="00796ABD">
        <w:rPr>
          <w:szCs w:val="22"/>
          <w:shd w:val="clear" w:color="auto" w:fill="FFFFFF"/>
          <w:lang w:val="en-US" w:eastAsia="en-US"/>
        </w:rPr>
        <w:t xml:space="preserve">emissions performance </w:t>
      </w:r>
      <w:r w:rsidR="00DE0456" w:rsidRPr="00796ABD">
        <w:rPr>
          <w:szCs w:val="22"/>
          <w:shd w:val="clear" w:color="auto" w:fill="FFFFFF"/>
          <w:lang w:val="en-US" w:eastAsia="en-US"/>
        </w:rPr>
        <w:t>criteria</w:t>
      </w:r>
      <w:r w:rsidR="00FE2524">
        <w:rPr>
          <w:shd w:val="clear" w:color="auto" w:fill="FFFFFF"/>
          <w:lang w:val="en-US" w:eastAsia="en-US"/>
        </w:rPr>
        <w:t>.</w:t>
      </w:r>
      <w:r w:rsidR="00514300">
        <w:rPr>
          <w:shd w:val="clear" w:color="auto" w:fill="FFFFFF"/>
          <w:lang w:val="en-US" w:eastAsia="en-US"/>
        </w:rPr>
        <w:t xml:space="preserve"> </w:t>
      </w:r>
    </w:p>
    <w:p w14:paraId="3985C59A" w14:textId="20D47D76" w:rsidR="0082083A" w:rsidRDefault="0082083A" w:rsidP="00275CBE">
      <w:pPr>
        <w:pStyle w:val="Heading3"/>
      </w:pPr>
      <w:bookmarkStart w:id="35" w:name="_Toc510531453"/>
      <w:r>
        <w:t>2.2.</w:t>
      </w:r>
      <w:r w:rsidR="00DE0456">
        <w:t>4</w:t>
      </w:r>
      <w:r>
        <w:tab/>
        <w:t>Destruction of mixed streams of ODS and HFCs</w:t>
      </w:r>
      <w:bookmarkEnd w:id="35"/>
    </w:p>
    <w:p w14:paraId="7199095B" w14:textId="1760A6E4" w:rsidR="00486355" w:rsidRDefault="00486355" w:rsidP="00486355">
      <w:pPr>
        <w:autoSpaceDE w:val="0"/>
        <w:autoSpaceDN w:val="0"/>
        <w:adjustRightInd w:val="0"/>
      </w:pPr>
      <w:r w:rsidRPr="0082083A">
        <w:rPr>
          <w:szCs w:val="22"/>
        </w:rPr>
        <w:t xml:space="preserve">Many </w:t>
      </w:r>
      <w:r w:rsidR="0082083A" w:rsidRPr="0082083A">
        <w:rPr>
          <w:szCs w:val="22"/>
        </w:rPr>
        <w:t>p</w:t>
      </w:r>
      <w:r w:rsidRPr="0082083A">
        <w:rPr>
          <w:szCs w:val="22"/>
        </w:rPr>
        <w:t>arties already undertake destruction of waste HFCs. Typically, these are destroyed using the same processes that are used for ODS destruction, and the processes must meet</w:t>
      </w:r>
      <w:r w:rsidR="005B41C3">
        <w:rPr>
          <w:szCs w:val="22"/>
        </w:rPr>
        <w:t xml:space="preserve"> the same</w:t>
      </w:r>
      <w:r w:rsidRPr="0082083A">
        <w:rPr>
          <w:szCs w:val="22"/>
        </w:rPr>
        <w:t xml:space="preserve"> emissions and performance regulatory requirements that also apply to ODS destruction.</w:t>
      </w:r>
      <w:r w:rsidR="0082083A" w:rsidRPr="0082083A">
        <w:rPr>
          <w:szCs w:val="22"/>
        </w:rPr>
        <w:t xml:space="preserve"> </w:t>
      </w:r>
      <w:r w:rsidRPr="0082083A">
        <w:rPr>
          <w:szCs w:val="22"/>
        </w:rPr>
        <w:t xml:space="preserve">One </w:t>
      </w:r>
      <w:r w:rsidR="0082083A" w:rsidRPr="0082083A">
        <w:rPr>
          <w:szCs w:val="22"/>
        </w:rPr>
        <w:t xml:space="preserve">technical </w:t>
      </w:r>
      <w:r w:rsidRPr="0082083A">
        <w:rPr>
          <w:szCs w:val="22"/>
        </w:rPr>
        <w:t>issue for mixed ODS and HFC</w:t>
      </w:r>
      <w:r w:rsidR="0082083A" w:rsidRPr="0082083A">
        <w:rPr>
          <w:szCs w:val="22"/>
        </w:rPr>
        <w:t>s</w:t>
      </w:r>
      <w:r w:rsidRPr="0082083A">
        <w:rPr>
          <w:szCs w:val="22"/>
        </w:rPr>
        <w:t xml:space="preserve"> stream</w:t>
      </w:r>
      <w:r w:rsidR="0082083A" w:rsidRPr="0082083A">
        <w:rPr>
          <w:szCs w:val="22"/>
        </w:rPr>
        <w:t>s</w:t>
      </w:r>
      <w:r w:rsidRPr="0082083A">
        <w:rPr>
          <w:szCs w:val="22"/>
        </w:rPr>
        <w:t xml:space="preserve"> is the presence of halons or methyl bromide</w:t>
      </w:r>
      <w:r w:rsidR="0082083A">
        <w:rPr>
          <w:szCs w:val="22"/>
        </w:rPr>
        <w:t>,</w:t>
      </w:r>
      <w:r w:rsidRPr="0082083A">
        <w:rPr>
          <w:szCs w:val="22"/>
        </w:rPr>
        <w:t xml:space="preserve"> as </w:t>
      </w:r>
      <w:r w:rsidRPr="0082083A">
        <w:rPr>
          <w:szCs w:val="22"/>
          <w:lang w:val="en-US"/>
        </w:rPr>
        <w:t>molecular bromine tends to be formed</w:t>
      </w:r>
      <w:r w:rsidR="005B41C3">
        <w:rPr>
          <w:szCs w:val="22"/>
          <w:lang w:val="en-US"/>
        </w:rPr>
        <w:t>, which</w:t>
      </w:r>
      <w:r w:rsidRPr="0082083A">
        <w:rPr>
          <w:szCs w:val="22"/>
          <w:lang w:val="en-US"/>
        </w:rPr>
        <w:t xml:space="preserve"> is very difficult to remove from the exhaust gases and the presence of bromine can significantly alter the process parameters (</w:t>
      </w:r>
      <w:r w:rsidRPr="0082083A">
        <w:rPr>
          <w:szCs w:val="22"/>
        </w:rPr>
        <w:t>HTOC 2014</w:t>
      </w:r>
      <w:r>
        <w:t xml:space="preserve"> Technical Note 5)</w:t>
      </w:r>
      <w:r w:rsidR="0082083A">
        <w:rPr>
          <w:rStyle w:val="FootnoteReference"/>
        </w:rPr>
        <w:footnoteReference w:id="24"/>
      </w:r>
      <w:r>
        <w:t>. Mixed streams already have to take into account, or screen for</w:t>
      </w:r>
      <w:r w:rsidR="0082083A">
        <w:t>,</w:t>
      </w:r>
      <w:r>
        <w:t xml:space="preserve"> the presence of other wastes</w:t>
      </w:r>
      <w:r w:rsidR="00775B99">
        <w:t>,</w:t>
      </w:r>
      <w:r>
        <w:t xml:space="preserve"> such as hydrocarbons and lubricants.</w:t>
      </w:r>
    </w:p>
    <w:p w14:paraId="68C92A49" w14:textId="71ACFB13" w:rsidR="0094262D" w:rsidRDefault="0094262D" w:rsidP="00275CBE">
      <w:pPr>
        <w:pStyle w:val="Heading2"/>
      </w:pPr>
      <w:bookmarkStart w:id="36" w:name="_Toc510531454"/>
      <w:r w:rsidRPr="004D0EC1">
        <w:t>2.</w:t>
      </w:r>
      <w:r w:rsidR="00F505B0">
        <w:t>3</w:t>
      </w:r>
      <w:r w:rsidRPr="004D0EC1">
        <w:tab/>
        <w:t>Technical capabil</w:t>
      </w:r>
      <w:r w:rsidR="00A36B8D" w:rsidRPr="004D0EC1">
        <w:t>ity</w:t>
      </w:r>
      <w:bookmarkEnd w:id="36"/>
    </w:p>
    <w:p w14:paraId="635C1908" w14:textId="1428F91F" w:rsidR="006F6E7A" w:rsidRDefault="00342157" w:rsidP="00275CBE">
      <w:pPr>
        <w:pStyle w:val="Heading3"/>
      </w:pPr>
      <w:bookmarkStart w:id="37" w:name="_Toc510531455"/>
      <w:r>
        <w:t>2.</w:t>
      </w:r>
      <w:r w:rsidR="00F505B0">
        <w:t>3</w:t>
      </w:r>
      <w:r>
        <w:t>.1</w:t>
      </w:r>
      <w:r>
        <w:tab/>
        <w:t xml:space="preserve">Technical </w:t>
      </w:r>
      <w:r w:rsidR="00A36B8D">
        <w:t>capability</w:t>
      </w:r>
      <w:r>
        <w:t xml:space="preserve"> for ODS</w:t>
      </w:r>
      <w:r w:rsidR="00A36B8D">
        <w:t xml:space="preserve"> destruction</w:t>
      </w:r>
      <w:bookmarkEnd w:id="37"/>
    </w:p>
    <w:p w14:paraId="4C305CCF" w14:textId="7D87F201" w:rsidR="00440ECF" w:rsidRPr="00440ECF" w:rsidRDefault="00440ECF" w:rsidP="00440ECF">
      <w:pPr>
        <w:rPr>
          <w:lang w:eastAsia="en-US"/>
        </w:rPr>
      </w:pPr>
      <w:r w:rsidRPr="00440ECF">
        <w:rPr>
          <w:lang w:eastAsia="en-US"/>
        </w:rPr>
        <w:t xml:space="preserve">As well as </w:t>
      </w:r>
      <w:r>
        <w:rPr>
          <w:lang w:eastAsia="en-US"/>
        </w:rPr>
        <w:t>demonstrating</w:t>
      </w:r>
      <w:r w:rsidRPr="00440ECF">
        <w:rPr>
          <w:lang w:eastAsia="en-US"/>
        </w:rPr>
        <w:t xml:space="preserve"> the above performance </w:t>
      </w:r>
      <w:r>
        <w:rPr>
          <w:lang w:eastAsia="en-US"/>
        </w:rPr>
        <w:t>criteria,</w:t>
      </w:r>
      <w:r w:rsidRPr="00440ECF">
        <w:rPr>
          <w:lang w:eastAsia="en-US"/>
        </w:rPr>
        <w:t xml:space="preserve"> destruction technologies </w:t>
      </w:r>
      <w:r w:rsidR="006F6E7A">
        <w:rPr>
          <w:lang w:eastAsia="en-US"/>
        </w:rPr>
        <w:t>must also demonstrate that they are</w:t>
      </w:r>
      <w:r w:rsidRPr="00440ECF">
        <w:rPr>
          <w:lang w:eastAsia="en-US"/>
        </w:rPr>
        <w:t xml:space="preserve"> technically capable at an appropriate scale of operation. In practical terms, this means that </w:t>
      </w:r>
      <w:r w:rsidR="006F6E7A">
        <w:rPr>
          <w:lang w:eastAsia="en-US"/>
        </w:rPr>
        <w:t>a</w:t>
      </w:r>
      <w:r w:rsidRPr="00440ECF">
        <w:rPr>
          <w:lang w:eastAsia="en-US"/>
        </w:rPr>
        <w:t xml:space="preserve"> technology </w:t>
      </w:r>
      <w:r w:rsidR="009943D7">
        <w:rPr>
          <w:lang w:eastAsia="en-US"/>
        </w:rPr>
        <w:t>is</w:t>
      </w:r>
      <w:r w:rsidRPr="00440ECF">
        <w:rPr>
          <w:lang w:eastAsia="en-US"/>
        </w:rPr>
        <w:t xml:space="preserve"> demonstrated to achieve the </w:t>
      </w:r>
      <w:r w:rsidR="009943D7">
        <w:rPr>
          <w:lang w:eastAsia="en-US"/>
        </w:rPr>
        <w:t>recommended</w:t>
      </w:r>
      <w:r w:rsidRPr="00440ECF">
        <w:rPr>
          <w:lang w:eastAsia="en-US"/>
        </w:rPr>
        <w:t xml:space="preserve"> DRE while satisfying the emissions criteria </w:t>
      </w:r>
      <w:r>
        <w:rPr>
          <w:lang w:eastAsia="en-US"/>
        </w:rPr>
        <w:t>outlined</w:t>
      </w:r>
      <w:r w:rsidRPr="00440ECF">
        <w:rPr>
          <w:lang w:eastAsia="en-US"/>
        </w:rPr>
        <w:t xml:space="preserve"> above. The 2002 </w:t>
      </w:r>
      <w:bookmarkStart w:id="38" w:name="_Hlk504818833"/>
      <w:r w:rsidRPr="00440ECF">
        <w:rPr>
          <w:lang w:val="en-US" w:eastAsia="en-US"/>
        </w:rPr>
        <w:t>TFDT</w:t>
      </w:r>
      <w:bookmarkEnd w:id="38"/>
      <w:r w:rsidRPr="00440ECF">
        <w:rPr>
          <w:lang w:val="en-US" w:eastAsia="en-US"/>
        </w:rPr>
        <w:t xml:space="preserve"> </w:t>
      </w:r>
      <w:r>
        <w:rPr>
          <w:lang w:val="en-US" w:eastAsia="en-US"/>
        </w:rPr>
        <w:t>established</w:t>
      </w:r>
      <w:r w:rsidRPr="00440ECF">
        <w:rPr>
          <w:lang w:val="en-US" w:eastAsia="en-US"/>
        </w:rPr>
        <w:t xml:space="preserve"> that </w:t>
      </w:r>
      <w:r w:rsidRPr="00440ECF">
        <w:rPr>
          <w:lang w:eastAsia="en-US"/>
        </w:rPr>
        <w:t xml:space="preserve">an ODS destruction technology </w:t>
      </w:r>
      <w:r w:rsidR="009943D7">
        <w:rPr>
          <w:lang w:eastAsia="en-US"/>
        </w:rPr>
        <w:t>would be</w:t>
      </w:r>
      <w:r w:rsidRPr="00440ECF">
        <w:rPr>
          <w:lang w:eastAsia="en-US"/>
        </w:rPr>
        <w:t xml:space="preserve"> considered technically capable if it meets the following minimum criteria:</w:t>
      </w:r>
    </w:p>
    <w:p w14:paraId="271F0EC1" w14:textId="5ADF949E" w:rsidR="00440ECF" w:rsidRPr="00440ECF" w:rsidRDefault="00440ECF" w:rsidP="00440ECF">
      <w:pPr>
        <w:numPr>
          <w:ilvl w:val="0"/>
          <w:numId w:val="54"/>
        </w:numPr>
        <w:rPr>
          <w:lang w:eastAsia="en-US"/>
        </w:rPr>
      </w:pPr>
      <w:r w:rsidRPr="00440ECF">
        <w:rPr>
          <w:lang w:eastAsia="en-US"/>
        </w:rPr>
        <w:t xml:space="preserve">It has been demonstrated to have destroyed ODS to the technical performance </w:t>
      </w:r>
      <w:r w:rsidR="0008091F">
        <w:rPr>
          <w:lang w:eastAsia="en-US"/>
        </w:rPr>
        <w:t>criteria</w:t>
      </w:r>
      <w:r w:rsidRPr="00440ECF">
        <w:rPr>
          <w:lang w:eastAsia="en-US"/>
        </w:rPr>
        <w:t xml:space="preserve">, on at least a pilot </w:t>
      </w:r>
      <w:r w:rsidR="00861D1E">
        <w:rPr>
          <w:lang w:eastAsia="en-US"/>
        </w:rPr>
        <w:t xml:space="preserve">scale </w:t>
      </w:r>
      <w:r w:rsidRPr="00440ECF">
        <w:rPr>
          <w:lang w:eastAsia="en-US"/>
        </w:rPr>
        <w:t xml:space="preserve">or demonstration scale </w:t>
      </w:r>
      <w:r w:rsidR="009943D7">
        <w:rPr>
          <w:lang w:eastAsia="en-US"/>
        </w:rPr>
        <w:t>(</w:t>
      </w:r>
      <w:r w:rsidR="009943D7">
        <w:rPr>
          <w:i/>
          <w:lang w:eastAsia="en-US"/>
        </w:rPr>
        <w:t>r</w:t>
      </w:r>
      <w:r w:rsidR="009943D7" w:rsidRPr="009943D7">
        <w:rPr>
          <w:i/>
          <w:lang w:eastAsia="en-US"/>
        </w:rPr>
        <w:t>ecommended for approval</w:t>
      </w:r>
      <w:r w:rsidR="009943D7">
        <w:rPr>
          <w:lang w:eastAsia="en-US"/>
        </w:rPr>
        <w:t>); or</w:t>
      </w:r>
    </w:p>
    <w:p w14:paraId="6D85D090" w14:textId="4E556649" w:rsidR="00440ECF" w:rsidRPr="00440ECF" w:rsidRDefault="00440ECF" w:rsidP="00440ECF">
      <w:pPr>
        <w:numPr>
          <w:ilvl w:val="0"/>
          <w:numId w:val="54"/>
        </w:numPr>
        <w:rPr>
          <w:lang w:eastAsia="en-US"/>
        </w:rPr>
      </w:pPr>
      <w:r w:rsidRPr="009943D7">
        <w:rPr>
          <w:iCs/>
          <w:lang w:eastAsia="en-US"/>
        </w:rPr>
        <w:t>It has been demonstrated to have destroyed a refractory chlorinated</w:t>
      </w:r>
      <w:r w:rsidRPr="00440ECF">
        <w:rPr>
          <w:i/>
          <w:iCs/>
          <w:lang w:eastAsia="en-US"/>
        </w:rPr>
        <w:t xml:space="preserve"> </w:t>
      </w:r>
      <w:r w:rsidRPr="00440ECF">
        <w:rPr>
          <w:lang w:eastAsia="en-US"/>
        </w:rPr>
        <w:t xml:space="preserve">organic compound other than an ODS, to the technical performance </w:t>
      </w:r>
      <w:r w:rsidR="00256A43">
        <w:rPr>
          <w:lang w:eastAsia="en-US"/>
        </w:rPr>
        <w:t>criteria</w:t>
      </w:r>
      <w:r w:rsidRPr="00440ECF">
        <w:rPr>
          <w:lang w:eastAsia="en-US"/>
        </w:rPr>
        <w:t xml:space="preserve">, on at least a pilot </w:t>
      </w:r>
      <w:r w:rsidR="00861D1E">
        <w:rPr>
          <w:lang w:eastAsia="en-US"/>
        </w:rPr>
        <w:t xml:space="preserve">scale </w:t>
      </w:r>
      <w:r w:rsidRPr="00440ECF">
        <w:rPr>
          <w:lang w:eastAsia="en-US"/>
        </w:rPr>
        <w:t>or demonstration scale</w:t>
      </w:r>
      <w:r w:rsidR="009943D7">
        <w:rPr>
          <w:lang w:eastAsia="en-US"/>
        </w:rPr>
        <w:t>,</w:t>
      </w:r>
      <w:r w:rsidRPr="00440ECF">
        <w:rPr>
          <w:lang w:eastAsia="en-US"/>
        </w:rPr>
        <w:t xml:space="preserve"> which indicates that the technology is considered to have a high pot</w:t>
      </w:r>
      <w:r w:rsidR="009943D7">
        <w:rPr>
          <w:lang w:eastAsia="en-US"/>
        </w:rPr>
        <w:t>ential for application with ODS</w:t>
      </w:r>
      <w:r w:rsidRPr="00440ECF">
        <w:rPr>
          <w:lang w:eastAsia="en-US"/>
        </w:rPr>
        <w:t xml:space="preserve"> but has not actual</w:t>
      </w:r>
      <w:r w:rsidR="009943D7">
        <w:rPr>
          <w:lang w:eastAsia="en-US"/>
        </w:rPr>
        <w:t>ly been demonstrated with ODS (</w:t>
      </w:r>
      <w:r w:rsidR="009943D7">
        <w:rPr>
          <w:i/>
          <w:lang w:eastAsia="en-US"/>
        </w:rPr>
        <w:t>r</w:t>
      </w:r>
      <w:r w:rsidR="009943D7" w:rsidRPr="009943D7">
        <w:rPr>
          <w:i/>
          <w:lang w:eastAsia="en-US"/>
        </w:rPr>
        <w:t>ecommended as high potential</w:t>
      </w:r>
      <w:r w:rsidR="009943D7">
        <w:rPr>
          <w:lang w:eastAsia="en-US"/>
        </w:rPr>
        <w:t>); and</w:t>
      </w:r>
    </w:p>
    <w:p w14:paraId="419F04F8" w14:textId="77777777" w:rsidR="00440ECF" w:rsidRPr="00440ECF" w:rsidRDefault="00440ECF" w:rsidP="00440ECF">
      <w:pPr>
        <w:numPr>
          <w:ilvl w:val="0"/>
          <w:numId w:val="54"/>
        </w:numPr>
        <w:rPr>
          <w:lang w:eastAsia="en-US"/>
        </w:rPr>
      </w:pPr>
      <w:r w:rsidRPr="00440ECF">
        <w:rPr>
          <w:lang w:eastAsia="en-US"/>
        </w:rPr>
        <w:t>The processing capacity of an acceptable pilot plant or demonstration plant must be no less than 1.0 kg/hr of the substance to be destroyed, whether ODS or a suitable surrogate.</w:t>
      </w:r>
    </w:p>
    <w:p w14:paraId="1EC934CE" w14:textId="20F34CB1" w:rsidR="009943D7" w:rsidRDefault="009943D7" w:rsidP="009943D7">
      <w:pPr>
        <w:rPr>
          <w:lang w:val="en-AU" w:eastAsia="en-US"/>
        </w:rPr>
      </w:pPr>
      <w:r>
        <w:rPr>
          <w:lang w:eastAsia="en-US"/>
        </w:rPr>
        <w:t xml:space="preserve">The 2005 TEAP </w:t>
      </w:r>
      <w:r w:rsidRPr="009943D7">
        <w:rPr>
          <w:lang w:val="en-AU" w:eastAsia="en-US"/>
        </w:rPr>
        <w:t>Response to Decision XVI/15</w:t>
      </w:r>
      <w:r w:rsidR="006F6E7A">
        <w:rPr>
          <w:rStyle w:val="FootnoteReference"/>
          <w:lang w:val="en-AU" w:eastAsia="en-US"/>
        </w:rPr>
        <w:footnoteReference w:id="25"/>
      </w:r>
      <w:r>
        <w:rPr>
          <w:lang w:val="en-AU" w:eastAsia="en-US"/>
        </w:rPr>
        <w:t xml:space="preserve"> further clarified that </w:t>
      </w:r>
      <w:r w:rsidR="006F6E7A">
        <w:rPr>
          <w:lang w:val="en-AU" w:eastAsia="en-US"/>
        </w:rPr>
        <w:t>a destruction technology might have a high potential for ODS destruction when the technology was not demonstrated specifically on this category of ODS but was considered likely to be applicable based on the evidence of destruction of other substances (i.e. refractory halogenated organics) and on professional judgment.</w:t>
      </w:r>
    </w:p>
    <w:p w14:paraId="5C143E94" w14:textId="34907561" w:rsidR="00A56833" w:rsidRDefault="003A5589" w:rsidP="009943D7">
      <w:r>
        <w:lastRenderedPageBreak/>
        <w:t xml:space="preserve">The </w:t>
      </w:r>
      <w:r w:rsidR="00A56833" w:rsidRPr="00A8314E">
        <w:t>2002 TFDT Report indicated that</w:t>
      </w:r>
      <w:r w:rsidR="00A56833">
        <w:rPr>
          <w:lang w:val="en-AU"/>
        </w:rPr>
        <w:t xml:space="preserve"> </w:t>
      </w:r>
      <w:r w:rsidR="00A56833" w:rsidRPr="00A8314E">
        <w:t>the Task Force considered</w:t>
      </w:r>
      <w:r w:rsidR="00A56833">
        <w:rPr>
          <w:rFonts w:ascii="TimesNewRomanPSMT" w:hAnsi="TimesNewRomanPSMT" w:cs="TimesNewRomanPSMT"/>
          <w:color w:val="auto"/>
          <w:sz w:val="24"/>
          <w:szCs w:val="24"/>
          <w:lang w:val="en-US" w:eastAsia="en-US"/>
        </w:rPr>
        <w:t xml:space="preserve"> </w:t>
      </w:r>
      <w:r w:rsidR="00A56833" w:rsidRPr="00A8314E">
        <w:t xml:space="preserve">that it was reasonable for technologies that had been demonstrated to satisfy the criteria for one type of CFC could be recommended for the destruction of all CFCs and HCFCs, and that a technology that had been demonstrated to satisfy the criteria for one type of halon could be recommended for destruction of all halons. The </w:t>
      </w:r>
      <w:r w:rsidR="00CC2093">
        <w:t>2002 TFDT</w:t>
      </w:r>
      <w:r w:rsidR="00A56833" w:rsidRPr="00A8314E">
        <w:t xml:space="preserve"> did, however, consider it necessary that the stack</w:t>
      </w:r>
      <w:r w:rsidR="00EB21A4">
        <w:t xml:space="preserve"> </w:t>
      </w:r>
      <w:r w:rsidR="009D241E">
        <w:t xml:space="preserve">(exhaust) </w:t>
      </w:r>
      <w:r w:rsidR="00A56833" w:rsidRPr="00A8314E">
        <w:t>gases be tested for each new ODS destroyed to ensure that the DRE and emission requirements are satisfied, since some CFCs, for example, are more easily destroyed than others.</w:t>
      </w:r>
      <w:r w:rsidR="00A56833">
        <w:t xml:space="preserve"> This is relevant for thermal oxidation and plasma technologies but not </w:t>
      </w:r>
      <w:r w:rsidR="003D7476">
        <w:t xml:space="preserve">necessarily </w:t>
      </w:r>
      <w:r w:rsidR="00A56833">
        <w:t>for conversion (</w:t>
      </w:r>
      <w:r w:rsidR="008361B4">
        <w:t xml:space="preserve">or </w:t>
      </w:r>
      <w:r w:rsidR="00A56833">
        <w:t>non-incineration) technologies.</w:t>
      </w:r>
    </w:p>
    <w:p w14:paraId="796D4EE3" w14:textId="6D619457" w:rsidR="005D2761" w:rsidRDefault="005D2761" w:rsidP="009943D7">
      <w:pPr>
        <w:rPr>
          <w:lang w:eastAsia="en-US"/>
        </w:rPr>
      </w:pPr>
      <w:r>
        <w:rPr>
          <w:lang w:eastAsia="en-US"/>
        </w:rPr>
        <w:t xml:space="preserve">Finally, </w:t>
      </w:r>
      <w:r w:rsidR="00D1669E">
        <w:rPr>
          <w:lang w:eastAsia="en-US"/>
        </w:rPr>
        <w:t>t</w:t>
      </w:r>
      <w:r w:rsidRPr="00440ECF">
        <w:rPr>
          <w:lang w:eastAsia="en-US"/>
        </w:rPr>
        <w:t xml:space="preserve">he 2011 </w:t>
      </w:r>
      <w:r>
        <w:rPr>
          <w:lang w:eastAsia="en-US"/>
        </w:rPr>
        <w:t>TFDT</w:t>
      </w:r>
      <w:r w:rsidRPr="00440ECF">
        <w:rPr>
          <w:lang w:eastAsia="en-US"/>
        </w:rPr>
        <w:t xml:space="preserve"> </w:t>
      </w:r>
      <w:r>
        <w:rPr>
          <w:lang w:eastAsia="en-US"/>
        </w:rPr>
        <w:t xml:space="preserve">also </w:t>
      </w:r>
      <w:r w:rsidRPr="00440ECF">
        <w:rPr>
          <w:lang w:eastAsia="en-US"/>
        </w:rPr>
        <w:t xml:space="preserve">reviewed </w:t>
      </w:r>
      <w:r w:rsidR="009D241E">
        <w:rPr>
          <w:lang w:eastAsia="en-US"/>
        </w:rPr>
        <w:t xml:space="preserve">a </w:t>
      </w:r>
      <w:r w:rsidRPr="00440ECF">
        <w:rPr>
          <w:lang w:eastAsia="en-US"/>
        </w:rPr>
        <w:t xml:space="preserve">small scale portable plasma destruction </w:t>
      </w:r>
      <w:r w:rsidR="009D241E">
        <w:rPr>
          <w:lang w:eastAsia="en-US"/>
        </w:rPr>
        <w:t>packaged unit</w:t>
      </w:r>
      <w:r w:rsidRPr="00440ECF">
        <w:rPr>
          <w:lang w:eastAsia="en-US"/>
        </w:rPr>
        <w:t xml:space="preserve">, which can have a capacity as low as 1 kg/hour for some ODS (e.g. CFC-12). Even though this is equivalent to the minimum feed rate defined by the </w:t>
      </w:r>
      <w:r>
        <w:rPr>
          <w:lang w:eastAsia="en-US"/>
        </w:rPr>
        <w:t xml:space="preserve">2002 </w:t>
      </w:r>
      <w:r w:rsidRPr="00440ECF">
        <w:rPr>
          <w:lang w:eastAsia="en-US"/>
        </w:rPr>
        <w:t>TFDT as a ‘screen in’ criterion, the portable unit is designed to be at an appropriate commercial sca</w:t>
      </w:r>
      <w:r>
        <w:rPr>
          <w:lang w:eastAsia="en-US"/>
        </w:rPr>
        <w:t>le for its intended application</w:t>
      </w:r>
      <w:r w:rsidRPr="00440ECF">
        <w:rPr>
          <w:lang w:eastAsia="en-US"/>
        </w:rPr>
        <w:t xml:space="preserve"> and has similar </w:t>
      </w:r>
      <w:r w:rsidR="009D241E">
        <w:rPr>
          <w:lang w:eastAsia="en-US"/>
        </w:rPr>
        <w:t xml:space="preserve">process </w:t>
      </w:r>
      <w:r w:rsidRPr="00440ECF">
        <w:rPr>
          <w:lang w:eastAsia="en-US"/>
        </w:rPr>
        <w:t>chara</w:t>
      </w:r>
      <w:r w:rsidR="00D1669E">
        <w:rPr>
          <w:lang w:eastAsia="en-US"/>
        </w:rPr>
        <w:t>cteristics to larger scale nitrogen</w:t>
      </w:r>
      <w:r w:rsidRPr="00440ECF">
        <w:rPr>
          <w:lang w:eastAsia="en-US"/>
        </w:rPr>
        <w:t xml:space="preserve"> plasma arc destruction units. A detailed discussion on throughput capability is conta</w:t>
      </w:r>
      <w:r>
        <w:rPr>
          <w:lang w:eastAsia="en-US"/>
        </w:rPr>
        <w:t>ined in Appendix B of the r</w:t>
      </w:r>
      <w:r w:rsidRPr="00440ECF">
        <w:rPr>
          <w:lang w:eastAsia="en-US"/>
        </w:rPr>
        <w:t xml:space="preserve">eport of the </w:t>
      </w:r>
      <w:r>
        <w:rPr>
          <w:lang w:val="en-US" w:eastAsia="en-US"/>
        </w:rPr>
        <w:t>2002 TFDT</w:t>
      </w:r>
      <w:r>
        <w:rPr>
          <w:rStyle w:val="FootnoteReference"/>
          <w:lang w:val="en-US" w:eastAsia="en-US"/>
        </w:rPr>
        <w:footnoteReference w:id="26"/>
      </w:r>
      <w:r w:rsidRPr="00440ECF">
        <w:rPr>
          <w:lang w:val="en-US" w:eastAsia="en-US"/>
        </w:rPr>
        <w:t>.</w:t>
      </w:r>
    </w:p>
    <w:p w14:paraId="0D88AC86" w14:textId="7E7BE27E" w:rsidR="00440ECF" w:rsidRPr="00440ECF" w:rsidRDefault="006F6E7A" w:rsidP="00275CBE">
      <w:pPr>
        <w:pStyle w:val="Heading3"/>
      </w:pPr>
      <w:bookmarkStart w:id="39" w:name="_Toc510531456"/>
      <w:r>
        <w:t>2.</w:t>
      </w:r>
      <w:r w:rsidR="00F505B0">
        <w:t>3</w:t>
      </w:r>
      <w:r>
        <w:t>.2</w:t>
      </w:r>
      <w:r>
        <w:tab/>
      </w:r>
      <w:r w:rsidR="00A36B8D">
        <w:t>Technical capability for HFC destruction</w:t>
      </w:r>
      <w:bookmarkEnd w:id="39"/>
    </w:p>
    <w:p w14:paraId="32495DEC" w14:textId="3B93C63E" w:rsidR="00440ECF" w:rsidRPr="00440ECF" w:rsidRDefault="00440ECF" w:rsidP="00440ECF">
      <w:pPr>
        <w:rPr>
          <w:i/>
          <w:lang w:eastAsia="en-US"/>
        </w:rPr>
      </w:pPr>
      <w:r w:rsidRPr="00440ECF">
        <w:rPr>
          <w:lang w:eastAsia="en-US"/>
        </w:rPr>
        <w:t xml:space="preserve">A similar approach </w:t>
      </w:r>
      <w:r w:rsidR="00342157">
        <w:rPr>
          <w:lang w:eastAsia="en-US"/>
        </w:rPr>
        <w:t>has been</w:t>
      </w:r>
      <w:r w:rsidRPr="00440ECF">
        <w:rPr>
          <w:lang w:eastAsia="en-US"/>
        </w:rPr>
        <w:t xml:space="preserve"> applied </w:t>
      </w:r>
      <w:r w:rsidR="00342157">
        <w:rPr>
          <w:lang w:eastAsia="en-US"/>
        </w:rPr>
        <w:t>by the 2018 TFDT to the assessment of approved destruction technologies for</w:t>
      </w:r>
      <w:r w:rsidRPr="00440ECF">
        <w:rPr>
          <w:lang w:eastAsia="en-US"/>
        </w:rPr>
        <w:t xml:space="preserve"> </w:t>
      </w:r>
      <w:r w:rsidRPr="00342157">
        <w:rPr>
          <w:lang w:eastAsia="en-US"/>
        </w:rPr>
        <w:t>confirming their applicability and potential applicability to HFC</w:t>
      </w:r>
      <w:r w:rsidR="00851F74">
        <w:rPr>
          <w:lang w:eastAsia="en-US"/>
        </w:rPr>
        <w:t>s.</w:t>
      </w:r>
      <w:r w:rsidRPr="00440ECF">
        <w:rPr>
          <w:i/>
          <w:lang w:eastAsia="en-US"/>
        </w:rPr>
        <w:t xml:space="preserve"> </w:t>
      </w:r>
    </w:p>
    <w:p w14:paraId="43A507EB" w14:textId="322BD620" w:rsidR="00440ECF" w:rsidRDefault="00440ECF" w:rsidP="00440ECF">
      <w:pPr>
        <w:numPr>
          <w:ilvl w:val="0"/>
          <w:numId w:val="55"/>
        </w:numPr>
        <w:rPr>
          <w:lang w:eastAsia="en-US"/>
        </w:rPr>
      </w:pPr>
      <w:r w:rsidRPr="00440ECF">
        <w:rPr>
          <w:lang w:eastAsia="en-US"/>
        </w:rPr>
        <w:t xml:space="preserve">It is an approved </w:t>
      </w:r>
      <w:r w:rsidR="00023EF6">
        <w:rPr>
          <w:lang w:eastAsia="en-US"/>
        </w:rPr>
        <w:t xml:space="preserve">thermal oxidation or plasma arc </w:t>
      </w:r>
      <w:r w:rsidRPr="00440ECF">
        <w:rPr>
          <w:lang w:eastAsia="en-US"/>
        </w:rPr>
        <w:t>destruction</w:t>
      </w:r>
      <w:r w:rsidR="00B41DA0">
        <w:rPr>
          <w:lang w:eastAsia="en-US"/>
        </w:rPr>
        <w:t xml:space="preserve"> technology</w:t>
      </w:r>
      <w:r w:rsidRPr="00440ECF">
        <w:rPr>
          <w:lang w:eastAsia="en-US"/>
        </w:rPr>
        <w:t xml:space="preserve"> </w:t>
      </w:r>
      <w:r w:rsidR="00874B1D">
        <w:rPr>
          <w:lang w:eastAsia="en-US"/>
        </w:rPr>
        <w:t>for ODS</w:t>
      </w:r>
      <w:r w:rsidR="003952DF">
        <w:rPr>
          <w:lang w:eastAsia="en-US"/>
        </w:rPr>
        <w:t>,</w:t>
      </w:r>
      <w:r w:rsidR="00874B1D">
        <w:rPr>
          <w:lang w:eastAsia="en-US"/>
        </w:rPr>
        <w:t xml:space="preserve"> </w:t>
      </w:r>
      <w:r w:rsidR="003952DF">
        <w:rPr>
          <w:lang w:eastAsia="en-US"/>
        </w:rPr>
        <w:t>which has demonstrated that it meets the particulate</w:t>
      </w:r>
      <w:r w:rsidR="00023EF6">
        <w:rPr>
          <w:lang w:eastAsia="en-US"/>
        </w:rPr>
        <w:t>s</w:t>
      </w:r>
      <w:r w:rsidR="003952DF">
        <w:rPr>
          <w:lang w:eastAsia="en-US"/>
        </w:rPr>
        <w:t xml:space="preserve"> and dioxins/furans emissions criteria for ODS destruction, and </w:t>
      </w:r>
      <w:r w:rsidRPr="00440ECF">
        <w:rPr>
          <w:lang w:eastAsia="en-US"/>
        </w:rPr>
        <w:t xml:space="preserve">has been demonstrated to have destroyed HFCs to the technical performance </w:t>
      </w:r>
      <w:r w:rsidR="00B41DA0">
        <w:rPr>
          <w:lang w:eastAsia="en-US"/>
        </w:rPr>
        <w:t xml:space="preserve">criteria </w:t>
      </w:r>
      <w:r w:rsidR="00FE2524">
        <w:rPr>
          <w:lang w:eastAsia="en-US"/>
        </w:rPr>
        <w:t>for DRE, HF and CO</w:t>
      </w:r>
      <w:r w:rsidRPr="00440ECF">
        <w:rPr>
          <w:lang w:eastAsia="en-US"/>
        </w:rPr>
        <w:t xml:space="preserve">, on at least a pilot </w:t>
      </w:r>
      <w:r w:rsidR="00861D1E">
        <w:rPr>
          <w:lang w:eastAsia="en-US"/>
        </w:rPr>
        <w:t xml:space="preserve">scale </w:t>
      </w:r>
      <w:r w:rsidRPr="00440ECF">
        <w:rPr>
          <w:lang w:eastAsia="en-US"/>
        </w:rPr>
        <w:t>or demonstration scale</w:t>
      </w:r>
      <w:r w:rsidR="00342157">
        <w:rPr>
          <w:lang w:eastAsia="en-US"/>
        </w:rPr>
        <w:t xml:space="preserve"> (</w:t>
      </w:r>
      <w:r w:rsidR="00342157" w:rsidRPr="00A8314E">
        <w:rPr>
          <w:i/>
          <w:lang w:eastAsia="en-US"/>
        </w:rPr>
        <w:t>recommended for approval</w:t>
      </w:r>
      <w:r w:rsidR="00342157">
        <w:rPr>
          <w:lang w:eastAsia="en-US"/>
        </w:rPr>
        <w:t>); or</w:t>
      </w:r>
    </w:p>
    <w:p w14:paraId="61D92D11" w14:textId="72E48CC3" w:rsidR="003952DF" w:rsidRPr="00440ECF" w:rsidRDefault="003952DF" w:rsidP="00440ECF">
      <w:pPr>
        <w:numPr>
          <w:ilvl w:val="0"/>
          <w:numId w:val="55"/>
        </w:numPr>
        <w:rPr>
          <w:lang w:eastAsia="en-US"/>
        </w:rPr>
      </w:pPr>
      <w:r>
        <w:rPr>
          <w:lang w:eastAsia="en-US"/>
        </w:rPr>
        <w:t>It is a</w:t>
      </w:r>
      <w:r w:rsidR="00023EF6">
        <w:rPr>
          <w:lang w:eastAsia="en-US"/>
        </w:rPr>
        <w:t>n approved</w:t>
      </w:r>
      <w:r>
        <w:rPr>
          <w:lang w:eastAsia="en-US"/>
        </w:rPr>
        <w:t xml:space="preserve"> conversion </w:t>
      </w:r>
      <w:r w:rsidR="00023EF6" w:rsidRPr="008361B4">
        <w:rPr>
          <w:lang w:eastAsia="en-US"/>
        </w:rPr>
        <w:t xml:space="preserve">(or </w:t>
      </w:r>
      <w:r w:rsidRPr="008361B4">
        <w:rPr>
          <w:lang w:eastAsia="en-US"/>
        </w:rPr>
        <w:t>non-incineration)</w:t>
      </w:r>
      <w:r>
        <w:rPr>
          <w:lang w:eastAsia="en-US"/>
        </w:rPr>
        <w:t xml:space="preserve"> technology</w:t>
      </w:r>
      <w:r w:rsidR="00023EF6">
        <w:rPr>
          <w:lang w:eastAsia="en-US"/>
        </w:rPr>
        <w:t xml:space="preserve"> for ODS, or a destruction technology specifically developed for HFCs, that has been demonstrated to have destroyed HFCs to the technical performance criteria for DRE, HF, CO, particulates,</w:t>
      </w:r>
      <w:r w:rsidR="00B673E1">
        <w:rPr>
          <w:lang w:eastAsia="en-US"/>
        </w:rPr>
        <w:t xml:space="preserve"> and</w:t>
      </w:r>
      <w:r w:rsidR="00023EF6">
        <w:rPr>
          <w:lang w:eastAsia="en-US"/>
        </w:rPr>
        <w:t xml:space="preserve"> dioxins/furans, on at least a pilot scale or demonstration scale (</w:t>
      </w:r>
      <w:r w:rsidR="00023EF6" w:rsidRPr="00023EF6">
        <w:rPr>
          <w:i/>
          <w:lang w:eastAsia="en-US"/>
        </w:rPr>
        <w:t>recommended for approval</w:t>
      </w:r>
      <w:r w:rsidR="00023EF6">
        <w:rPr>
          <w:lang w:eastAsia="en-US"/>
        </w:rPr>
        <w:t>); or</w:t>
      </w:r>
    </w:p>
    <w:p w14:paraId="2D2D8C67" w14:textId="313E249F" w:rsidR="00440ECF" w:rsidRPr="00440ECF" w:rsidRDefault="00440ECF" w:rsidP="00440ECF">
      <w:pPr>
        <w:numPr>
          <w:ilvl w:val="0"/>
          <w:numId w:val="55"/>
        </w:numPr>
        <w:rPr>
          <w:lang w:eastAsia="en-US"/>
        </w:rPr>
      </w:pPr>
      <w:r w:rsidRPr="00440ECF">
        <w:rPr>
          <w:lang w:eastAsia="en-US"/>
        </w:rPr>
        <w:t>It is a</w:t>
      </w:r>
      <w:r w:rsidR="00874B1D">
        <w:rPr>
          <w:lang w:eastAsia="en-US"/>
        </w:rPr>
        <w:t>n</w:t>
      </w:r>
      <w:r w:rsidR="00455D31">
        <w:rPr>
          <w:lang w:eastAsia="en-US"/>
        </w:rPr>
        <w:t xml:space="preserve"> </w:t>
      </w:r>
      <w:r w:rsidR="00342157">
        <w:rPr>
          <w:lang w:eastAsia="en-US"/>
        </w:rPr>
        <w:t xml:space="preserve">approved destruction </w:t>
      </w:r>
      <w:r w:rsidR="00C876B6">
        <w:rPr>
          <w:lang w:eastAsia="en-US"/>
        </w:rPr>
        <w:t xml:space="preserve">technology </w:t>
      </w:r>
      <w:r w:rsidR="00874B1D">
        <w:rPr>
          <w:lang w:eastAsia="en-US"/>
        </w:rPr>
        <w:t xml:space="preserve">(including </w:t>
      </w:r>
      <w:r w:rsidR="00C876B6">
        <w:rPr>
          <w:lang w:eastAsia="en-US"/>
        </w:rPr>
        <w:t>for conversion technology</w:t>
      </w:r>
      <w:r w:rsidR="00874B1D">
        <w:rPr>
          <w:lang w:eastAsia="en-US"/>
        </w:rPr>
        <w:t xml:space="preserve">) </w:t>
      </w:r>
      <w:r w:rsidR="00455D31">
        <w:rPr>
          <w:lang w:eastAsia="en-US"/>
        </w:rPr>
        <w:t>for ODS</w:t>
      </w:r>
      <w:r w:rsidR="00874B1D">
        <w:rPr>
          <w:lang w:eastAsia="en-US"/>
        </w:rPr>
        <w:t xml:space="preserve"> </w:t>
      </w:r>
      <w:r w:rsidRPr="00440ECF">
        <w:rPr>
          <w:lang w:eastAsia="en-US"/>
        </w:rPr>
        <w:t xml:space="preserve">but has not actually been demonstrated </w:t>
      </w:r>
      <w:r w:rsidR="00874B1D">
        <w:rPr>
          <w:lang w:eastAsia="en-US"/>
        </w:rPr>
        <w:t xml:space="preserve">to have destroyed </w:t>
      </w:r>
      <w:r w:rsidRPr="00440ECF">
        <w:rPr>
          <w:lang w:eastAsia="en-US"/>
        </w:rPr>
        <w:t>HFC</w:t>
      </w:r>
      <w:r w:rsidR="00342157">
        <w:rPr>
          <w:lang w:eastAsia="en-US"/>
        </w:rPr>
        <w:t>s</w:t>
      </w:r>
      <w:r w:rsidRPr="00440ECF">
        <w:rPr>
          <w:lang w:eastAsia="en-US"/>
        </w:rPr>
        <w:t xml:space="preserve"> </w:t>
      </w:r>
      <w:bookmarkStart w:id="40" w:name="_Hlk506472969"/>
      <w:r w:rsidR="00874B1D">
        <w:rPr>
          <w:lang w:eastAsia="en-US"/>
        </w:rPr>
        <w:t xml:space="preserve">to the technical performance </w:t>
      </w:r>
      <w:r w:rsidR="00D4097F">
        <w:rPr>
          <w:lang w:eastAsia="en-US"/>
        </w:rPr>
        <w:t>criteria</w:t>
      </w:r>
      <w:r w:rsidR="00874B1D">
        <w:rPr>
          <w:lang w:eastAsia="en-US"/>
        </w:rPr>
        <w:t xml:space="preserve">, on at least a pilot scale or demonstration scale </w:t>
      </w:r>
      <w:r w:rsidR="00342157">
        <w:rPr>
          <w:lang w:eastAsia="en-US"/>
        </w:rPr>
        <w:t>(</w:t>
      </w:r>
      <w:r w:rsidR="00342157" w:rsidRPr="00342157">
        <w:rPr>
          <w:i/>
          <w:lang w:eastAsia="en-US"/>
        </w:rPr>
        <w:t>recommended as high potential</w:t>
      </w:r>
      <w:r w:rsidR="00342157">
        <w:rPr>
          <w:lang w:eastAsia="en-US"/>
        </w:rPr>
        <w:t>); or</w:t>
      </w:r>
    </w:p>
    <w:bookmarkEnd w:id="40"/>
    <w:p w14:paraId="47701094" w14:textId="64D9F6E0" w:rsidR="00440ECF" w:rsidRPr="00440ECF" w:rsidRDefault="00440ECF" w:rsidP="00440ECF">
      <w:pPr>
        <w:numPr>
          <w:ilvl w:val="0"/>
          <w:numId w:val="55"/>
        </w:numPr>
        <w:rPr>
          <w:lang w:eastAsia="en-US"/>
        </w:rPr>
      </w:pPr>
      <w:r w:rsidRPr="00861D1E">
        <w:rPr>
          <w:iCs/>
          <w:lang w:eastAsia="en-US"/>
        </w:rPr>
        <w:t xml:space="preserve">It has been demonstrated to have destroyed a refractory </w:t>
      </w:r>
      <w:r w:rsidR="00630CDC">
        <w:rPr>
          <w:iCs/>
          <w:lang w:eastAsia="en-US"/>
        </w:rPr>
        <w:t>halogenated</w:t>
      </w:r>
      <w:r w:rsidR="00630CDC" w:rsidRPr="00440ECF">
        <w:rPr>
          <w:i/>
          <w:iCs/>
          <w:lang w:eastAsia="en-US"/>
        </w:rPr>
        <w:t xml:space="preserve"> </w:t>
      </w:r>
      <w:r w:rsidRPr="00440ECF">
        <w:rPr>
          <w:lang w:eastAsia="en-US"/>
        </w:rPr>
        <w:t>organic compound</w:t>
      </w:r>
      <w:r w:rsidR="003F0331">
        <w:rPr>
          <w:lang w:eastAsia="en-US"/>
        </w:rPr>
        <w:t>,</w:t>
      </w:r>
      <w:r w:rsidR="009D241E" w:rsidRPr="009D241E">
        <w:rPr>
          <w:lang w:eastAsia="en-US"/>
        </w:rPr>
        <w:t xml:space="preserve"> </w:t>
      </w:r>
      <w:r w:rsidR="009D241E">
        <w:rPr>
          <w:lang w:eastAsia="en-US"/>
        </w:rPr>
        <w:t>in gaseous or liquid form,</w:t>
      </w:r>
      <w:r w:rsidRPr="00440ECF">
        <w:rPr>
          <w:lang w:eastAsia="en-US"/>
        </w:rPr>
        <w:t xml:space="preserve"> other than an ODS or HFC</w:t>
      </w:r>
      <w:r w:rsidR="00D71D98">
        <w:rPr>
          <w:lang w:eastAsia="en-US"/>
        </w:rPr>
        <w:t>s</w:t>
      </w:r>
      <w:r w:rsidRPr="00440ECF">
        <w:rPr>
          <w:lang w:eastAsia="en-US"/>
        </w:rPr>
        <w:t xml:space="preserve">, to the technical performance </w:t>
      </w:r>
      <w:r w:rsidR="00D4097F">
        <w:rPr>
          <w:lang w:eastAsia="en-US"/>
        </w:rPr>
        <w:t>criteria</w:t>
      </w:r>
      <w:r w:rsidRPr="00440ECF">
        <w:rPr>
          <w:lang w:eastAsia="en-US"/>
        </w:rPr>
        <w:t>, on at least a pilot scale or demonstration scale</w:t>
      </w:r>
      <w:r w:rsidR="00861D1E">
        <w:rPr>
          <w:lang w:eastAsia="en-US"/>
        </w:rPr>
        <w:t>,</w:t>
      </w:r>
      <w:r w:rsidRPr="00440ECF">
        <w:rPr>
          <w:lang w:eastAsia="en-US"/>
        </w:rPr>
        <w:t xml:space="preserve"> but has not actually been demonstrated </w:t>
      </w:r>
      <w:r w:rsidR="00861D1E">
        <w:rPr>
          <w:lang w:eastAsia="en-US"/>
        </w:rPr>
        <w:t>with</w:t>
      </w:r>
      <w:r w:rsidRPr="00440ECF">
        <w:rPr>
          <w:lang w:eastAsia="en-US"/>
        </w:rPr>
        <w:t xml:space="preserve"> HFC</w:t>
      </w:r>
      <w:r w:rsidR="00861D1E">
        <w:rPr>
          <w:lang w:eastAsia="en-US"/>
        </w:rPr>
        <w:t>s (</w:t>
      </w:r>
      <w:r w:rsidR="00861D1E" w:rsidRPr="00861D1E">
        <w:rPr>
          <w:i/>
          <w:lang w:eastAsia="en-US"/>
        </w:rPr>
        <w:t>recommended as high potential</w:t>
      </w:r>
      <w:r w:rsidR="00861D1E">
        <w:rPr>
          <w:lang w:eastAsia="en-US"/>
        </w:rPr>
        <w:t>); and</w:t>
      </w:r>
    </w:p>
    <w:p w14:paraId="6AB75DDE" w14:textId="6728D167" w:rsidR="00440ECF" w:rsidRPr="00440ECF" w:rsidRDefault="00440ECF" w:rsidP="00440ECF">
      <w:pPr>
        <w:numPr>
          <w:ilvl w:val="0"/>
          <w:numId w:val="55"/>
        </w:numPr>
        <w:rPr>
          <w:lang w:eastAsia="en-US"/>
        </w:rPr>
      </w:pPr>
      <w:r w:rsidRPr="00440ECF">
        <w:rPr>
          <w:lang w:eastAsia="en-US"/>
        </w:rPr>
        <w:t>The processing capacity of an acceptable pilot plant or demonstration plant must be no less than 1.0 kg/hr of the substance to be destroyed, whether HFC or a suitable surrogate.</w:t>
      </w:r>
    </w:p>
    <w:p w14:paraId="48A524CC" w14:textId="5BA59011" w:rsidR="00C81059" w:rsidRDefault="00C81059" w:rsidP="006D0FEA">
      <w:pPr>
        <w:rPr>
          <w:lang w:eastAsia="en-US"/>
        </w:rPr>
      </w:pPr>
      <w:r w:rsidRPr="00C81059">
        <w:rPr>
          <w:lang w:eastAsia="en-US"/>
        </w:rPr>
        <w:lastRenderedPageBreak/>
        <w:t xml:space="preserve">It is important to note </w:t>
      </w:r>
      <w:r>
        <w:rPr>
          <w:lang w:eastAsia="en-US"/>
        </w:rPr>
        <w:t>that</w:t>
      </w:r>
      <w:r w:rsidRPr="00C81059">
        <w:rPr>
          <w:lang w:eastAsia="en-US"/>
        </w:rPr>
        <w:t xml:space="preserve"> </w:t>
      </w:r>
      <w:r>
        <w:rPr>
          <w:lang w:eastAsia="en-US"/>
        </w:rPr>
        <w:t xml:space="preserve">the </w:t>
      </w:r>
      <w:r w:rsidRPr="00C81059">
        <w:rPr>
          <w:lang w:eastAsia="en-US"/>
        </w:rPr>
        <w:t xml:space="preserve">higher fluorine content </w:t>
      </w:r>
      <w:r>
        <w:rPr>
          <w:lang w:eastAsia="en-US"/>
        </w:rPr>
        <w:t>of HFCs may</w:t>
      </w:r>
      <w:r w:rsidRPr="00C81059">
        <w:rPr>
          <w:lang w:eastAsia="en-US"/>
        </w:rPr>
        <w:t xml:space="preserve"> impact the operability, productivity and/or performance of the technology</w:t>
      </w:r>
      <w:r>
        <w:rPr>
          <w:lang w:eastAsia="en-US"/>
        </w:rPr>
        <w:t xml:space="preserve">, and adjustments may be needed </w:t>
      </w:r>
      <w:r w:rsidR="004C4440">
        <w:rPr>
          <w:lang w:eastAsia="en-US"/>
        </w:rPr>
        <w:t>for approved ODS destruction technologies to process waste HFCs</w:t>
      </w:r>
      <w:r w:rsidRPr="00C81059">
        <w:rPr>
          <w:lang w:eastAsia="en-US"/>
        </w:rPr>
        <w:t>.</w:t>
      </w:r>
      <w:r>
        <w:rPr>
          <w:lang w:eastAsia="en-US"/>
        </w:rPr>
        <w:t xml:space="preserve"> </w:t>
      </w:r>
    </w:p>
    <w:p w14:paraId="5482E757" w14:textId="3A8FA97C" w:rsidR="00010E37" w:rsidRDefault="009B3B1D" w:rsidP="00F91A3F">
      <w:pPr>
        <w:rPr>
          <w:shd w:val="clear" w:color="auto" w:fill="FFFFFF"/>
        </w:rPr>
      </w:pPr>
      <w:r w:rsidRPr="007C5390">
        <w:rPr>
          <w:shd w:val="clear" w:color="auto" w:fill="FFFFFF"/>
        </w:rPr>
        <w:t>The submissions</w:t>
      </w:r>
      <w:r w:rsidR="00FE2524">
        <w:rPr>
          <w:shd w:val="clear" w:color="auto" w:fill="FFFFFF"/>
        </w:rPr>
        <w:t xml:space="preserve"> </w:t>
      </w:r>
      <w:r w:rsidRPr="007C5390">
        <w:rPr>
          <w:shd w:val="clear" w:color="auto" w:fill="FFFFFF"/>
        </w:rPr>
        <w:t>from the United States and the European Union indicate that either they use the destruction of surrogate chemicals (such as carbon tetrafluoride) to demonstrate DRE (United States) or they recommend operational parameters (e.g. maintaining temperatures above 1200</w:t>
      </w:r>
      <w:r w:rsidR="00613611">
        <w:rPr>
          <w:shd w:val="clear" w:color="auto" w:fill="FFFFFF"/>
        </w:rPr>
        <w:t>º</w:t>
      </w:r>
      <w:r w:rsidRPr="007C5390">
        <w:rPr>
          <w:shd w:val="clear" w:color="auto" w:fill="FFFFFF"/>
        </w:rPr>
        <w:t>C for a minimum residence time of 2 seconds for thermal oxidation technologies) (E</w:t>
      </w:r>
      <w:r w:rsidR="00663CDF">
        <w:rPr>
          <w:shd w:val="clear" w:color="auto" w:fill="FFFFFF"/>
        </w:rPr>
        <w:t xml:space="preserve">uropean </w:t>
      </w:r>
      <w:r w:rsidRPr="007C5390">
        <w:rPr>
          <w:shd w:val="clear" w:color="auto" w:fill="FFFFFF"/>
        </w:rPr>
        <w:t>U</w:t>
      </w:r>
      <w:r w:rsidR="00663CDF">
        <w:rPr>
          <w:shd w:val="clear" w:color="auto" w:fill="FFFFFF"/>
        </w:rPr>
        <w:t>nion</w:t>
      </w:r>
      <w:r w:rsidRPr="007C5390">
        <w:rPr>
          <w:shd w:val="clear" w:color="auto" w:fill="FFFFFF"/>
        </w:rPr>
        <w:t xml:space="preserve">). </w:t>
      </w:r>
    </w:p>
    <w:p w14:paraId="295C14C8" w14:textId="4969AD16" w:rsidR="00453DA9" w:rsidRDefault="00453DA9" w:rsidP="00F91A3F">
      <w:pPr>
        <w:rPr>
          <w:rFonts w:ascii="TimesNewRomanPSMT" w:hAnsi="TimesNewRomanPSMT" w:cs="TimesNewRomanPSMT"/>
        </w:rPr>
      </w:pPr>
      <w:r w:rsidRPr="00503BDD">
        <w:rPr>
          <w:shd w:val="clear" w:color="auto" w:fill="FFFFFF"/>
        </w:rPr>
        <w:t xml:space="preserve">The European Union </w:t>
      </w:r>
      <w:r>
        <w:rPr>
          <w:shd w:val="clear" w:color="auto" w:fill="FFFFFF"/>
        </w:rPr>
        <w:t>submission states that HFC incineration systems operating at or above 1200</w:t>
      </w:r>
      <w:r w:rsidR="00613611">
        <w:rPr>
          <w:shd w:val="clear" w:color="auto" w:fill="FFFFFF"/>
        </w:rPr>
        <w:t>º</w:t>
      </w:r>
      <w:r>
        <w:rPr>
          <w:shd w:val="clear" w:color="auto" w:fill="FFFFFF"/>
        </w:rPr>
        <w:t>C</w:t>
      </w:r>
      <w:r w:rsidR="00613611">
        <w:rPr>
          <w:shd w:val="clear" w:color="auto" w:fill="FFFFFF"/>
        </w:rPr>
        <w:t>,</w:t>
      </w:r>
      <w:r>
        <w:rPr>
          <w:shd w:val="clear" w:color="auto" w:fill="FFFFFF"/>
        </w:rPr>
        <w:t xml:space="preserve"> wi</w:t>
      </w:r>
      <w:r>
        <w:t xml:space="preserve">th residence times of </w:t>
      </w:r>
      <w:r w:rsidRPr="001D74A9">
        <w:rPr>
          <w:bCs/>
        </w:rPr>
        <w:t>at least two seconds</w:t>
      </w:r>
      <w:r w:rsidR="00613611">
        <w:rPr>
          <w:bCs/>
        </w:rPr>
        <w:t>,</w:t>
      </w:r>
      <w:r w:rsidRPr="001D74A9">
        <w:rPr>
          <w:bCs/>
        </w:rPr>
        <w:t xml:space="preserve"> ensure decomposition</w:t>
      </w:r>
      <w:r w:rsidR="006D0FEA">
        <w:rPr>
          <w:rStyle w:val="FootnoteReference"/>
          <w:bCs/>
        </w:rPr>
        <w:footnoteReference w:id="27"/>
      </w:r>
      <w:r w:rsidRPr="001D74A9">
        <w:rPr>
          <w:bCs/>
        </w:rPr>
        <w:t xml:space="preserve"> of </w:t>
      </w:r>
      <w:r w:rsidRPr="001D74A9">
        <w:t>HFC/HCFC and minimize the formation of unwanted combustion products such</w:t>
      </w:r>
      <w:r>
        <w:t xml:space="preserve"> as dioxins</w:t>
      </w:r>
      <w:r w:rsidR="002B0B0E">
        <w:t>/</w:t>
      </w:r>
      <w:r>
        <w:t>furans, carbonyl halides (COF</w:t>
      </w:r>
      <w:r w:rsidRPr="000D5CF7">
        <w:rPr>
          <w:sz w:val="16"/>
          <w:szCs w:val="16"/>
          <w:vertAlign w:val="subscript"/>
        </w:rPr>
        <w:t>2</w:t>
      </w:r>
      <w:r>
        <w:t>, COCl</w:t>
      </w:r>
      <w:r w:rsidRPr="000D5CF7">
        <w:rPr>
          <w:sz w:val="16"/>
          <w:szCs w:val="16"/>
          <w:vertAlign w:val="subscript"/>
        </w:rPr>
        <w:t>2</w:t>
      </w:r>
      <w:r>
        <w:t xml:space="preserve">) and hydrocarbons. </w:t>
      </w:r>
      <w:r w:rsidR="001522DF">
        <w:t>T</w:t>
      </w:r>
      <w:r>
        <w:t xml:space="preserve">he </w:t>
      </w:r>
      <w:r w:rsidR="00DA326A">
        <w:t xml:space="preserve">proposal </w:t>
      </w:r>
      <w:r>
        <w:t>that specific incineration facility operating conditions might be used as an assurance of meeting DRE and emissions limits</w:t>
      </w:r>
      <w:r w:rsidR="001522DF">
        <w:t xml:space="preserve"> </w:t>
      </w:r>
      <w:r>
        <w:t xml:space="preserve">highlights the </w:t>
      </w:r>
      <w:r w:rsidR="00DA326A">
        <w:t xml:space="preserve">importance </w:t>
      </w:r>
      <w:r>
        <w:t>of operating at conditions sufficient to meet those criteria.</w:t>
      </w:r>
    </w:p>
    <w:p w14:paraId="2C15535A" w14:textId="17427939" w:rsidR="00613611" w:rsidRDefault="00453DA9" w:rsidP="00F91A3F">
      <w:pPr>
        <w:rPr>
          <w:lang w:val="en-AU"/>
        </w:rPr>
      </w:pPr>
      <w:r>
        <w:t>T</w:t>
      </w:r>
      <w:r w:rsidRPr="009F65A0">
        <w:t xml:space="preserve">he submission by the United States </w:t>
      </w:r>
      <w:r>
        <w:t>(</w:t>
      </w:r>
      <w:r w:rsidRPr="009F65A0">
        <w:t>in its Appendix D</w:t>
      </w:r>
      <w:r>
        <w:t xml:space="preserve">) explains that the </w:t>
      </w:r>
      <w:r w:rsidRPr="003E01F5">
        <w:rPr>
          <w:lang w:val="en-AU"/>
        </w:rPr>
        <w:t>U.S. EPA established a system for ranking the thermal stability of hazardous wastes for the purposes of developing methods for testing the DRE of hazardous waste incinerators</w:t>
      </w:r>
      <w:r>
        <w:rPr>
          <w:lang w:val="en-AU"/>
        </w:rPr>
        <w:t>, a thermal stability index</w:t>
      </w:r>
      <w:r w:rsidRPr="003E01F5">
        <w:rPr>
          <w:lang w:val="en-AU"/>
        </w:rPr>
        <w:t xml:space="preserve">. </w:t>
      </w:r>
      <w:r>
        <w:t>H</w:t>
      </w:r>
      <w:r w:rsidRPr="009F65A0">
        <w:t>azardous waste incinerators in the U</w:t>
      </w:r>
      <w:r>
        <w:t>nited States</w:t>
      </w:r>
      <w:r w:rsidRPr="009F65A0">
        <w:t xml:space="preserve"> are required to demonstrate the ability to destroy hazardous wastes (including chlorinated and fluorinated compounds that are regulated as hazardous wastes) to a DRE of &gt; 99.99 percent (40 CFR 266.104 </w:t>
      </w:r>
      <w:r w:rsidRPr="003E01F5">
        <w:rPr>
          <w:i/>
        </w:rPr>
        <w:t>Standards to Control Organic Emissions</w:t>
      </w:r>
      <w:r w:rsidRPr="009F65A0">
        <w:t xml:space="preserve">). </w:t>
      </w:r>
      <w:r w:rsidRPr="003E01F5">
        <w:rPr>
          <w:lang w:val="en-AU"/>
        </w:rPr>
        <w:t xml:space="preserve">In general, hazardous waste incinerator operators test the incinerator using one or more principle organic hazardous constituent (POHCs) as surrogates for all </w:t>
      </w:r>
      <w:r>
        <w:rPr>
          <w:lang w:val="en-AU"/>
        </w:rPr>
        <w:t>other hazardous waste compounds.</w:t>
      </w:r>
      <w:r w:rsidRPr="003E01F5">
        <w:rPr>
          <w:lang w:val="en-AU"/>
        </w:rPr>
        <w:t xml:space="preserve"> </w:t>
      </w:r>
      <w:r>
        <w:rPr>
          <w:lang w:val="en-AU"/>
        </w:rPr>
        <w:t>If</w:t>
      </w:r>
      <w:r w:rsidRPr="003E01F5">
        <w:rPr>
          <w:lang w:val="en-AU"/>
        </w:rPr>
        <w:t xml:space="preserve"> the incinerator demonstrates the ability to destroy the </w:t>
      </w:r>
      <w:r>
        <w:rPr>
          <w:lang w:val="en-AU"/>
        </w:rPr>
        <w:t>surrogate</w:t>
      </w:r>
      <w:r w:rsidRPr="003E01F5">
        <w:rPr>
          <w:lang w:val="en-AU"/>
        </w:rPr>
        <w:t xml:space="preserve"> to a DRE of &gt; 99.99 percent, the incinerator </w:t>
      </w:r>
      <w:r>
        <w:rPr>
          <w:lang w:val="en-AU"/>
        </w:rPr>
        <w:t xml:space="preserve">is assumed </w:t>
      </w:r>
      <w:r w:rsidRPr="003E01F5">
        <w:rPr>
          <w:lang w:val="en-AU"/>
        </w:rPr>
        <w:t xml:space="preserve">also </w:t>
      </w:r>
      <w:r>
        <w:rPr>
          <w:lang w:val="en-AU"/>
        </w:rPr>
        <w:t>to have</w:t>
      </w:r>
      <w:r w:rsidRPr="003E01F5">
        <w:rPr>
          <w:lang w:val="en-AU"/>
        </w:rPr>
        <w:t xml:space="preserve"> the ability to destroy any other compounds </w:t>
      </w:r>
      <w:r>
        <w:rPr>
          <w:lang w:val="en-AU"/>
        </w:rPr>
        <w:t>ranked lower on the</w:t>
      </w:r>
      <w:r w:rsidRPr="003E01F5">
        <w:rPr>
          <w:lang w:val="en-AU"/>
        </w:rPr>
        <w:t xml:space="preserve"> thermal stability index. </w:t>
      </w:r>
      <w:r>
        <w:rPr>
          <w:lang w:val="en-AU"/>
        </w:rPr>
        <w:t>HFC-23</w:t>
      </w:r>
      <w:r w:rsidRPr="00F91348">
        <w:rPr>
          <w:lang w:val="en-AU"/>
        </w:rPr>
        <w:t xml:space="preserve"> is a Stability Class </w:t>
      </w:r>
      <w:r>
        <w:rPr>
          <w:lang w:val="en-AU"/>
        </w:rPr>
        <w:t>2</w:t>
      </w:r>
      <w:r w:rsidRPr="00F91348">
        <w:rPr>
          <w:lang w:val="en-AU"/>
        </w:rPr>
        <w:t xml:space="preserve"> compound</w:t>
      </w:r>
      <w:r>
        <w:rPr>
          <w:lang w:val="en-AU"/>
        </w:rPr>
        <w:t>. CFC-11, -12, -113, and HCFC-22, Halon-1301, and HFC-161 are ranked as Stability Class 3 compounds.</w:t>
      </w:r>
      <w:r w:rsidR="00023EF6">
        <w:rPr>
          <w:rStyle w:val="FootnoteReference"/>
          <w:lang w:val="en-AU"/>
        </w:rPr>
        <w:footnoteReference w:id="28"/>
      </w:r>
    </w:p>
    <w:p w14:paraId="472EA37E" w14:textId="2DF4A1B8" w:rsidR="00453DA9" w:rsidRDefault="00453DA9" w:rsidP="00453DA9">
      <w:pPr>
        <w:rPr>
          <w:lang w:val="en-US" w:eastAsia="en-US"/>
        </w:rPr>
      </w:pPr>
      <w:r>
        <w:rPr>
          <w:lang w:val="en-US" w:eastAsia="en-US"/>
        </w:rPr>
        <w:t>The 2018 TFDT considers that it is reasonable for thermal oxidation and plasma arc destruction technologies that have been demonstrated to satisfy the criteria for one type of HFC from Annex F, Group 1 could be recommended for the destruction of all HFCs from Annex F, Group 1</w:t>
      </w:r>
      <w:r w:rsidR="00DA326A">
        <w:rPr>
          <w:lang w:val="en-US" w:eastAsia="en-US"/>
        </w:rPr>
        <w:t>,</w:t>
      </w:r>
      <w:r>
        <w:rPr>
          <w:lang w:val="en-US" w:eastAsia="en-US"/>
        </w:rPr>
        <w:t xml:space="preserve"> pr</w:t>
      </w:r>
      <w:r w:rsidR="009F102B">
        <w:rPr>
          <w:lang w:val="en-US" w:eastAsia="en-US"/>
        </w:rPr>
        <w:t>ovided destruction conditions (</w:t>
      </w:r>
      <w:r w:rsidR="004E3C1B">
        <w:rPr>
          <w:lang w:val="en-US" w:eastAsia="en-US"/>
        </w:rPr>
        <w:t xml:space="preserve">destruction </w:t>
      </w:r>
      <w:r w:rsidR="009F102B">
        <w:rPr>
          <w:lang w:val="en-US" w:eastAsia="en-US"/>
        </w:rPr>
        <w:t>temperature and residence times</w:t>
      </w:r>
      <w:r w:rsidR="00613611">
        <w:rPr>
          <w:lang w:val="en-US" w:eastAsia="en-US"/>
        </w:rPr>
        <w:t>,</w:t>
      </w:r>
      <w:r w:rsidR="003D7476">
        <w:rPr>
          <w:lang w:val="en-US" w:eastAsia="en-US"/>
        </w:rPr>
        <w:t xml:space="preserve"> as applicable</w:t>
      </w:r>
      <w:r w:rsidR="009F102B">
        <w:rPr>
          <w:lang w:val="en-US" w:eastAsia="en-US"/>
        </w:rPr>
        <w:t xml:space="preserve">) </w:t>
      </w:r>
      <w:r>
        <w:rPr>
          <w:lang w:val="en-US" w:eastAsia="en-US"/>
        </w:rPr>
        <w:t xml:space="preserve">are met for each HFC to be destroyed. The 2018 TFDT also </w:t>
      </w:r>
      <w:r w:rsidR="00A02006">
        <w:rPr>
          <w:lang w:val="en-US" w:eastAsia="en-US"/>
        </w:rPr>
        <w:t>recommends that</w:t>
      </w:r>
      <w:r>
        <w:rPr>
          <w:lang w:val="en-US" w:eastAsia="en-US"/>
        </w:rPr>
        <w:t xml:space="preserve"> </w:t>
      </w:r>
      <w:r w:rsidR="009F102B">
        <w:rPr>
          <w:lang w:val="en-US" w:eastAsia="en-US"/>
        </w:rPr>
        <w:t>exhaust</w:t>
      </w:r>
      <w:r>
        <w:rPr>
          <w:lang w:val="en-US" w:eastAsia="en-US"/>
        </w:rPr>
        <w:t xml:space="preserve"> gases to be tested for each new HFC destroyed to ensure that the DRE and emissions requirements are satisfied, as some HFCs listed in Annex F, Group 1 are more easily destroyed than others.</w:t>
      </w:r>
      <w:r w:rsidR="00514300">
        <w:rPr>
          <w:lang w:val="en-US" w:eastAsia="en-US"/>
        </w:rPr>
        <w:t xml:space="preserve"> </w:t>
      </w:r>
    </w:p>
    <w:p w14:paraId="6342F921" w14:textId="35669CB4" w:rsidR="00453DA9" w:rsidRDefault="00453DA9" w:rsidP="00453DA9">
      <w:pPr>
        <w:rPr>
          <w:lang w:val="en-US" w:eastAsia="en-US"/>
        </w:rPr>
      </w:pPr>
      <w:r>
        <w:rPr>
          <w:lang w:val="en-US" w:eastAsia="en-US"/>
        </w:rPr>
        <w:t xml:space="preserve">The 2018 TFDT considers that HFC-23 (Annex F, Group 2) </w:t>
      </w:r>
      <w:r w:rsidR="00A27B6B">
        <w:rPr>
          <w:lang w:val="en-US" w:eastAsia="en-US"/>
        </w:rPr>
        <w:t>can</w:t>
      </w:r>
      <w:r>
        <w:rPr>
          <w:lang w:val="en-US" w:eastAsia="en-US"/>
        </w:rPr>
        <w:t xml:space="preserve"> act as a proxy for all HFCs in Annex F, Group 1</w:t>
      </w:r>
      <w:r w:rsidR="00A27B6B">
        <w:rPr>
          <w:lang w:val="en-US" w:eastAsia="en-US"/>
        </w:rPr>
        <w:t xml:space="preserve">. </w:t>
      </w:r>
      <w:r>
        <w:rPr>
          <w:lang w:val="en-US" w:eastAsia="en-US"/>
        </w:rPr>
        <w:t xml:space="preserve">However, if a destruction technology has been demonstrated to satisfy the criteria for HFCs from Annex F, Group 1, it cannot necessarily be recommended for the destruction of HFC-23, due to </w:t>
      </w:r>
      <w:r w:rsidR="00B9499B">
        <w:rPr>
          <w:lang w:val="en-US" w:eastAsia="en-US"/>
        </w:rPr>
        <w:t>the</w:t>
      </w:r>
      <w:r>
        <w:rPr>
          <w:lang w:val="en-US" w:eastAsia="en-US"/>
        </w:rPr>
        <w:t xml:space="preserve"> relatively higher thermal stability</w:t>
      </w:r>
      <w:r w:rsidR="00B9499B">
        <w:rPr>
          <w:lang w:val="en-US" w:eastAsia="en-US"/>
        </w:rPr>
        <w:t xml:space="preserve"> of HFC-23</w:t>
      </w:r>
      <w:r w:rsidR="001522DF">
        <w:rPr>
          <w:rStyle w:val="FootnoteReference"/>
          <w:lang w:val="en-US" w:eastAsia="en-US"/>
        </w:rPr>
        <w:footnoteReference w:id="29"/>
      </w:r>
      <w:r>
        <w:rPr>
          <w:lang w:val="en-US" w:eastAsia="en-US"/>
        </w:rPr>
        <w:t>.</w:t>
      </w:r>
    </w:p>
    <w:p w14:paraId="08C21C09" w14:textId="659274FA" w:rsidR="00F505B0" w:rsidRDefault="00F505B0" w:rsidP="00275CBE">
      <w:pPr>
        <w:pStyle w:val="Heading2"/>
      </w:pPr>
      <w:bookmarkStart w:id="41" w:name="_Toc510531457"/>
      <w:r w:rsidRPr="005649F7">
        <w:lastRenderedPageBreak/>
        <w:t>2.4</w:t>
      </w:r>
      <w:r w:rsidRPr="005649F7">
        <w:tab/>
        <w:t>Considerations for performance criteria relevant to methyl bromide</w:t>
      </w:r>
      <w:r>
        <w:t xml:space="preserve"> destruction technologies</w:t>
      </w:r>
      <w:bookmarkEnd w:id="41"/>
    </w:p>
    <w:p w14:paraId="19BA2F9B" w14:textId="3E9E9507" w:rsidR="00F505B0" w:rsidRPr="0004205F" w:rsidRDefault="00F505B0" w:rsidP="00275CBE">
      <w:pPr>
        <w:pStyle w:val="Heading3"/>
      </w:pPr>
      <w:bookmarkStart w:id="42" w:name="_Toc510531458"/>
      <w:r w:rsidRPr="00190777">
        <w:t>2.</w:t>
      </w:r>
      <w:r>
        <w:t>4</w:t>
      </w:r>
      <w:r w:rsidRPr="00190777">
        <w:t>.1</w:t>
      </w:r>
      <w:r w:rsidRPr="00190777">
        <w:tab/>
        <w:t>Methyl Bromide Destruction</w:t>
      </w:r>
      <w:bookmarkEnd w:id="42"/>
    </w:p>
    <w:p w14:paraId="3350726E" w14:textId="30C1F2CC" w:rsidR="0075367B" w:rsidRDefault="00F505B0" w:rsidP="0075367B">
      <w:r>
        <w:t>No destruction technology has yet been approved for methyl bromide destruction.</w:t>
      </w:r>
      <w:r w:rsidR="0055155D">
        <w:t xml:space="preserve"> </w:t>
      </w:r>
      <w:r w:rsidR="007C3131">
        <w:t>Even so, six Parties have reported destruction of methyl bromide to the Ozone Secretariat (see section 2.4.1.1)</w:t>
      </w:r>
      <w:r w:rsidR="0055155D">
        <w:t>.</w:t>
      </w:r>
      <w:r w:rsidR="0075367B">
        <w:t xml:space="preserve"> </w:t>
      </w:r>
    </w:p>
    <w:p w14:paraId="08E2A72E" w14:textId="5A686FD5" w:rsidR="00F505B0" w:rsidRDefault="00F505B0" w:rsidP="00F505B0">
      <w:r w:rsidRPr="00224B4D">
        <w:t xml:space="preserve">The 2011 </w:t>
      </w:r>
      <w:r>
        <w:t>TFDT</w:t>
      </w:r>
      <w:r w:rsidRPr="00224B4D">
        <w:t xml:space="preserve"> reviewed the performance criteria in general for destruction technologies, and </w:t>
      </w:r>
      <w:r>
        <w:t xml:space="preserve">also </w:t>
      </w:r>
      <w:r w:rsidRPr="00224B4D">
        <w:t>consider</w:t>
      </w:r>
      <w:r>
        <w:t>ed</w:t>
      </w:r>
      <w:r w:rsidRPr="00224B4D">
        <w:t xml:space="preserve"> </w:t>
      </w:r>
      <w:r>
        <w:t>a</w:t>
      </w:r>
      <w:r w:rsidRPr="00224B4D">
        <w:t xml:space="preserve"> minimum DRE criterion for methyl bromide destruction</w:t>
      </w:r>
      <w:r>
        <w:rPr>
          <w:rStyle w:val="FootnoteReference"/>
        </w:rPr>
        <w:footnoteReference w:id="30"/>
      </w:r>
      <w:r w:rsidRPr="00224B4D">
        <w:t xml:space="preserve">. The </w:t>
      </w:r>
      <w:r>
        <w:t>2011 TFDT</w:t>
      </w:r>
      <w:r w:rsidRPr="00224B4D">
        <w:t xml:space="preserve"> concluded that having reviewed the limited data available, </w:t>
      </w:r>
      <w:r>
        <w:t xml:space="preserve">that there was </w:t>
      </w:r>
      <w:r w:rsidRPr="00224B4D">
        <w:t xml:space="preserve">no </w:t>
      </w:r>
      <w:r>
        <w:t xml:space="preserve">technical </w:t>
      </w:r>
      <w:r w:rsidRPr="00224B4D">
        <w:t xml:space="preserve">reason why the </w:t>
      </w:r>
      <w:r>
        <w:t>DRE</w:t>
      </w:r>
      <w:r w:rsidRPr="00224B4D">
        <w:t xml:space="preserve"> should be set at an initial figure that differ</w:t>
      </w:r>
      <w:r w:rsidR="00613611">
        <w:t>ed</w:t>
      </w:r>
      <w:r w:rsidRPr="00224B4D">
        <w:t xml:space="preserve"> from that used for </w:t>
      </w:r>
      <w:r w:rsidR="00A4158F">
        <w:t xml:space="preserve">the destruction of </w:t>
      </w:r>
      <w:r w:rsidRPr="00224B4D">
        <w:t xml:space="preserve">other </w:t>
      </w:r>
      <w:r w:rsidR="00BF7B7E">
        <w:t xml:space="preserve">concentrated sources of </w:t>
      </w:r>
      <w:r w:rsidRPr="00224B4D">
        <w:t>ODS (</w:t>
      </w:r>
      <w:r w:rsidR="00A4342B">
        <w:t xml:space="preserve">i.e. </w:t>
      </w:r>
      <w:r w:rsidR="00C05539">
        <w:t>&gt;</w:t>
      </w:r>
      <w:r w:rsidRPr="00224B4D">
        <w:t xml:space="preserve">99.99%). The </w:t>
      </w:r>
      <w:r w:rsidR="00CC2093">
        <w:t>2011 TFDT</w:t>
      </w:r>
      <w:r w:rsidRPr="00224B4D">
        <w:t xml:space="preserve"> reviewed two technologies related to methyl bromide</w:t>
      </w:r>
      <w:r w:rsidRPr="000A5246">
        <w:rPr>
          <w:rStyle w:val="FootnoteReference"/>
        </w:rPr>
        <w:footnoteReference w:id="31"/>
      </w:r>
      <w:r>
        <w:t xml:space="preserve">. </w:t>
      </w:r>
      <w:r w:rsidR="00F049B7">
        <w:t xml:space="preserve">This DRE would be relevant to the destruction step of any multi-step process. </w:t>
      </w:r>
      <w:r w:rsidR="00E34B1D" w:rsidRPr="00E34B1D">
        <w:t xml:space="preserve">No decision was made by the parties related to </w:t>
      </w:r>
      <w:r w:rsidR="00E34B1D">
        <w:t xml:space="preserve">a </w:t>
      </w:r>
      <w:r w:rsidR="00E34B1D" w:rsidRPr="00E34B1D">
        <w:t>destruction criterion for methyl bromide.</w:t>
      </w:r>
      <w:r w:rsidR="00E34B1D">
        <w:t xml:space="preserve"> </w:t>
      </w:r>
      <w:r w:rsidRPr="000A5246">
        <w:t xml:space="preserve">For some </w:t>
      </w:r>
      <w:r w:rsidR="00A4158F">
        <w:t xml:space="preserve">destruction </w:t>
      </w:r>
      <w:r w:rsidRPr="000A5246">
        <w:t>technologies (e.g. plasma arc)</w:t>
      </w:r>
      <w:r w:rsidR="00613611">
        <w:t>,</w:t>
      </w:r>
      <w:r w:rsidRPr="000A5246">
        <w:t xml:space="preserve"> the presence of bromine may impact on process parameters and molecular bromine may be formed</w:t>
      </w:r>
      <w:r>
        <w:t>,</w:t>
      </w:r>
      <w:r w:rsidRPr="000A5246">
        <w:t xml:space="preserve"> which is difficult to remove from exhaust gases.</w:t>
      </w:r>
      <w:r w:rsidRPr="00224B4D">
        <w:t xml:space="preserve"> </w:t>
      </w:r>
    </w:p>
    <w:p w14:paraId="64FDE1B3" w14:textId="056065CA" w:rsidR="00647712" w:rsidRPr="00607819" w:rsidRDefault="00647712" w:rsidP="00647712">
      <w:pPr>
        <w:rPr>
          <w:lang w:val="en-AU"/>
        </w:rPr>
      </w:pPr>
      <w:r>
        <w:t xml:space="preserve">Destruction of methyl bromide can occur for reasons different to those for other ODS, e.g. minimising </w:t>
      </w:r>
      <w:r w:rsidR="00A4342B">
        <w:t xml:space="preserve">the health effects of </w:t>
      </w:r>
      <w:r>
        <w:t xml:space="preserve">toxic methyl bromide atmospheric emissions from fumigation processes </w:t>
      </w:r>
      <w:r w:rsidR="00790EF6">
        <w:t xml:space="preserve">to </w:t>
      </w:r>
      <w:r>
        <w:t xml:space="preserve">the surrounding environment. However, </w:t>
      </w:r>
      <w:r>
        <w:rPr>
          <w:lang w:val="en-AU"/>
        </w:rPr>
        <w:t>when assessing methyl bromide</w:t>
      </w:r>
      <w:r w:rsidRPr="00607819">
        <w:rPr>
          <w:lang w:val="en-AU"/>
        </w:rPr>
        <w:t xml:space="preserve"> des</w:t>
      </w:r>
      <w:r>
        <w:rPr>
          <w:lang w:val="en-AU"/>
        </w:rPr>
        <w:t>truction technologies for approval under the Montreal Protocol, it is im</w:t>
      </w:r>
      <w:r w:rsidRPr="00607819">
        <w:rPr>
          <w:lang w:val="en-AU"/>
        </w:rPr>
        <w:t xml:space="preserve">portant to </w:t>
      </w:r>
      <w:r>
        <w:rPr>
          <w:lang w:val="en-AU"/>
        </w:rPr>
        <w:t>remember that this</w:t>
      </w:r>
      <w:r w:rsidRPr="00607819">
        <w:rPr>
          <w:lang w:val="en-AU"/>
        </w:rPr>
        <w:t xml:space="preserve"> assessment is not </w:t>
      </w:r>
      <w:r>
        <w:rPr>
          <w:lang w:val="en-AU"/>
        </w:rPr>
        <w:t xml:space="preserve">for </w:t>
      </w:r>
      <w:r w:rsidRPr="00607819">
        <w:rPr>
          <w:lang w:val="en-AU"/>
        </w:rPr>
        <w:t>health</w:t>
      </w:r>
      <w:r>
        <w:rPr>
          <w:lang w:val="en-AU"/>
        </w:rPr>
        <w:t xml:space="preserve"> reasons but for the purposes of meeting Montreal Protocol reporting obligations, if that is a desired outcome</w:t>
      </w:r>
      <w:r w:rsidRPr="00607819">
        <w:rPr>
          <w:lang w:val="en-AU"/>
        </w:rPr>
        <w:t>.</w:t>
      </w:r>
      <w:r>
        <w:rPr>
          <w:lang w:val="en-AU"/>
        </w:rPr>
        <w:t xml:space="preserve"> Emissions</w:t>
      </w:r>
      <w:r w:rsidRPr="00607819">
        <w:rPr>
          <w:lang w:val="en-AU"/>
        </w:rPr>
        <w:t xml:space="preserve"> reduction </w:t>
      </w:r>
      <w:r>
        <w:rPr>
          <w:lang w:val="en-AU"/>
        </w:rPr>
        <w:t xml:space="preserve">through methyl bromide destruction at a DRE of </w:t>
      </w:r>
      <w:r w:rsidR="00C05539">
        <w:rPr>
          <w:lang w:val="en-AU"/>
        </w:rPr>
        <w:t>&gt;</w:t>
      </w:r>
      <w:r w:rsidRPr="00607819">
        <w:rPr>
          <w:lang w:val="en-AU"/>
        </w:rPr>
        <w:t xml:space="preserve">99.99% </w:t>
      </w:r>
      <w:r>
        <w:rPr>
          <w:lang w:val="en-AU"/>
        </w:rPr>
        <w:t>would take</w:t>
      </w:r>
      <w:r w:rsidRPr="00607819">
        <w:rPr>
          <w:lang w:val="en-AU"/>
        </w:rPr>
        <w:t xml:space="preserve"> normal fumigation concentrations to below typical </w:t>
      </w:r>
      <w:r>
        <w:rPr>
          <w:lang w:val="en-AU"/>
        </w:rPr>
        <w:t>threshold limit values (</w:t>
      </w:r>
      <w:r w:rsidRPr="00607819">
        <w:rPr>
          <w:lang w:val="en-AU"/>
        </w:rPr>
        <w:t>TLVs</w:t>
      </w:r>
      <w:r>
        <w:rPr>
          <w:lang w:val="en-AU"/>
        </w:rPr>
        <w:t>) but possibly above many jurisdictions’ environmental limits.</w:t>
      </w:r>
    </w:p>
    <w:p w14:paraId="6D065E9C" w14:textId="10E986AD" w:rsidR="000212C8" w:rsidRDefault="000212C8" w:rsidP="000212C8">
      <w:pPr>
        <w:rPr>
          <w:color w:val="auto"/>
          <w:lang w:val="en-US" w:eastAsia="en-US"/>
        </w:rPr>
      </w:pPr>
      <w:r>
        <w:t xml:space="preserve">Methyl bromide is also very different </w:t>
      </w:r>
      <w:r w:rsidR="006605CB">
        <w:t xml:space="preserve">chemically </w:t>
      </w:r>
      <w:r>
        <w:t xml:space="preserve">from other ODS. Most halons and chlorofluorocarbon </w:t>
      </w:r>
      <w:r w:rsidR="006605CB">
        <w:t xml:space="preserve">ODS </w:t>
      </w:r>
      <w:r>
        <w:t xml:space="preserve">are chemically stable and relatively non-toxic to humans. In contrast, methyl bromide is in use </w:t>
      </w:r>
      <w:r w:rsidR="006605CB">
        <w:t xml:space="preserve">as a fumigant </w:t>
      </w:r>
      <w:r>
        <w:t>because of its toxicity, and its inherent high chemical reactivity (and as compared to CFCs, HCFCs and HFCs). Methyl bromide is easily attacked by nucleophiles</w:t>
      </w:r>
      <w:r w:rsidR="006605CB">
        <w:t>,</w:t>
      </w:r>
      <w:r>
        <w:t xml:space="preserve"> such as reactive oxygen, sulphur and nitrogen groups (e.g. –OH, -SH and –N) </w:t>
      </w:r>
      <w:r>
        <w:lastRenderedPageBreak/>
        <w:t>in solution, giving methylated products and bromide ion. This reactivity allows simple low temperature destruction technologies to be developed, without the risks of production</w:t>
      </w:r>
      <w:r w:rsidR="006605CB">
        <w:t xml:space="preserve"> of toxic dioxins</w:t>
      </w:r>
      <w:r w:rsidR="002B0B0E">
        <w:t>/</w:t>
      </w:r>
      <w:r w:rsidR="006605CB">
        <w:t>furans. Methyl bromide</w:t>
      </w:r>
      <w:r>
        <w:t xml:space="preserve"> is also easily attacked by radicals at relatively low tempera</w:t>
      </w:r>
      <w:r w:rsidR="006605CB">
        <w:t>tures, such as with ozone or catalytic combustion</w:t>
      </w:r>
      <w:r>
        <w:t>.</w:t>
      </w:r>
      <w:r w:rsidR="00513402" w:rsidRPr="00513402">
        <w:rPr>
          <w:rStyle w:val="FootnoteReference"/>
        </w:rPr>
        <w:t xml:space="preserve"> </w:t>
      </w:r>
      <w:r w:rsidR="00513402">
        <w:rPr>
          <w:rStyle w:val="FootnoteReference"/>
        </w:rPr>
        <w:footnoteReference w:id="32"/>
      </w:r>
    </w:p>
    <w:p w14:paraId="7A345697" w14:textId="6A489B54" w:rsidR="00F505B0" w:rsidRPr="00F91A3F" w:rsidRDefault="00F505B0" w:rsidP="00275CBE">
      <w:pPr>
        <w:pStyle w:val="Heading4"/>
      </w:pPr>
      <w:r w:rsidRPr="00F91A3F">
        <w:t>2.4.1.1</w:t>
      </w:r>
      <w:r w:rsidRPr="00F91A3F">
        <w:tab/>
        <w:t>Quantities of methyl bromide destroyed</w:t>
      </w:r>
    </w:p>
    <w:p w14:paraId="6FFA78AB" w14:textId="1751D513" w:rsidR="00A64273" w:rsidRDefault="00813FD3" w:rsidP="00F505B0">
      <w:r>
        <w:t xml:space="preserve">While </w:t>
      </w:r>
      <w:r w:rsidR="00F505B0" w:rsidRPr="00224B4D">
        <w:t xml:space="preserve">there are </w:t>
      </w:r>
      <w:r>
        <w:t>c</w:t>
      </w:r>
      <w:r w:rsidRPr="00224B4D">
        <w:t xml:space="preserve">urrently </w:t>
      </w:r>
      <w:r w:rsidR="00F505B0" w:rsidRPr="00224B4D">
        <w:t>no approved technologies for methyl bromide destruction, methyl bromide destru</w:t>
      </w:r>
      <w:r w:rsidR="00F505B0">
        <w:t>ction has been reported to the Ozone S</w:t>
      </w:r>
      <w:r w:rsidR="00F505B0" w:rsidRPr="00224B4D">
        <w:t>ecretariat</w:t>
      </w:r>
      <w:r w:rsidR="00A64273">
        <w:t xml:space="preserve"> under Article 7 data reporting</w:t>
      </w:r>
      <w:r w:rsidR="00F505B0" w:rsidRPr="00224B4D">
        <w:t xml:space="preserve">. </w:t>
      </w:r>
      <w:r w:rsidR="00B938C9">
        <w:t>Data has been incomplete, but c</w:t>
      </w:r>
      <w:r w:rsidR="00F505B0">
        <w:t xml:space="preserve">umulatively, </w:t>
      </w:r>
      <w:r>
        <w:t xml:space="preserve">between </w:t>
      </w:r>
      <w:r w:rsidR="00F505B0">
        <w:t xml:space="preserve">1996 </w:t>
      </w:r>
      <w:r>
        <w:t xml:space="preserve">and </w:t>
      </w:r>
      <w:r w:rsidR="00F505B0">
        <w:t xml:space="preserve">2016, 938 tonnes of methyl bromide destruction </w:t>
      </w:r>
      <w:r>
        <w:t>were</w:t>
      </w:r>
      <w:r w:rsidR="00F505B0">
        <w:t xml:space="preserve"> reported by </w:t>
      </w:r>
      <w:r w:rsidR="000B293E">
        <w:t xml:space="preserve">six </w:t>
      </w:r>
      <w:r w:rsidR="00F505B0">
        <w:t>Parties</w:t>
      </w:r>
      <w:r w:rsidR="000B293E">
        <w:rPr>
          <w:rStyle w:val="FootnoteReference"/>
        </w:rPr>
        <w:footnoteReference w:id="33"/>
      </w:r>
      <w:r w:rsidR="00F505B0">
        <w:t xml:space="preserve">, </w:t>
      </w:r>
      <w:r>
        <w:t xml:space="preserve">and </w:t>
      </w:r>
      <w:r w:rsidR="00F505B0">
        <w:t xml:space="preserve">with </w:t>
      </w:r>
      <w:r>
        <w:t xml:space="preserve">destroyed </w:t>
      </w:r>
      <w:r w:rsidR="00F505B0">
        <w:t xml:space="preserve">quantities </w:t>
      </w:r>
      <w:r w:rsidR="00B938C9">
        <w:t xml:space="preserve">being </w:t>
      </w:r>
      <w:r w:rsidR="00F505B0">
        <w:t>reported</w:t>
      </w:r>
      <w:r w:rsidR="000B293E">
        <w:t>, by one or more Parties,</w:t>
      </w:r>
      <w:r w:rsidR="00F505B0">
        <w:t xml:space="preserve"> each year since 2005. </w:t>
      </w:r>
    </w:p>
    <w:p w14:paraId="44EAD89D" w14:textId="13B695F8" w:rsidR="00F505B0" w:rsidRDefault="00B938C9" w:rsidP="00F505B0">
      <w:r>
        <w:t>In addition</w:t>
      </w:r>
      <w:r w:rsidR="0034688E">
        <w:t>,</w:t>
      </w:r>
      <w:r>
        <w:t xml:space="preserve"> t</w:t>
      </w:r>
      <w:r w:rsidR="00F505B0">
        <w:t xml:space="preserve">he 2010 TEAP Progress Report Volume 2 </w:t>
      </w:r>
      <w:r>
        <w:t>noted</w:t>
      </w:r>
      <w:r w:rsidR="00F505B0">
        <w:t xml:space="preserve"> that the United States had destroyed 10,531 tonnes of methyl bromide between 1996 and 2003</w:t>
      </w:r>
      <w:r w:rsidR="00F505B0">
        <w:rPr>
          <w:rStyle w:val="FootnoteReference"/>
        </w:rPr>
        <w:footnoteReference w:id="34"/>
      </w:r>
      <w:r w:rsidR="00F505B0">
        <w:t>.</w:t>
      </w:r>
      <w:r w:rsidR="0098504E">
        <w:t xml:space="preserve"> </w:t>
      </w:r>
      <w:r w:rsidR="0069440F">
        <w:t>Furthermore</w:t>
      </w:r>
      <w:r>
        <w:t xml:space="preserve">, </w:t>
      </w:r>
      <w:r w:rsidR="0098504E">
        <w:t>t</w:t>
      </w:r>
      <w:r w:rsidR="0098504E" w:rsidRPr="0098504E">
        <w:rPr>
          <w:lang w:val="en-AU"/>
        </w:rPr>
        <w:t>he 2016 Toxics Release Inventory</w:t>
      </w:r>
      <w:r w:rsidR="0098504E">
        <w:rPr>
          <w:rStyle w:val="FootnoteReference"/>
          <w:lang w:val="en-AU"/>
        </w:rPr>
        <w:footnoteReference w:id="35"/>
      </w:r>
      <w:r w:rsidR="0098504E">
        <w:rPr>
          <w:lang w:val="en-AU"/>
        </w:rPr>
        <w:t xml:space="preserve"> </w:t>
      </w:r>
      <w:r w:rsidR="0098504E" w:rsidRPr="0098504E">
        <w:rPr>
          <w:lang w:val="en-AU"/>
        </w:rPr>
        <w:t>shows a total of 112.6 tonnes of methyl bromide releases as fu</w:t>
      </w:r>
      <w:r w:rsidR="0098504E">
        <w:rPr>
          <w:lang w:val="en-AU"/>
        </w:rPr>
        <w:t>gitive and stack releases</w:t>
      </w:r>
      <w:r w:rsidR="0098504E" w:rsidRPr="0098504E">
        <w:rPr>
          <w:lang w:val="en-AU"/>
        </w:rPr>
        <w:t xml:space="preserve"> in </w:t>
      </w:r>
      <w:r w:rsidR="0098504E">
        <w:rPr>
          <w:lang w:val="en-AU"/>
        </w:rPr>
        <w:t>the United States</w:t>
      </w:r>
      <w:r w:rsidR="0098504E" w:rsidRPr="0098504E">
        <w:rPr>
          <w:lang w:val="en-AU"/>
        </w:rPr>
        <w:t>,</w:t>
      </w:r>
      <w:r w:rsidR="0098504E">
        <w:rPr>
          <w:lang w:val="en-AU"/>
        </w:rPr>
        <w:t xml:space="preserve"> with</w:t>
      </w:r>
      <w:r w:rsidR="0098504E" w:rsidRPr="0098504E">
        <w:rPr>
          <w:lang w:val="en-AU"/>
        </w:rPr>
        <w:t xml:space="preserve"> 1</w:t>
      </w:r>
      <w:r w:rsidR="0098504E">
        <w:rPr>
          <w:lang w:val="en-AU"/>
        </w:rPr>
        <w:t>,</w:t>
      </w:r>
      <w:r w:rsidR="0098504E" w:rsidRPr="0098504E">
        <w:rPr>
          <w:lang w:val="en-AU"/>
        </w:rPr>
        <w:t>499.8 tonnes destroyed on-site</w:t>
      </w:r>
      <w:r>
        <w:rPr>
          <w:lang w:val="en-AU"/>
        </w:rPr>
        <w:t xml:space="preserve"> in </w:t>
      </w:r>
      <w:r w:rsidR="0098504E" w:rsidRPr="0098504E">
        <w:rPr>
          <w:lang w:val="en-AU"/>
        </w:rPr>
        <w:t xml:space="preserve">the category ‘Chemical Industry’, with none </w:t>
      </w:r>
      <w:r w:rsidR="005951D7">
        <w:rPr>
          <w:lang w:val="en-AU"/>
        </w:rPr>
        <w:t xml:space="preserve">reported </w:t>
      </w:r>
      <w:r w:rsidR="0098504E" w:rsidRPr="0098504E">
        <w:rPr>
          <w:lang w:val="en-AU"/>
        </w:rPr>
        <w:t xml:space="preserve">from the ‘Food’ sector. In 1994, the Food sector </w:t>
      </w:r>
      <w:r>
        <w:rPr>
          <w:lang w:val="en-AU"/>
        </w:rPr>
        <w:t xml:space="preserve">had </w:t>
      </w:r>
      <w:r w:rsidR="0098504E" w:rsidRPr="0098504E">
        <w:rPr>
          <w:lang w:val="en-AU"/>
        </w:rPr>
        <w:t xml:space="preserve">reported venting of 209 tonnes, while </w:t>
      </w:r>
      <w:r w:rsidR="00983E8C">
        <w:rPr>
          <w:lang w:val="en-AU"/>
        </w:rPr>
        <w:t xml:space="preserve">the </w:t>
      </w:r>
      <w:r w:rsidR="0098504E" w:rsidRPr="0098504E">
        <w:rPr>
          <w:lang w:val="en-AU"/>
        </w:rPr>
        <w:t>Chemical Industry vented 1006 tonnes, recycled 350 tonnes and destroyed 85 tonnes</w:t>
      </w:r>
      <w:r w:rsidR="00A64273">
        <w:rPr>
          <w:rStyle w:val="FootnoteReference"/>
          <w:lang w:val="en-AU"/>
        </w:rPr>
        <w:footnoteReference w:id="36"/>
      </w:r>
      <w:r w:rsidR="0098504E" w:rsidRPr="0098504E">
        <w:rPr>
          <w:lang w:val="en-AU"/>
        </w:rPr>
        <w:t>. Details of the recycling and destruction processes were not given.</w:t>
      </w:r>
    </w:p>
    <w:p w14:paraId="0084DF52" w14:textId="64C81132" w:rsidR="00F505B0" w:rsidRPr="0004205F" w:rsidRDefault="00F505B0" w:rsidP="00275CBE">
      <w:pPr>
        <w:pStyle w:val="Heading4"/>
      </w:pPr>
      <w:r>
        <w:t>2.4.1.2</w:t>
      </w:r>
      <w:r>
        <w:tab/>
      </w:r>
      <w:r w:rsidRPr="0004205F">
        <w:t>Destruction technologies used for methyl bromide</w:t>
      </w:r>
    </w:p>
    <w:p w14:paraId="04780FEE" w14:textId="3CCD810D" w:rsidR="00F505B0" w:rsidRDefault="00F505B0" w:rsidP="00F505B0">
      <w:r w:rsidRPr="00224B4D">
        <w:t xml:space="preserve">The </w:t>
      </w:r>
      <w:r>
        <w:t xml:space="preserve">2010 and 2014 </w:t>
      </w:r>
      <w:r w:rsidRPr="00224B4D">
        <w:t>MBTOC</w:t>
      </w:r>
      <w:r>
        <w:t xml:space="preserve"> Assessment reports, and the </w:t>
      </w:r>
      <w:r w:rsidR="00064527">
        <w:t>United States’ submission</w:t>
      </w:r>
      <w:r w:rsidRPr="00224B4D">
        <w:t xml:space="preserve"> </w:t>
      </w:r>
      <w:r>
        <w:t>in response to this decision</w:t>
      </w:r>
      <w:r w:rsidR="008C4408">
        <w:t xml:space="preserve"> (D</w:t>
      </w:r>
      <w:r w:rsidR="008C4408" w:rsidRPr="0074798C">
        <w:t>ecision XXIX/4</w:t>
      </w:r>
      <w:r w:rsidR="008C4408">
        <w:t>)</w:t>
      </w:r>
      <w:r>
        <w:t>,</w:t>
      </w:r>
      <w:r w:rsidRPr="00224B4D">
        <w:t xml:space="preserve"> discuss </w:t>
      </w:r>
      <w:r w:rsidR="009A30CA" w:rsidRPr="00224B4D">
        <w:t xml:space="preserve">methyl bromide </w:t>
      </w:r>
      <w:r w:rsidRPr="00224B4D">
        <w:t xml:space="preserve">destruction and the technologies used. </w:t>
      </w:r>
    </w:p>
    <w:p w14:paraId="0D07C75A" w14:textId="77777777" w:rsidR="00F505B0" w:rsidRPr="00EA1F29" w:rsidRDefault="00F505B0" w:rsidP="00A94275">
      <w:pPr>
        <w:pStyle w:val="Heading5"/>
      </w:pPr>
      <w:r w:rsidRPr="00F91A3F">
        <w:t>Bulk m</w:t>
      </w:r>
      <w:r w:rsidRPr="00EA1F29">
        <w:t>ethyl bromide destruction technologies</w:t>
      </w:r>
    </w:p>
    <w:p w14:paraId="7E7774E8" w14:textId="757832AD" w:rsidR="00F505B0" w:rsidRDefault="00F505B0" w:rsidP="00F505B0">
      <w:r>
        <w:t xml:space="preserve">For the destruction of bulk methyl bromide, the </w:t>
      </w:r>
      <w:r w:rsidR="00064527">
        <w:t>United States’ submission</w:t>
      </w:r>
      <w:r>
        <w:t xml:space="preserve"> stated that two commercial destruction facilities destroyed methyl bromide in the 2010 to 2016 period using:</w:t>
      </w:r>
    </w:p>
    <w:p w14:paraId="47CCE578" w14:textId="77777777" w:rsidR="00F505B0" w:rsidRPr="00BD4591" w:rsidRDefault="00F505B0" w:rsidP="00A549E8">
      <w:pPr>
        <w:pStyle w:val="ListParagraph"/>
      </w:pPr>
      <w:r w:rsidRPr="00BD4591">
        <w:t>Gas/Fume Oxidation</w:t>
      </w:r>
    </w:p>
    <w:p w14:paraId="1A8BFBF2" w14:textId="77777777" w:rsidR="00F505B0" w:rsidRPr="00BD4591" w:rsidRDefault="00F505B0" w:rsidP="00A549E8">
      <w:pPr>
        <w:pStyle w:val="ListParagraph"/>
      </w:pPr>
      <w:r w:rsidRPr="00BD4591">
        <w:t>Rotary Kiln Incineration</w:t>
      </w:r>
    </w:p>
    <w:p w14:paraId="074D341B" w14:textId="5433F615" w:rsidR="00F505B0" w:rsidRDefault="00F505B0" w:rsidP="00F505B0">
      <w:r w:rsidRPr="00C5072A">
        <w:t xml:space="preserve">In addition to those facilities that destroy ODS commercially, </w:t>
      </w:r>
      <w:r>
        <w:t xml:space="preserve">some </w:t>
      </w:r>
      <w:r w:rsidRPr="00C5072A">
        <w:t xml:space="preserve">companies destroyed </w:t>
      </w:r>
      <w:r>
        <w:t xml:space="preserve">methyl bromide </w:t>
      </w:r>
      <w:r w:rsidRPr="00C5072A">
        <w:t>on-site from 2010 to 2016, either as a by-product of manufacture or when it is used as raw material in a manufacturing process.</w:t>
      </w:r>
      <w:r>
        <w:t xml:space="preserve"> The technologies used by some facilities were not disclosed, but the destruction technologies reported to be used are: </w:t>
      </w:r>
    </w:p>
    <w:p w14:paraId="37D4A456" w14:textId="77777777" w:rsidR="00F505B0" w:rsidRPr="0004205F" w:rsidRDefault="00F505B0" w:rsidP="00A549E8">
      <w:pPr>
        <w:pStyle w:val="ListParagraph"/>
      </w:pPr>
      <w:r w:rsidRPr="0004205F">
        <w:lastRenderedPageBreak/>
        <w:t>Fume/Vapo</w:t>
      </w:r>
      <w:r>
        <w:t>u</w:t>
      </w:r>
      <w:r w:rsidRPr="0004205F">
        <w:t>r</w:t>
      </w:r>
      <w:r>
        <w:t xml:space="preserve"> (</w:t>
      </w:r>
      <w:r w:rsidRPr="0022192C">
        <w:t>conventional thermal incineration</w:t>
      </w:r>
      <w:r>
        <w:t>)</w:t>
      </w:r>
    </w:p>
    <w:p w14:paraId="73B13761" w14:textId="77777777" w:rsidR="00F505B0" w:rsidRPr="0004205F" w:rsidRDefault="00F505B0" w:rsidP="00A549E8">
      <w:pPr>
        <w:pStyle w:val="ListParagraph"/>
      </w:pPr>
      <w:r w:rsidRPr="0004205F">
        <w:t xml:space="preserve">Other Incineration/Thermal treatment </w:t>
      </w:r>
    </w:p>
    <w:p w14:paraId="70A670A8" w14:textId="77777777" w:rsidR="00F505B0" w:rsidRPr="0004205F" w:rsidRDefault="00F505B0" w:rsidP="00A549E8">
      <w:pPr>
        <w:pStyle w:val="ListParagraph"/>
      </w:pPr>
      <w:r w:rsidRPr="0004205F">
        <w:t xml:space="preserve">Rotary Kiln with Liquid Injection Unit </w:t>
      </w:r>
    </w:p>
    <w:p w14:paraId="3C3CD6F1" w14:textId="77777777" w:rsidR="00F505B0" w:rsidRPr="0004205F" w:rsidRDefault="00F505B0" w:rsidP="00A549E8">
      <w:pPr>
        <w:pStyle w:val="ListParagraph"/>
      </w:pPr>
      <w:r w:rsidRPr="0004205F">
        <w:t>Other Rotary Kiln</w:t>
      </w:r>
    </w:p>
    <w:p w14:paraId="050EA369" w14:textId="77777777" w:rsidR="00F505B0" w:rsidRDefault="00F505B0" w:rsidP="00F505B0">
      <w:r>
        <w:t xml:space="preserve">The 2010 TEAP </w:t>
      </w:r>
      <w:r w:rsidRPr="0022192C">
        <w:t xml:space="preserve">Progress Report </w:t>
      </w:r>
      <w:r>
        <w:t xml:space="preserve">noted that </w:t>
      </w:r>
      <w:r w:rsidRPr="0022192C">
        <w:t>catalytic</w:t>
      </w:r>
      <w:r>
        <w:t xml:space="preserve"> </w:t>
      </w:r>
      <w:r w:rsidRPr="0022192C">
        <w:t>oxidisers</w:t>
      </w:r>
      <w:r>
        <w:t xml:space="preserve"> were one of the destruction technologies used</w:t>
      </w:r>
      <w:r w:rsidRPr="0022192C">
        <w:t>.</w:t>
      </w:r>
    </w:p>
    <w:p w14:paraId="11E486A2" w14:textId="54A53732" w:rsidR="00F505B0" w:rsidRPr="002918F7" w:rsidRDefault="00F505B0" w:rsidP="00F505B0">
      <w:pPr>
        <w:rPr>
          <w:rFonts w:ascii="TimesNewRomanPSMT" w:hAnsi="TimesNewRomanPSMT" w:cs="TimesNewRomanPSMT"/>
        </w:rPr>
      </w:pPr>
      <w:r w:rsidRPr="000A5246">
        <w:rPr>
          <w:rFonts w:ascii="TimesNewRomanPSMT" w:hAnsi="TimesNewRomanPSMT" w:cs="TimesNewRomanPSMT"/>
        </w:rPr>
        <w:t>Further information on emission</w:t>
      </w:r>
      <w:r w:rsidR="00B73437">
        <w:rPr>
          <w:rFonts w:ascii="TimesNewRomanPSMT" w:hAnsi="TimesNewRomanPSMT" w:cs="TimesNewRomanPSMT"/>
        </w:rPr>
        <w:t>s</w:t>
      </w:r>
      <w:r w:rsidRPr="000A5246">
        <w:rPr>
          <w:rFonts w:ascii="TimesNewRomanPSMT" w:hAnsi="TimesNewRomanPSMT" w:cs="TimesNewRomanPSMT"/>
        </w:rPr>
        <w:t xml:space="preserve"> </w:t>
      </w:r>
      <w:r w:rsidR="007C5390">
        <w:rPr>
          <w:rFonts w:ascii="TimesNewRomanPSMT" w:hAnsi="TimesNewRomanPSMT" w:cs="TimesNewRomanPSMT"/>
        </w:rPr>
        <w:t xml:space="preserve">data </w:t>
      </w:r>
      <w:r w:rsidR="00B73437" w:rsidRPr="000A5246">
        <w:rPr>
          <w:rFonts w:ascii="TimesNewRomanPSMT" w:hAnsi="TimesNewRomanPSMT" w:cs="TimesNewRomanPSMT"/>
        </w:rPr>
        <w:t>for dioxin</w:t>
      </w:r>
      <w:r w:rsidR="00974994">
        <w:rPr>
          <w:rFonts w:ascii="TimesNewRomanPSMT" w:hAnsi="TimesNewRomanPSMT" w:cs="TimesNewRomanPSMT"/>
        </w:rPr>
        <w:t>s</w:t>
      </w:r>
      <w:r w:rsidR="00B73437" w:rsidRPr="000A5246">
        <w:rPr>
          <w:rFonts w:ascii="TimesNewRomanPSMT" w:hAnsi="TimesNewRomanPSMT" w:cs="TimesNewRomanPSMT"/>
        </w:rPr>
        <w:t xml:space="preserve">/furans, CO, particulates, and </w:t>
      </w:r>
      <w:proofErr w:type="spellStart"/>
      <w:r w:rsidR="00B73437" w:rsidRPr="000A5246">
        <w:rPr>
          <w:rFonts w:ascii="TimesNewRomanPSMT" w:hAnsi="TimesNewRomanPSMT" w:cs="TimesNewRomanPSMT"/>
        </w:rPr>
        <w:t>HBr</w:t>
      </w:r>
      <w:proofErr w:type="spellEnd"/>
      <w:r w:rsidR="00B73437" w:rsidRPr="000A5246">
        <w:rPr>
          <w:rFonts w:ascii="TimesNewRomanPSMT" w:hAnsi="TimesNewRomanPSMT" w:cs="TimesNewRomanPSMT"/>
        </w:rPr>
        <w:t>/Br</w:t>
      </w:r>
      <w:r w:rsidR="00B73437" w:rsidRPr="00E56246">
        <w:rPr>
          <w:rFonts w:ascii="TimesNewRomanPSMT" w:hAnsi="TimesNewRomanPSMT" w:cs="TimesNewRomanPSMT"/>
          <w:vertAlign w:val="subscript"/>
        </w:rPr>
        <w:t>2</w:t>
      </w:r>
      <w:r w:rsidR="00B73437" w:rsidRPr="006D0FEA">
        <w:rPr>
          <w:rFonts w:ascii="TimesNewRomanPSMT" w:hAnsi="TimesNewRomanPSMT" w:cs="TimesNewRomanPSMT"/>
        </w:rPr>
        <w:t xml:space="preserve">, </w:t>
      </w:r>
      <w:r w:rsidRPr="000A5246">
        <w:rPr>
          <w:rFonts w:ascii="TimesNewRomanPSMT" w:hAnsi="TimesNewRomanPSMT" w:cs="TimesNewRomanPSMT"/>
        </w:rPr>
        <w:t>applicable to the commercial hazardous waste facilities</w:t>
      </w:r>
      <w:r w:rsidR="00B73437">
        <w:rPr>
          <w:rFonts w:ascii="TimesNewRomanPSMT" w:hAnsi="TimesNewRomanPSMT" w:cs="TimesNewRomanPSMT"/>
        </w:rPr>
        <w:t>,</w:t>
      </w:r>
      <w:r w:rsidRPr="000A5246">
        <w:rPr>
          <w:rFonts w:ascii="TimesNewRomanPSMT" w:hAnsi="TimesNewRomanPSMT" w:cs="TimesNewRomanPSMT"/>
        </w:rPr>
        <w:t xml:space="preserve"> </w:t>
      </w:r>
      <w:r w:rsidR="00B73437">
        <w:rPr>
          <w:rFonts w:ascii="TimesNewRomanPSMT" w:hAnsi="TimesNewRomanPSMT" w:cs="TimesNewRomanPSMT"/>
        </w:rPr>
        <w:t xml:space="preserve">would be needed </w:t>
      </w:r>
      <w:r>
        <w:rPr>
          <w:rFonts w:ascii="TimesNewRomanPSMT" w:hAnsi="TimesNewRomanPSMT" w:cs="TimesNewRomanPSMT"/>
        </w:rPr>
        <w:t xml:space="preserve">for the 2018 TFDT </w:t>
      </w:r>
      <w:r w:rsidRPr="000A5246">
        <w:rPr>
          <w:rFonts w:ascii="TimesNewRomanPSMT" w:hAnsi="TimesNewRomanPSMT" w:cs="TimesNewRomanPSMT"/>
        </w:rPr>
        <w:t>to evaluate if Rotary</w:t>
      </w:r>
      <w:r>
        <w:rPr>
          <w:rFonts w:ascii="TimesNewRomanPSMT" w:hAnsi="TimesNewRomanPSMT" w:cs="TimesNewRomanPSMT"/>
        </w:rPr>
        <w:t xml:space="preserve"> Kiln and Gas/Fume Oxidation could</w:t>
      </w:r>
      <w:r w:rsidRPr="000A5246">
        <w:rPr>
          <w:rFonts w:ascii="TimesNewRomanPSMT" w:hAnsi="TimesNewRomanPSMT" w:cs="TimesNewRomanPSMT"/>
        </w:rPr>
        <w:t xml:space="preserve"> be recommended for approval for methyl bromide destruction. In addition, further infor</w:t>
      </w:r>
      <w:r>
        <w:rPr>
          <w:rFonts w:ascii="TimesNewRomanPSMT" w:hAnsi="TimesNewRomanPSMT" w:cs="TimesNewRomanPSMT"/>
        </w:rPr>
        <w:t>mation would be required for those</w:t>
      </w:r>
      <w:r w:rsidRPr="000A5246">
        <w:rPr>
          <w:rFonts w:ascii="TimesNewRomanPSMT" w:hAnsi="TimesNewRomanPSMT" w:cs="TimesNewRomanPSMT"/>
        </w:rPr>
        <w:t xml:space="preserve"> facilities that destroy methyl bromide as a by-product if they </w:t>
      </w:r>
      <w:r w:rsidR="009A30CA">
        <w:rPr>
          <w:rFonts w:ascii="TimesNewRomanPSMT" w:hAnsi="TimesNewRomanPSMT" w:cs="TimesNewRomanPSMT"/>
        </w:rPr>
        <w:t>were</w:t>
      </w:r>
      <w:r w:rsidR="009A30CA" w:rsidRPr="000A5246">
        <w:rPr>
          <w:rFonts w:ascii="TimesNewRomanPSMT" w:hAnsi="TimesNewRomanPSMT" w:cs="TimesNewRomanPSMT"/>
        </w:rPr>
        <w:t xml:space="preserve"> </w:t>
      </w:r>
      <w:r w:rsidRPr="000A5246">
        <w:rPr>
          <w:rFonts w:ascii="TimesNewRomanPSMT" w:hAnsi="TimesNewRomanPSMT" w:cs="TimesNewRomanPSMT"/>
        </w:rPr>
        <w:t>to be assessed.</w:t>
      </w:r>
      <w:r w:rsidRPr="009F65A0">
        <w:rPr>
          <w:rFonts w:ascii="TimesNewRomanPSMT" w:hAnsi="TimesNewRomanPSMT" w:cs="TimesNewRomanPSMT"/>
        </w:rPr>
        <w:t xml:space="preserve"> </w:t>
      </w:r>
    </w:p>
    <w:p w14:paraId="070DB5E5" w14:textId="10565CBF" w:rsidR="00F505B0" w:rsidRPr="009B7E1B" w:rsidRDefault="00F505B0" w:rsidP="00A94275">
      <w:pPr>
        <w:pStyle w:val="Heading5"/>
      </w:pPr>
      <w:r w:rsidRPr="000A5246">
        <w:t xml:space="preserve">Methyl bromide capture and/or destruction immediately after </w:t>
      </w:r>
      <w:r w:rsidR="009A30CA">
        <w:t xml:space="preserve">fumigation </w:t>
      </w:r>
      <w:r w:rsidRPr="000A5246">
        <w:t>use</w:t>
      </w:r>
    </w:p>
    <w:p w14:paraId="424E7320" w14:textId="78F17B0C" w:rsidR="00AD4AD9" w:rsidRDefault="00AD4AD9" w:rsidP="00AD4AD9">
      <w:r>
        <w:t>In the context of fumigation, methyl bromide destruction can occur as part of a multi-step process, where methyl bromide is used for fumigation, extracted, and then destroyed. Methyl bromide can also be exhausted after fumigation, collected/captured (</w:t>
      </w:r>
      <w:r w:rsidR="00782994">
        <w:t xml:space="preserve">e.g. </w:t>
      </w:r>
      <w:r>
        <w:t>by a</w:t>
      </w:r>
      <w:r w:rsidR="000708BA">
        <w:t>d</w:t>
      </w:r>
      <w:r>
        <w:t xml:space="preserve">sorption onto activated carbon), and then processed, reused and/or disposed. </w:t>
      </w:r>
      <w:r w:rsidR="000708BA">
        <w:t>In both cases, the methyl bromide is recovered</w:t>
      </w:r>
      <w:r w:rsidR="00B50BD8">
        <w:t xml:space="preserve"> </w:t>
      </w:r>
      <w:r w:rsidR="000708BA">
        <w:t>from the fumigation chamber prior to destruction, reuse or disposal.</w:t>
      </w:r>
    </w:p>
    <w:p w14:paraId="56A36306" w14:textId="0D7FE1DC" w:rsidR="00AD4AD9" w:rsidRDefault="00AD4AD9" w:rsidP="00AD4AD9">
      <w:r>
        <w:t>Methyl bromide during fumigation is used at diluted concentrations for pre-plant soil (20-100 g/m</w:t>
      </w:r>
      <w:r w:rsidRPr="00D05E5C">
        <w:rPr>
          <w:vertAlign w:val="superscript"/>
        </w:rPr>
        <w:t>2</w:t>
      </w:r>
      <w:r>
        <w:t>) and commodity and structure fumigation (typically 24-128 g/m</w:t>
      </w:r>
      <w:r w:rsidRPr="00D05E5C">
        <w:rPr>
          <w:vertAlign w:val="superscript"/>
        </w:rPr>
        <w:t>3</w:t>
      </w:r>
      <w:r>
        <w:t>), where a significant amount (e.g. over 20%) of methyl bromide can be destroyed naturally during the fumigation process and a further quantity lost as fugitive emissions. L</w:t>
      </w:r>
      <w:r w:rsidRPr="00C76D7A">
        <w:t>osses during commodity and structure treatments can be substantial</w:t>
      </w:r>
      <w:r w:rsidRPr="00C76D7A">
        <w:rPr>
          <w:vertAlign w:val="superscript"/>
        </w:rPr>
        <w:footnoteReference w:id="37"/>
      </w:r>
      <w:r w:rsidRPr="00C76D7A">
        <w:t>.</w:t>
      </w:r>
      <w:r>
        <w:t xml:space="preserve"> The methyl bromide remaining in the head space of a chamber or structure after fumigation can be either extracted and captured or extracted and destroyed. However, the desorption of methyl bromide from the commodity/structure over time, and other issues related to the fumigation process, lead to inefficiencies in the recovery of the methyl bromide. Several technologies, which use either processes described above, are available or being evaluated for commodity and structural fumigations, although none are effective for soils. </w:t>
      </w:r>
    </w:p>
    <w:p w14:paraId="551AB332" w14:textId="573254DF" w:rsidR="00AD4AD9" w:rsidRDefault="00AD4AD9" w:rsidP="00AD4AD9">
      <w:r>
        <w:t xml:space="preserve">The practices associated with methyl bromide fumigation need to be taken into account when considering </w:t>
      </w:r>
      <w:r>
        <w:rPr>
          <w:lang w:val="en-AU"/>
        </w:rPr>
        <w:t>whether</w:t>
      </w:r>
      <w:r w:rsidRPr="001212F5">
        <w:rPr>
          <w:lang w:val="en-AU"/>
        </w:rPr>
        <w:t xml:space="preserve"> </w:t>
      </w:r>
      <w:r>
        <w:rPr>
          <w:lang w:val="en-AU"/>
        </w:rPr>
        <w:t>a</w:t>
      </w:r>
      <w:r w:rsidRPr="001212F5">
        <w:rPr>
          <w:lang w:val="en-AU"/>
        </w:rPr>
        <w:t xml:space="preserve"> technology </w:t>
      </w:r>
      <w:r>
        <w:rPr>
          <w:lang w:val="en-AU"/>
        </w:rPr>
        <w:t>can demonstrate</w:t>
      </w:r>
      <w:r w:rsidRPr="001212F5">
        <w:rPr>
          <w:lang w:val="en-AU"/>
        </w:rPr>
        <w:t xml:space="preserve"> </w:t>
      </w:r>
      <w:r>
        <w:rPr>
          <w:lang w:val="en-AU"/>
        </w:rPr>
        <w:t>methyl bromide destruction that is acceptable from the standpoint of minimising emissions to the atmosphere.</w:t>
      </w:r>
      <w:r>
        <w:t xml:space="preserve"> While methyl bromide can be recovered after fumigation, the losses during commodity and structure treatments can be substantial, and removal of the remaining methyl bromide from the fumigation can be an inefficient process. For this reason, the DRE of methyl bromide for a multi-step fumigation, extraction, and destruction process needs to consider the efficiency of the extraction and destruction process together. While the DRE of the destruction step should be at least 99.99% to minimise exhaust emissions (as for concentrated sources, and as for other ODS), the 2018 TFDT considers a lower DRE may be more appropriate</w:t>
      </w:r>
      <w:r w:rsidRPr="007B16A0">
        <w:t xml:space="preserve"> </w:t>
      </w:r>
      <w:r>
        <w:t xml:space="preserve">for the </w:t>
      </w:r>
      <w:r>
        <w:lastRenderedPageBreak/>
        <w:t xml:space="preserve">combined extraction/destruction steps </w:t>
      </w:r>
      <w:r w:rsidR="00EE3B86">
        <w:t>for processes where there are</w:t>
      </w:r>
      <w:r>
        <w:t xml:space="preserve"> inherent inefficiencies in the recovery of methyl bromide from the fumigation chamber.</w:t>
      </w:r>
    </w:p>
    <w:p w14:paraId="3407B8C8" w14:textId="3373F066" w:rsidR="00F505B0" w:rsidRDefault="00983E8C" w:rsidP="00F505B0">
      <w:r>
        <w:t>Methyl bromide can be exhausted directly into a destruction system or</w:t>
      </w:r>
      <w:r w:rsidR="00944DF2">
        <w:t>,</w:t>
      </w:r>
      <w:r>
        <w:t xml:space="preserve"> as stated in </w:t>
      </w:r>
      <w:r w:rsidR="00F505B0" w:rsidRPr="00801D78">
        <w:t xml:space="preserve">the 2014 MBTOC Assessment Report, </w:t>
      </w:r>
      <w:r w:rsidR="00F505B0">
        <w:t>a</w:t>
      </w:r>
      <w:r w:rsidR="00F505B0" w:rsidRPr="00801D78">
        <w:t xml:space="preserve"> number of </w:t>
      </w:r>
      <w:r w:rsidR="00B50BD8">
        <w:t>methods</w:t>
      </w:r>
      <w:r w:rsidR="00B50BD8" w:rsidRPr="00801D78">
        <w:t xml:space="preserve"> </w:t>
      </w:r>
      <w:r w:rsidR="00F505B0" w:rsidRPr="00801D78">
        <w:t xml:space="preserve">have been </w:t>
      </w:r>
      <w:r w:rsidR="00F505B0" w:rsidRPr="007450BD">
        <w:t xml:space="preserve">investigated </w:t>
      </w:r>
      <w:r w:rsidR="00944DF2">
        <w:t xml:space="preserve">or developed </w:t>
      </w:r>
      <w:r w:rsidR="00F505B0" w:rsidRPr="007450BD">
        <w:t xml:space="preserve">to </w:t>
      </w:r>
      <w:r w:rsidR="009A30CA">
        <w:t>capture</w:t>
      </w:r>
      <w:r w:rsidR="00F505B0" w:rsidRPr="007450BD">
        <w:t xml:space="preserve"> methyl bromide after fumigation operations. </w:t>
      </w:r>
      <w:r w:rsidR="00141C90" w:rsidRPr="007450BD">
        <w:t>Capture on activated carbon was reported as the main system in full</w:t>
      </w:r>
      <w:r w:rsidR="00944DF2">
        <w:t>-</w:t>
      </w:r>
      <w:r w:rsidR="00141C90" w:rsidRPr="007450BD">
        <w:t>scale commercial use.</w:t>
      </w:r>
      <w:r w:rsidR="005951D7">
        <w:t xml:space="preserve"> </w:t>
      </w:r>
      <w:r>
        <w:t>T</w:t>
      </w:r>
      <w:r w:rsidR="00F505B0" w:rsidRPr="00EA261B">
        <w:t xml:space="preserve">he </w:t>
      </w:r>
      <w:r w:rsidR="009A30CA">
        <w:t>capture</w:t>
      </w:r>
      <w:r w:rsidR="00F505B0" w:rsidRPr="00EA261B">
        <w:t xml:space="preserve">d methyl bromide </w:t>
      </w:r>
      <w:r>
        <w:t>can be</w:t>
      </w:r>
      <w:r w:rsidRPr="00EA261B">
        <w:t xml:space="preserve"> </w:t>
      </w:r>
      <w:r w:rsidR="00F505B0" w:rsidRPr="00EA261B">
        <w:t>recovered in liquid or gaseous form</w:t>
      </w:r>
      <w:r w:rsidR="005B0623">
        <w:t>, and</w:t>
      </w:r>
      <w:r w:rsidR="00F505B0" w:rsidRPr="004323D7">
        <w:t xml:space="preserve"> </w:t>
      </w:r>
      <w:r w:rsidR="005B0623">
        <w:t xml:space="preserve">then either </w:t>
      </w:r>
      <w:r w:rsidR="00F505B0" w:rsidRPr="004323D7">
        <w:t xml:space="preserve">destroyed, </w:t>
      </w:r>
      <w:r w:rsidR="005B0623">
        <w:t xml:space="preserve">e.g. </w:t>
      </w:r>
      <w:r w:rsidR="00F505B0" w:rsidRPr="004323D7">
        <w:t xml:space="preserve">by </w:t>
      </w:r>
      <w:r w:rsidR="005B0623">
        <w:t>incineration</w:t>
      </w:r>
      <w:r>
        <w:t>,</w:t>
      </w:r>
      <w:r w:rsidR="005B0623">
        <w:t xml:space="preserve"> </w:t>
      </w:r>
      <w:r w:rsidR="00F505B0" w:rsidRPr="004323D7">
        <w:t xml:space="preserve">or </w:t>
      </w:r>
      <w:r w:rsidR="008F7D94">
        <w:t xml:space="preserve">converted </w:t>
      </w:r>
      <w:r>
        <w:t xml:space="preserve">into inert products or </w:t>
      </w:r>
      <w:r w:rsidR="00E64BDD" w:rsidRPr="007450BD">
        <w:t>made available for reuse</w:t>
      </w:r>
      <w:r w:rsidR="00F505B0" w:rsidRPr="007450BD">
        <w:t xml:space="preserve">. </w:t>
      </w:r>
      <w:r w:rsidR="00F505B0">
        <w:t xml:space="preserve">MBTOC reported that various technical options were being assessed at that time. </w:t>
      </w:r>
      <w:r w:rsidR="000B293E" w:rsidRPr="000A5246">
        <w:t xml:space="preserve">Without </w:t>
      </w:r>
      <w:r w:rsidR="008F7D94">
        <w:t xml:space="preserve">capture </w:t>
      </w:r>
      <w:r w:rsidR="00946811">
        <w:t>and/</w:t>
      </w:r>
      <w:r w:rsidR="00944DF2">
        <w:t>or</w:t>
      </w:r>
      <w:r w:rsidR="00944DF2" w:rsidRPr="000A5246">
        <w:t xml:space="preserve"> </w:t>
      </w:r>
      <w:r w:rsidR="000B293E" w:rsidRPr="000A5246">
        <w:t>destruction, the methyl bromide used for fumiga</w:t>
      </w:r>
      <w:r w:rsidR="000B293E">
        <w:t>tion</w:t>
      </w:r>
      <w:r w:rsidR="000B293E" w:rsidRPr="000A5246">
        <w:t xml:space="preserve"> would be emitted </w:t>
      </w:r>
      <w:r w:rsidR="003E7AD1">
        <w:t xml:space="preserve">directly </w:t>
      </w:r>
      <w:r w:rsidR="000B293E" w:rsidRPr="000A5246">
        <w:t>to atmosphere.</w:t>
      </w:r>
    </w:p>
    <w:p w14:paraId="2748990A" w14:textId="32F1EA27" w:rsidR="00F505B0" w:rsidRPr="00A37DF1" w:rsidRDefault="00F505B0" w:rsidP="00F505B0">
      <w:r>
        <w:t xml:space="preserve">The </w:t>
      </w:r>
      <w:r w:rsidR="00064527">
        <w:t>United States’ submission</w:t>
      </w:r>
      <w:r>
        <w:t xml:space="preserve"> reports that f</w:t>
      </w:r>
      <w:r w:rsidRPr="00801D78">
        <w:t>acilities in California and Florida use an alkyl halide scrubbing system</w:t>
      </w:r>
      <w:r>
        <w:t>,</w:t>
      </w:r>
      <w:r w:rsidRPr="00801D78">
        <w:t xml:space="preserve"> which is able to chemically destroy captured methyl bromide through a proprietary scrubbing process using an aqueous reagent mix that converts methyl bromide to non-hazardous water-soluble products.</w:t>
      </w:r>
      <w:r>
        <w:t xml:space="preserve"> </w:t>
      </w:r>
    </w:p>
    <w:p w14:paraId="413BBCC4" w14:textId="1FB2530B" w:rsidR="008E622B" w:rsidRDefault="008E622B" w:rsidP="008E622B">
      <w:r w:rsidRPr="00355437">
        <w:t xml:space="preserve">With specific regard to methyl bromide from fumigation, the DRE, </w:t>
      </w:r>
      <w:r w:rsidR="00C2759D">
        <w:t xml:space="preserve">as </w:t>
      </w:r>
      <w:r w:rsidRPr="00355437">
        <w:t>defined by MBTOC</w:t>
      </w:r>
      <w:r w:rsidR="00A06EFC">
        <w:t xml:space="preserve"> in 2006</w:t>
      </w:r>
      <w:r w:rsidRPr="00355437">
        <w:t xml:space="preserve">, </w:t>
      </w:r>
      <w:r w:rsidR="00A06EFC">
        <w:t>is only</w:t>
      </w:r>
      <w:r w:rsidRPr="00355437">
        <w:t xml:space="preserve"> a measure of the destruction process itself</w:t>
      </w:r>
      <w:r w:rsidRPr="00355437">
        <w:rPr>
          <w:rStyle w:val="FootnoteReference"/>
        </w:rPr>
        <w:footnoteReference w:id="38"/>
      </w:r>
      <w:r w:rsidRPr="00355437">
        <w:t>. The September 2006 TEAP Report on 2006 C</w:t>
      </w:r>
      <w:r w:rsidR="002E0FE0">
        <w:t xml:space="preserve">ritical </w:t>
      </w:r>
      <w:r w:rsidRPr="00355437">
        <w:t>U</w:t>
      </w:r>
      <w:r w:rsidR="002E0FE0">
        <w:t xml:space="preserve">se </w:t>
      </w:r>
      <w:r w:rsidRPr="00355437">
        <w:t>N</w:t>
      </w:r>
      <w:r w:rsidR="002E0FE0">
        <w:t>omination</w:t>
      </w:r>
      <w:r w:rsidRPr="00355437">
        <w:t>s: Final Report</w:t>
      </w:r>
      <w:r w:rsidRPr="00355437">
        <w:rPr>
          <w:rStyle w:val="FootnoteReference"/>
        </w:rPr>
        <w:footnoteReference w:id="39"/>
      </w:r>
      <w:r w:rsidRPr="00355437">
        <w:t xml:space="preserve"> contains submissions reported under Decision XVII/11 from Australia and the U</w:t>
      </w:r>
      <w:r w:rsidR="0063418A">
        <w:t xml:space="preserve">nited </w:t>
      </w:r>
      <w:r w:rsidRPr="00355437">
        <w:t>S</w:t>
      </w:r>
      <w:r w:rsidR="0063418A">
        <w:t>tates</w:t>
      </w:r>
      <w:r w:rsidRPr="00355437">
        <w:t xml:space="preserve"> on the operating efficiencies </w:t>
      </w:r>
      <w:r w:rsidR="00A06EFC">
        <w:t>(DE, DRE, RDE</w:t>
      </w:r>
      <w:r w:rsidR="00A06EFC">
        <w:rPr>
          <w:rStyle w:val="FootnoteReference"/>
        </w:rPr>
        <w:footnoteReference w:id="40"/>
      </w:r>
      <w:r w:rsidR="00A06EFC">
        <w:t>) for fumigation, recovery and destruction, as part of a multi-step process</w:t>
      </w:r>
      <w:r w:rsidRPr="00355437">
        <w:t xml:space="preserve">. The </w:t>
      </w:r>
      <w:r w:rsidR="009B58E2">
        <w:lastRenderedPageBreak/>
        <w:t xml:space="preserve">various efficiencies </w:t>
      </w:r>
      <w:r w:rsidRPr="00355437">
        <w:t xml:space="preserve">reported </w:t>
      </w:r>
      <w:r w:rsidR="0008419D">
        <w:t>were</w:t>
      </w:r>
      <w:r w:rsidRPr="00355437">
        <w:t xml:space="preserve"> &gt;88% to 99.9%. However, the </w:t>
      </w:r>
      <w:r w:rsidR="0008419D">
        <w:t>DE</w:t>
      </w:r>
      <w:r w:rsidR="0008419D" w:rsidRPr="00355437">
        <w:t xml:space="preserve"> </w:t>
      </w:r>
      <w:r w:rsidRPr="00355437">
        <w:t xml:space="preserve">for the carbon-based systems, at least, are based on the assumption that the destruction system used </w:t>
      </w:r>
      <w:r w:rsidR="0063418A">
        <w:t>(</w:t>
      </w:r>
      <w:r w:rsidRPr="00355437">
        <w:t>thiosulfate washing or incineration</w:t>
      </w:r>
      <w:r w:rsidR="0063418A">
        <w:t>)</w:t>
      </w:r>
      <w:r w:rsidRPr="00355437">
        <w:t xml:space="preserve"> is 100% efficient and that there are no inadvertent losses during the destruction process. Measurements in support of this assumption were not supplied. The capture technology</w:t>
      </w:r>
      <w:r w:rsidRPr="00355437">
        <w:rPr>
          <w:rStyle w:val="FootnoteReference"/>
        </w:rPr>
        <w:footnoteReference w:id="41"/>
      </w:r>
      <w:r w:rsidRPr="00355437">
        <w:t xml:space="preserve"> </w:t>
      </w:r>
      <w:r w:rsidR="00C2759D">
        <w:t xml:space="preserve">alone </w:t>
      </w:r>
      <w:r w:rsidRPr="00355437">
        <w:t>reviewed by the 2011 TFDT achieved a recovery rate of 96.02% over an extended period (16 months).</w:t>
      </w:r>
    </w:p>
    <w:p w14:paraId="63A769DF" w14:textId="5936141A" w:rsidR="008C4408" w:rsidRPr="007450BD" w:rsidRDefault="008C4408" w:rsidP="008E622B">
      <w:r>
        <w:t>Destruction systems for methyl bromide</w:t>
      </w:r>
      <w:r w:rsidR="002465D1">
        <w:t xml:space="preserve"> following fumigation</w:t>
      </w:r>
      <w:r>
        <w:t>, proposed or in commercial use, have included absorption into ethylene diamine, decomposition with ozone after a</w:t>
      </w:r>
      <w:r w:rsidR="002465D1">
        <w:t>d</w:t>
      </w:r>
      <w:r>
        <w:t xml:space="preserve">sorption onto activated carbon, absorption and destruction into sodium </w:t>
      </w:r>
      <w:proofErr w:type="spellStart"/>
      <w:r>
        <w:t>thiosulphate</w:t>
      </w:r>
      <w:proofErr w:type="spellEnd"/>
      <w:r>
        <w:t xml:space="preserve"> solution and relatively low temperature catalytic combustion. </w:t>
      </w:r>
    </w:p>
    <w:p w14:paraId="3B0DFCA4" w14:textId="3B3F9995" w:rsidR="007450BD" w:rsidRDefault="00F505B0" w:rsidP="00BA4010">
      <w:r w:rsidRPr="007450BD">
        <w:t xml:space="preserve">A recent </w:t>
      </w:r>
      <w:r w:rsidR="00760324">
        <w:t xml:space="preserve">press </w:t>
      </w:r>
      <w:r w:rsidRPr="007450BD">
        <w:t>release</w:t>
      </w:r>
      <w:r w:rsidRPr="007450BD">
        <w:rPr>
          <w:rStyle w:val="FootnoteReference"/>
        </w:rPr>
        <w:footnoteReference w:id="42"/>
      </w:r>
      <w:r w:rsidRPr="007450BD">
        <w:t xml:space="preserve"> </w:t>
      </w:r>
      <w:r w:rsidR="00760324">
        <w:t xml:space="preserve">described </w:t>
      </w:r>
      <w:r w:rsidRPr="007450BD">
        <w:t>the performance of commercial facilities in Florida and California, which</w:t>
      </w:r>
      <w:r w:rsidR="00760324">
        <w:t xml:space="preserve"> use</w:t>
      </w:r>
      <w:r w:rsidRPr="007450BD">
        <w:t xml:space="preserve"> a two-stage</w:t>
      </w:r>
      <w:r w:rsidR="00636FC4">
        <w:t xml:space="preserve"> system;</w:t>
      </w:r>
      <w:r w:rsidRPr="007450BD">
        <w:t xml:space="preserve"> </w:t>
      </w:r>
      <w:r w:rsidR="0063418A">
        <w:t xml:space="preserve">capture and </w:t>
      </w:r>
      <w:r w:rsidR="00636FC4">
        <w:t xml:space="preserve">a </w:t>
      </w:r>
      <w:r w:rsidR="0063418A">
        <w:t xml:space="preserve">destruction </w:t>
      </w:r>
      <w:r w:rsidRPr="007450BD">
        <w:t>system</w:t>
      </w:r>
      <w:r w:rsidR="00636FC4">
        <w:t>.</w:t>
      </w:r>
      <w:r w:rsidRPr="00EA261B">
        <w:t xml:space="preserve"> </w:t>
      </w:r>
      <w:r w:rsidR="00636FC4">
        <w:t>It</w:t>
      </w:r>
      <w:r w:rsidR="00636FC4" w:rsidRPr="00EA261B">
        <w:t xml:space="preserve"> </w:t>
      </w:r>
      <w:r w:rsidRPr="00EA261B">
        <w:t xml:space="preserve">uses </w:t>
      </w:r>
      <w:r w:rsidR="00A87A7E">
        <w:t xml:space="preserve">activated carbon adsorption followed by an inline </w:t>
      </w:r>
      <w:r w:rsidRPr="00EA261B">
        <w:t xml:space="preserve">thiosulfate scrubber that chemically destroys over 94% </w:t>
      </w:r>
      <w:r w:rsidRPr="007450BD">
        <w:t xml:space="preserve">of the methyl bromide collected. </w:t>
      </w:r>
    </w:p>
    <w:p w14:paraId="73F547AA" w14:textId="1CC52724" w:rsidR="00636FC4" w:rsidRDefault="00636FC4" w:rsidP="00636FC4">
      <w:r>
        <w:t xml:space="preserve">In conclusion, for methyl bromide, </w:t>
      </w:r>
      <w:r w:rsidRPr="0008419D">
        <w:t>the</w:t>
      </w:r>
      <w:r w:rsidR="009109DD">
        <w:t xml:space="preserve"> </w:t>
      </w:r>
      <w:r w:rsidRPr="0008419D">
        <w:t>DRE</w:t>
      </w:r>
      <w:r w:rsidR="00806E5A">
        <w:t xml:space="preserve"> </w:t>
      </w:r>
      <w:r w:rsidRPr="0008419D">
        <w:t xml:space="preserve">of the destruction step </w:t>
      </w:r>
      <w:r w:rsidR="00806E5A">
        <w:t xml:space="preserve">alone </w:t>
      </w:r>
      <w:r w:rsidRPr="0008419D">
        <w:t xml:space="preserve">should be </w:t>
      </w:r>
      <w:r w:rsidR="002E4BDD" w:rsidRPr="0008419D">
        <w:t xml:space="preserve">at least </w:t>
      </w:r>
      <w:r w:rsidRPr="0008419D">
        <w:t>99.99%</w:t>
      </w:r>
      <w:r>
        <w:t xml:space="preserve"> to minimise exhaust emissions (like for concentrated sources, and for other ODS</w:t>
      </w:r>
      <w:r w:rsidR="0008419D">
        <w:t>).</w:t>
      </w:r>
      <w:r>
        <w:t xml:space="preserve"> </w:t>
      </w:r>
      <w:r w:rsidR="0008419D">
        <w:t>However, at present, t</w:t>
      </w:r>
      <w:r>
        <w:t xml:space="preserve">here are two </w:t>
      </w:r>
      <w:r w:rsidR="0008419D">
        <w:t xml:space="preserve">key </w:t>
      </w:r>
      <w:r>
        <w:t xml:space="preserve">approaches </w:t>
      </w:r>
      <w:r w:rsidR="00CD6185">
        <w:t xml:space="preserve">used to destroy methyl bromide following fumigation </w:t>
      </w:r>
      <w:r>
        <w:t xml:space="preserve">that </w:t>
      </w:r>
      <w:r w:rsidR="00CD6185">
        <w:t xml:space="preserve">could potentially </w:t>
      </w:r>
      <w:r>
        <w:t xml:space="preserve">be assessed against a </w:t>
      </w:r>
      <w:r w:rsidR="00CD6185">
        <w:t xml:space="preserve">lower </w:t>
      </w:r>
      <w:r w:rsidR="0008419D">
        <w:t xml:space="preserve">efficiency </w:t>
      </w:r>
      <w:r>
        <w:t>criteri</w:t>
      </w:r>
      <w:r w:rsidR="00BA30CB">
        <w:t>on</w:t>
      </w:r>
      <w:r w:rsidR="0008419D">
        <w:t>. Therefore, the 2018 TFDT considers a lower efficiency may be more appropriate</w:t>
      </w:r>
      <w:r w:rsidR="0008419D" w:rsidRPr="007B16A0">
        <w:t xml:space="preserve"> </w:t>
      </w:r>
      <w:r w:rsidR="0008419D">
        <w:t>for the combined extraction/destruction steps due to inefficiencies expected in the recovery of methyl bromide from the fumigation chamber.</w:t>
      </w:r>
      <w:r w:rsidR="0008419D">
        <w:rPr>
          <w:rStyle w:val="FootnoteReference"/>
        </w:rPr>
        <w:footnoteReference w:id="43"/>
      </w:r>
    </w:p>
    <w:p w14:paraId="1CF95CB7" w14:textId="121EF08A" w:rsidR="00774598" w:rsidRDefault="00774598" w:rsidP="00F505B0">
      <w:pPr>
        <w:spacing w:after="0"/>
        <w:rPr>
          <w:lang w:val="en-US" w:eastAsia="en-US"/>
        </w:rPr>
      </w:pPr>
      <w:r>
        <w:rPr>
          <w:lang w:val="en-US" w:eastAsia="en-US"/>
        </w:rPr>
        <w:br w:type="page"/>
      </w:r>
    </w:p>
    <w:p w14:paraId="25668ECE" w14:textId="77777777" w:rsidR="00774598" w:rsidRDefault="001233FC" w:rsidP="00A94275">
      <w:pPr>
        <w:pStyle w:val="Heading1"/>
        <w:rPr>
          <w:rStyle w:val="Heading1Char2"/>
        </w:rPr>
      </w:pPr>
      <w:bookmarkStart w:id="43" w:name="_Toc510531459"/>
      <w:r w:rsidRPr="001233FC">
        <w:rPr>
          <w:rStyle w:val="Heading1Char2"/>
        </w:rPr>
        <w:lastRenderedPageBreak/>
        <w:t>3</w:t>
      </w:r>
      <w:r>
        <w:rPr>
          <w:rStyle w:val="Heading1Char2"/>
        </w:rPr>
        <w:tab/>
      </w:r>
      <w:r w:rsidR="00774598" w:rsidRPr="001233FC">
        <w:rPr>
          <w:rStyle w:val="Heading1Char2"/>
        </w:rPr>
        <w:t xml:space="preserve">Assessment of approved destruction technologies to confirm their applicability </w:t>
      </w:r>
      <w:r w:rsidRPr="001233FC">
        <w:rPr>
          <w:rStyle w:val="Heading1Char2"/>
        </w:rPr>
        <w:t>to</w:t>
      </w:r>
      <w:r w:rsidR="00774598" w:rsidRPr="001233FC">
        <w:rPr>
          <w:rStyle w:val="Heading1Char2"/>
        </w:rPr>
        <w:t xml:space="preserve"> HFCs</w:t>
      </w:r>
      <w:bookmarkEnd w:id="43"/>
    </w:p>
    <w:p w14:paraId="6A8142C2" w14:textId="2D7C40E1" w:rsidR="001233FC" w:rsidRPr="00275CBE" w:rsidRDefault="001233FC" w:rsidP="00275CBE">
      <w:pPr>
        <w:pStyle w:val="Heading2"/>
      </w:pPr>
      <w:bookmarkStart w:id="44" w:name="_Toc510531460"/>
      <w:r w:rsidRPr="00275CBE">
        <w:t>3.1</w:t>
      </w:r>
      <w:r w:rsidRPr="00275CBE">
        <w:tab/>
      </w:r>
      <w:r w:rsidR="00406A32" w:rsidRPr="00275CBE">
        <w:t>The assessment of a</w:t>
      </w:r>
      <w:r w:rsidRPr="00275CBE">
        <w:t>pproved destruction technologies</w:t>
      </w:r>
      <w:bookmarkEnd w:id="44"/>
    </w:p>
    <w:p w14:paraId="12FD6955" w14:textId="4D5DD2CF" w:rsidR="001D19F1" w:rsidRDefault="001D19F1" w:rsidP="001D19F1">
      <w:pPr>
        <w:rPr>
          <w:lang w:val="en-AU"/>
        </w:rPr>
      </w:pPr>
      <w:r>
        <w:rPr>
          <w:lang w:val="en-AU"/>
        </w:rPr>
        <w:t>This chapter addresses paragraph 1a of decision XXIX/4:</w:t>
      </w:r>
    </w:p>
    <w:p w14:paraId="3F4CEEFD" w14:textId="7ED962EB" w:rsidR="001D19F1" w:rsidRPr="001D19F1" w:rsidRDefault="00D211EB" w:rsidP="001D19F1">
      <w:pPr>
        <w:rPr>
          <w:i/>
        </w:rPr>
      </w:pPr>
      <w:r>
        <w:rPr>
          <w:i/>
        </w:rPr>
        <w:t>“</w:t>
      </w:r>
      <w:r w:rsidR="001D19F1" w:rsidRPr="001D19F1">
        <w:rPr>
          <w:i/>
        </w:rPr>
        <w:t>An assessment of the destruction technologies as specified in the annex to decision XXIII/12 with a view to confirming their applicability to hydrofluorocarbons</w:t>
      </w:r>
      <w:r>
        <w:rPr>
          <w:i/>
        </w:rPr>
        <w:t>”</w:t>
      </w:r>
      <w:r w:rsidR="001D19F1" w:rsidRPr="001D19F1">
        <w:rPr>
          <w:i/>
        </w:rPr>
        <w:t xml:space="preserve">; </w:t>
      </w:r>
    </w:p>
    <w:p w14:paraId="0AB78EE4" w14:textId="179061D5" w:rsidR="001D19F1" w:rsidRDefault="001D19F1" w:rsidP="001D19F1">
      <w:pPr>
        <w:rPr>
          <w:lang w:val="en-AU"/>
        </w:rPr>
      </w:pPr>
      <w:r>
        <w:rPr>
          <w:lang w:val="en-AU"/>
        </w:rPr>
        <w:t>The current list of approved destruction processes is contained in the Annex to decision XXIII/12, as presented in Table 1-1.</w:t>
      </w:r>
    </w:p>
    <w:p w14:paraId="4C8C0E6F" w14:textId="14FAA241" w:rsidR="001D19F1" w:rsidRDefault="00BA2A6A" w:rsidP="00913031">
      <w:pPr>
        <w:rPr>
          <w:lang w:val="en-AU"/>
        </w:rPr>
      </w:pPr>
      <w:r>
        <w:rPr>
          <w:lang w:val="en-AU"/>
        </w:rPr>
        <w:t>Chapter 2</w:t>
      </w:r>
      <w:r w:rsidR="001D19F1">
        <w:rPr>
          <w:lang w:val="en-AU"/>
        </w:rPr>
        <w:t xml:space="preserve"> outlines the performance and technical capability criteria against which the approved technologies have been assessed to confirm their applicability to HFCs.</w:t>
      </w:r>
    </w:p>
    <w:p w14:paraId="0534FDCF" w14:textId="0377EBD2" w:rsidR="00276C46" w:rsidRDefault="001D19F1" w:rsidP="00984D1C">
      <w:pPr>
        <w:rPr>
          <w:lang w:val="en-AU"/>
        </w:rPr>
      </w:pPr>
      <w:r>
        <w:rPr>
          <w:lang w:val="en-AU"/>
        </w:rPr>
        <w:t xml:space="preserve">Data used to assess the approved destruction technologies applicability to HFCs came from a variety of sources, including parties’ submissions, </w:t>
      </w:r>
      <w:r w:rsidR="009D6E18">
        <w:rPr>
          <w:lang w:val="en-AU"/>
        </w:rPr>
        <w:t xml:space="preserve">publicly available information, </w:t>
      </w:r>
      <w:r w:rsidR="009D6E18" w:rsidRPr="00587D2E">
        <w:rPr>
          <w:lang w:val="en-AU"/>
        </w:rPr>
        <w:t xml:space="preserve">and </w:t>
      </w:r>
      <w:r w:rsidR="009D6E18">
        <w:rPr>
          <w:lang w:val="en-AU"/>
        </w:rPr>
        <w:t>additional information</w:t>
      </w:r>
      <w:r w:rsidR="009D6E18" w:rsidRPr="00587D2E">
        <w:rPr>
          <w:lang w:val="en-AU"/>
        </w:rPr>
        <w:t xml:space="preserve"> </w:t>
      </w:r>
      <w:r w:rsidR="009D6E18">
        <w:rPr>
          <w:lang w:val="en-AU"/>
        </w:rPr>
        <w:t xml:space="preserve">requested from </w:t>
      </w:r>
      <w:r w:rsidR="009D6E18" w:rsidRPr="00587D2E">
        <w:rPr>
          <w:lang w:val="en-AU"/>
        </w:rPr>
        <w:t xml:space="preserve">several </w:t>
      </w:r>
      <w:r w:rsidR="009D6E18">
        <w:rPr>
          <w:lang w:val="en-AU"/>
        </w:rPr>
        <w:t xml:space="preserve">parties and/or </w:t>
      </w:r>
      <w:r w:rsidR="009D6E18" w:rsidRPr="00587D2E">
        <w:rPr>
          <w:lang w:val="en-AU"/>
        </w:rPr>
        <w:t>technology</w:t>
      </w:r>
      <w:r w:rsidR="00D06B19">
        <w:rPr>
          <w:lang w:val="en-AU"/>
        </w:rPr>
        <w:t xml:space="preserve"> suppliers and</w:t>
      </w:r>
      <w:r w:rsidR="009D6E18" w:rsidRPr="00587D2E">
        <w:rPr>
          <w:lang w:val="en-AU"/>
        </w:rPr>
        <w:t xml:space="preserve"> </w:t>
      </w:r>
      <w:r w:rsidR="009D6E18">
        <w:rPr>
          <w:lang w:val="en-AU"/>
        </w:rPr>
        <w:t>owners</w:t>
      </w:r>
      <w:r w:rsidR="00D06B19">
        <w:rPr>
          <w:lang w:val="en-AU"/>
        </w:rPr>
        <w:t>.</w:t>
      </w:r>
    </w:p>
    <w:p w14:paraId="4AD06D01" w14:textId="77777777" w:rsidR="001E78FA" w:rsidRDefault="00BC2571" w:rsidP="00275CBE">
      <w:pPr>
        <w:pStyle w:val="Heading2"/>
      </w:pPr>
      <w:bookmarkStart w:id="45" w:name="_Toc510531461"/>
      <w:r w:rsidRPr="00A56833">
        <w:t>3.2</w:t>
      </w:r>
      <w:r w:rsidRPr="00A56833">
        <w:tab/>
      </w:r>
      <w:r w:rsidR="001E78FA" w:rsidRPr="00A56833">
        <w:t>Thermal Oxidation</w:t>
      </w:r>
      <w:bookmarkEnd w:id="45"/>
    </w:p>
    <w:p w14:paraId="594CD585" w14:textId="4B4A46A0" w:rsidR="006366EC" w:rsidRDefault="00B030E0" w:rsidP="00EA1F29">
      <w:pPr>
        <w:rPr>
          <w:snapToGrid w:val="0"/>
          <w:lang w:val="en-US"/>
        </w:rPr>
      </w:pPr>
      <w:bookmarkStart w:id="46" w:name="_Toc505079422"/>
      <w:r>
        <w:rPr>
          <w:lang w:val="en-US" w:eastAsia="en-US"/>
        </w:rPr>
        <w:t xml:space="preserve">Thermal Oxidation or Incineration is the use of controlled flame combustion to destroy </w:t>
      </w:r>
      <w:r w:rsidR="00B067D4">
        <w:rPr>
          <w:lang w:val="en-US" w:eastAsia="en-US"/>
        </w:rPr>
        <w:t>substances</w:t>
      </w:r>
      <w:r>
        <w:rPr>
          <w:lang w:val="en-US" w:eastAsia="en-US"/>
        </w:rPr>
        <w:t xml:space="preserve"> in an engineered device. The technologies have been developed for the dedicated incineration of ODS, co-incineration of ODS along with other waste or whether the ODS are incinerated in a manufacturing process.</w:t>
      </w:r>
      <w:r w:rsidR="006366EC">
        <w:rPr>
          <w:snapToGrid w:val="0"/>
          <w:lang w:val="en-US"/>
        </w:rPr>
        <w:t xml:space="preserve"> </w:t>
      </w:r>
      <w:r w:rsidR="00B067D4">
        <w:rPr>
          <w:snapToGrid w:val="0"/>
          <w:lang w:val="en-US"/>
        </w:rPr>
        <w:t>For example, l</w:t>
      </w:r>
      <w:r w:rsidR="006366EC">
        <w:rPr>
          <w:snapToGrid w:val="0"/>
          <w:lang w:val="en-US"/>
        </w:rPr>
        <w:t xml:space="preserve">iquid injection incineration, gaseous flume oxidation, porous thermal reactor, and reactor cracking are </w:t>
      </w:r>
      <w:r w:rsidR="00CB043D">
        <w:rPr>
          <w:snapToGrid w:val="0"/>
          <w:lang w:val="en-US"/>
        </w:rPr>
        <w:t>integrated into</w:t>
      </w:r>
      <w:r w:rsidR="006366EC">
        <w:rPr>
          <w:snapToGrid w:val="0"/>
          <w:lang w:val="en-US"/>
        </w:rPr>
        <w:t xml:space="preserve"> process plants for halogenated by-product destruction</w:t>
      </w:r>
      <w:r w:rsidR="009E7355">
        <w:rPr>
          <w:snapToGrid w:val="0"/>
          <w:lang w:val="en-US"/>
        </w:rPr>
        <w:t>,</w:t>
      </w:r>
      <w:r w:rsidR="006366EC">
        <w:rPr>
          <w:snapToGrid w:val="0"/>
          <w:lang w:val="en-US"/>
        </w:rPr>
        <w:t xml:space="preserve"> including </w:t>
      </w:r>
      <w:r w:rsidR="009E7355">
        <w:rPr>
          <w:snapToGrid w:val="0"/>
          <w:lang w:val="en-US"/>
        </w:rPr>
        <w:t xml:space="preserve">for </w:t>
      </w:r>
      <w:r w:rsidR="006366EC">
        <w:rPr>
          <w:snapToGrid w:val="0"/>
          <w:lang w:val="en-US"/>
        </w:rPr>
        <w:t xml:space="preserve">ODS and in most cases </w:t>
      </w:r>
      <w:r w:rsidR="009E7355">
        <w:rPr>
          <w:snapToGrid w:val="0"/>
          <w:lang w:val="en-US"/>
        </w:rPr>
        <w:t xml:space="preserve">for </w:t>
      </w:r>
      <w:r w:rsidR="006366EC">
        <w:rPr>
          <w:snapToGrid w:val="0"/>
          <w:lang w:val="en-US"/>
        </w:rPr>
        <w:t>HFCs</w:t>
      </w:r>
      <w:r w:rsidR="009E7355">
        <w:rPr>
          <w:snapToGrid w:val="0"/>
          <w:lang w:val="en-US"/>
        </w:rPr>
        <w:t xml:space="preserve">, such as HFC-23. </w:t>
      </w:r>
    </w:p>
    <w:p w14:paraId="33FFE384" w14:textId="17AE98F2" w:rsidR="00443B20" w:rsidRPr="00584E0D" w:rsidRDefault="006366EC" w:rsidP="006D0FEA">
      <w:r w:rsidRPr="00EA1F29">
        <w:t>Material of construction of equipment used in thermal oxidation facilities</w:t>
      </w:r>
      <w:r w:rsidR="00455D31" w:rsidRPr="00584E0D">
        <w:t xml:space="preserve"> need to be</w:t>
      </w:r>
      <w:r w:rsidRPr="00584E0D">
        <w:t xml:space="preserve"> compatible with acids, particularly </w:t>
      </w:r>
      <w:proofErr w:type="spellStart"/>
      <w:r w:rsidRPr="00584E0D">
        <w:t>HCl</w:t>
      </w:r>
      <w:proofErr w:type="spellEnd"/>
      <w:r w:rsidRPr="00584E0D">
        <w:t xml:space="preserve"> and HF especially due to HF formation in exhaust gases due to HFC destruction to avoid excessive downtime for maintenance</w:t>
      </w:r>
      <w:r w:rsidR="00A151CF" w:rsidRPr="00584E0D">
        <w:t>.</w:t>
      </w:r>
      <w:r w:rsidRPr="00584E0D">
        <w:t xml:space="preserve"> </w:t>
      </w:r>
    </w:p>
    <w:p w14:paraId="3203220D" w14:textId="64052240" w:rsidR="001F6C65" w:rsidRPr="00BC5C67" w:rsidRDefault="001F6C65" w:rsidP="00275CBE">
      <w:pPr>
        <w:pStyle w:val="Heading3"/>
      </w:pPr>
      <w:bookmarkStart w:id="47" w:name="_Ref510530234"/>
      <w:bookmarkStart w:id="48" w:name="_Toc510531462"/>
      <w:r w:rsidRPr="00275CBE">
        <w:t>3.2.1</w:t>
      </w:r>
      <w:r w:rsidRPr="00275CBE">
        <w:tab/>
        <w:t>Cement Kilns</w:t>
      </w:r>
      <w:bookmarkEnd w:id="46"/>
      <w:bookmarkEnd w:id="47"/>
      <w:bookmarkEnd w:id="48"/>
    </w:p>
    <w:p w14:paraId="7EAA43F0" w14:textId="77777777" w:rsidR="00443B20" w:rsidRDefault="0050218E" w:rsidP="0050218E">
      <w:bookmarkStart w:id="49" w:name="_Toc505079423"/>
      <w:r>
        <w:rPr>
          <w:rFonts w:eastAsia="Times New Roman"/>
          <w:lang w:val="en-AU"/>
        </w:rPr>
        <w:t xml:space="preserve">This is a manufacturing process that produces Portland </w:t>
      </w:r>
      <w:r>
        <w:t xml:space="preserve">cement by heating calcium (usually limestone), silica and alumina (typically clay or shale) and iron (steel mill scale or iron ore) in cement kilns to temperatures of up to 1500ºC. Under this intense heat, the raw materials blend to form a pebble-like substance called “clinker” which is later cooled and ground with a small amount of gypsum to produce cement. </w:t>
      </w:r>
      <w:r w:rsidRPr="008511CC">
        <w:t>A comprehensive process description is p</w:t>
      </w:r>
      <w:r>
        <w:t>rovided in the 2002 TEAP report.</w:t>
      </w:r>
      <w:r w:rsidR="00443B20">
        <w:t xml:space="preserve"> </w:t>
      </w:r>
    </w:p>
    <w:p w14:paraId="33757DF4" w14:textId="061AF13A" w:rsidR="00386920" w:rsidRDefault="00DB163F" w:rsidP="00386920">
      <w:pPr>
        <w:rPr>
          <w:lang w:val="en-AU"/>
        </w:rPr>
      </w:pPr>
      <w:r>
        <w:rPr>
          <w:lang w:val="en-AU"/>
        </w:rPr>
        <w:t xml:space="preserve">At the time of writing, no specific DRE or relevant emission data were available for assessment of HFC destruction against the performance criteria. </w:t>
      </w:r>
      <w:r w:rsidR="00413892" w:rsidRPr="0078658C">
        <w:rPr>
          <w:b/>
          <w:u w:val="single"/>
        </w:rPr>
        <w:t>Cement Kilns are</w:t>
      </w:r>
      <w:r w:rsidR="0050218E" w:rsidRPr="0078658C">
        <w:rPr>
          <w:b/>
          <w:u w:val="single"/>
        </w:rPr>
        <w:t xml:space="preserve"> </w:t>
      </w:r>
      <w:r w:rsidR="0050218E" w:rsidRPr="002678F8">
        <w:rPr>
          <w:b/>
          <w:u w:val="single"/>
        </w:rPr>
        <w:t>recommended</w:t>
      </w:r>
      <w:r w:rsidR="0050218E">
        <w:rPr>
          <w:b/>
          <w:u w:val="single"/>
        </w:rPr>
        <w:t xml:space="preserve"> as</w:t>
      </w:r>
      <w:r w:rsidR="009E7355">
        <w:rPr>
          <w:b/>
          <w:u w:val="single"/>
        </w:rPr>
        <w:t xml:space="preserve"> </w:t>
      </w:r>
      <w:r w:rsidR="0050218E" w:rsidRPr="00851F74">
        <w:rPr>
          <w:b/>
          <w:i/>
          <w:u w:val="single"/>
        </w:rPr>
        <w:t xml:space="preserve">high </w:t>
      </w:r>
      <w:r w:rsidR="003E4893" w:rsidRPr="00851F74">
        <w:rPr>
          <w:b/>
          <w:i/>
          <w:u w:val="single"/>
        </w:rPr>
        <w:t>potential</w:t>
      </w:r>
      <w:r w:rsidR="0050218E">
        <w:rPr>
          <w:b/>
          <w:u w:val="single"/>
        </w:rPr>
        <w:t xml:space="preserve"> </w:t>
      </w:r>
      <w:r w:rsidR="0050218E" w:rsidRPr="00E87025">
        <w:rPr>
          <w:b/>
          <w:u w:val="single"/>
        </w:rPr>
        <w:t xml:space="preserve">for </w:t>
      </w:r>
      <w:r w:rsidR="009E7355">
        <w:rPr>
          <w:b/>
          <w:u w:val="single"/>
        </w:rPr>
        <w:t xml:space="preserve">applicability to </w:t>
      </w:r>
      <w:r w:rsidR="0050218E" w:rsidRPr="00E87025">
        <w:rPr>
          <w:b/>
          <w:u w:val="single"/>
        </w:rPr>
        <w:t>HFC</w:t>
      </w:r>
      <w:r w:rsidR="009E7355">
        <w:rPr>
          <w:b/>
          <w:u w:val="single"/>
        </w:rPr>
        <w:t>s</w:t>
      </w:r>
      <w:r w:rsidR="0050218E" w:rsidRPr="00E87025">
        <w:rPr>
          <w:b/>
          <w:u w:val="single"/>
        </w:rPr>
        <w:t xml:space="preserve"> destruction</w:t>
      </w:r>
      <w:r w:rsidR="0017592E">
        <w:rPr>
          <w:b/>
          <w:u w:val="single"/>
        </w:rPr>
        <w:t>,</w:t>
      </w:r>
      <w:r w:rsidR="00851F74">
        <w:rPr>
          <w:b/>
          <w:u w:val="single"/>
        </w:rPr>
        <w:t xml:space="preserve"> </w:t>
      </w:r>
      <w:r w:rsidR="0017592E">
        <w:rPr>
          <w:b/>
          <w:u w:val="single"/>
        </w:rPr>
        <w:t>including HFC-23</w:t>
      </w:r>
      <w:r w:rsidR="0050218E">
        <w:t>.</w:t>
      </w:r>
      <w:r w:rsidR="00413892">
        <w:t xml:space="preserve"> </w:t>
      </w:r>
    </w:p>
    <w:p w14:paraId="6AC151E7" w14:textId="5B9E328E" w:rsidR="009D241E" w:rsidRDefault="009D241E" w:rsidP="009D241E">
      <w:pPr>
        <w:rPr>
          <w:lang w:val="en-AU"/>
        </w:rPr>
      </w:pPr>
      <w:r>
        <w:rPr>
          <w:lang w:val="en-AU"/>
        </w:rPr>
        <w:t>There are reports of destruction of ODS foams in Cement Kilns; however</w:t>
      </w:r>
      <w:r w:rsidR="001E2B4D">
        <w:rPr>
          <w:lang w:val="en-AU"/>
        </w:rPr>
        <w:t>,</w:t>
      </w:r>
      <w:r>
        <w:rPr>
          <w:lang w:val="en-AU"/>
        </w:rPr>
        <w:t xml:space="preserve"> no data was made available to the 2018 TFDT. </w:t>
      </w:r>
    </w:p>
    <w:p w14:paraId="50CB16A3" w14:textId="77777777" w:rsidR="0050218E" w:rsidRPr="006C0C5C" w:rsidRDefault="0050218E" w:rsidP="00275CBE">
      <w:pPr>
        <w:pStyle w:val="Heading4"/>
      </w:pPr>
      <w:bookmarkStart w:id="50" w:name="_Hlk507241355"/>
      <w:r w:rsidRPr="006C0C5C">
        <w:t>3.2.1.1</w:t>
      </w:r>
      <w:r w:rsidRPr="006C0C5C">
        <w:tab/>
        <w:t>Experience with HFC destruction</w:t>
      </w:r>
    </w:p>
    <w:p w14:paraId="1A3050E5" w14:textId="4F026338" w:rsidR="0050218E" w:rsidRDefault="0050218E" w:rsidP="0050218E">
      <w:pPr>
        <w:rPr>
          <w:lang w:val="en-AU"/>
        </w:rPr>
      </w:pPr>
      <w:r>
        <w:rPr>
          <w:lang w:val="en-AU"/>
        </w:rPr>
        <w:t>Two Parties have reported use of this technology for destruction of HFCs. Mexico has reported general emission data applicable</w:t>
      </w:r>
      <w:r w:rsidR="00851F74">
        <w:rPr>
          <w:lang w:val="en-AU"/>
        </w:rPr>
        <w:t xml:space="preserve"> to destruction of HFC-23 and H</w:t>
      </w:r>
      <w:r>
        <w:rPr>
          <w:lang w:val="en-AU"/>
        </w:rPr>
        <w:t>FC</w:t>
      </w:r>
      <w:r w:rsidR="00851F74">
        <w:rPr>
          <w:lang w:val="en-AU"/>
        </w:rPr>
        <w:t>-</w:t>
      </w:r>
      <w:r>
        <w:rPr>
          <w:lang w:val="en-AU"/>
        </w:rPr>
        <w:t xml:space="preserve">134a in a cement kiln but no actual DRE values nor general emissions for pollutants have been </w:t>
      </w:r>
      <w:r>
        <w:rPr>
          <w:lang w:val="en-AU"/>
        </w:rPr>
        <w:lastRenderedPageBreak/>
        <w:t>submitted</w:t>
      </w:r>
      <w:r w:rsidR="00413892">
        <w:rPr>
          <w:lang w:val="en-AU"/>
        </w:rPr>
        <w:t xml:space="preserve"> for comparison against the performance criteria for this assessment. </w:t>
      </w:r>
      <w:r>
        <w:rPr>
          <w:lang w:val="en-AU"/>
        </w:rPr>
        <w:t>Japan has reported the use of cement kilns and lime calcination furnaces for the destruction of refrigerants generally without any specific emission per</w:t>
      </w:r>
      <w:r w:rsidR="00413892">
        <w:rPr>
          <w:lang w:val="en-AU"/>
        </w:rPr>
        <w:t xml:space="preserve">formance or DRE data provided. </w:t>
      </w:r>
      <w:r>
        <w:rPr>
          <w:lang w:val="en-AU"/>
        </w:rPr>
        <w:t>No data was reported by Parties on quantities of HFCs destroyed</w:t>
      </w:r>
      <w:r w:rsidR="00E47E41">
        <w:rPr>
          <w:lang w:val="en-AU"/>
        </w:rPr>
        <w:t>.</w:t>
      </w:r>
    </w:p>
    <w:p w14:paraId="4A9C2753" w14:textId="77777777" w:rsidR="0050218E" w:rsidRPr="001F6C65" w:rsidRDefault="0050218E" w:rsidP="00275CBE">
      <w:pPr>
        <w:pStyle w:val="Heading4"/>
      </w:pPr>
      <w:r w:rsidRPr="001F6C65">
        <w:t>3.2.1.2</w:t>
      </w:r>
      <w:r w:rsidRPr="001F6C65">
        <w:tab/>
        <w:t>Assessment of applicability to HFCs using performance criteria</w:t>
      </w:r>
    </w:p>
    <w:p w14:paraId="639D7597" w14:textId="3D4DD9B7" w:rsidR="0050218E" w:rsidRPr="00F807A6" w:rsidRDefault="00413892" w:rsidP="0050218E">
      <w:pPr>
        <w:rPr>
          <w:b/>
          <w:i/>
          <w:lang w:val="en-AU"/>
        </w:rPr>
      </w:pPr>
      <w:r>
        <w:rPr>
          <w:lang w:val="en-AU"/>
        </w:rPr>
        <w:t>At the time of</w:t>
      </w:r>
      <w:r w:rsidR="0050218E">
        <w:rPr>
          <w:lang w:val="en-AU"/>
        </w:rPr>
        <w:t xml:space="preserve"> writing, no specific DRE or emission data for assessment against </w:t>
      </w:r>
      <w:r w:rsidR="003E4893">
        <w:rPr>
          <w:lang w:val="en-AU"/>
        </w:rPr>
        <w:t xml:space="preserve">the performance </w:t>
      </w:r>
      <w:r w:rsidR="0050218E">
        <w:rPr>
          <w:lang w:val="en-AU"/>
        </w:rPr>
        <w:t>criteria were available</w:t>
      </w:r>
      <w:r w:rsidR="0050218E">
        <w:rPr>
          <w:b/>
          <w:i/>
          <w:lang w:val="en-AU"/>
        </w:rPr>
        <w:t>.</w:t>
      </w:r>
    </w:p>
    <w:p w14:paraId="2AB504EA" w14:textId="77777777" w:rsidR="0050218E" w:rsidRPr="006C0C5C" w:rsidRDefault="0050218E" w:rsidP="00275CBE">
      <w:pPr>
        <w:pStyle w:val="Heading4"/>
      </w:pPr>
      <w:r w:rsidRPr="006C0C5C">
        <w:t>3.2.1.3</w:t>
      </w:r>
      <w:r w:rsidRPr="006C0C5C">
        <w:tab/>
        <w:t>Technical capability for destruction of HFCs</w:t>
      </w:r>
    </w:p>
    <w:p w14:paraId="7D8A3D6D" w14:textId="17FC64B2" w:rsidR="0050218E" w:rsidRDefault="0050218E" w:rsidP="0050218E">
      <w:r>
        <w:t>The technology</w:t>
      </w:r>
      <w:r w:rsidR="003E4893">
        <w:t xml:space="preserve"> offers relatively high through</w:t>
      </w:r>
      <w:r>
        <w:t>put capacity for the destruction of ODS and HFCs. Reported throughput capacities of 50 kg/hr were recorded in M</w:t>
      </w:r>
      <w:r w:rsidR="003E4893">
        <w:t xml:space="preserve">exico for HFC-23 and HFC-134a. </w:t>
      </w:r>
      <w:r>
        <w:t xml:space="preserve">Japan reports throughputs applicable to </w:t>
      </w:r>
      <w:r w:rsidR="003E4893">
        <w:t>F-gases</w:t>
      </w:r>
      <w:r>
        <w:t xml:space="preserve"> generally </w:t>
      </w:r>
      <w:r w:rsidR="003E4893">
        <w:t xml:space="preserve">in the range of 10-50 kg/hour. </w:t>
      </w:r>
      <w:r>
        <w:t>Limitations on throughput are assumed to be largely determined by the tolerance of the primary commercial process products to chlorine and fluorine content in the overall feed</w:t>
      </w:r>
      <w:r w:rsidR="003E4893">
        <w:t>,</w:t>
      </w:r>
      <w:r>
        <w:t xml:space="preserve"> given potential negative impacts on </w:t>
      </w:r>
      <w:r w:rsidR="003E4893">
        <w:t xml:space="preserve">product quality and operation. </w:t>
      </w:r>
      <w:r>
        <w:t xml:space="preserve">The 2002 </w:t>
      </w:r>
      <w:r w:rsidR="003E4893">
        <w:t>TFDT</w:t>
      </w:r>
      <w:r>
        <w:t xml:space="preserve"> report indicates that conservative limits of 0.015% chlorine and 0.25% fluorine in the overall mass feed may apply, noting that this may increase </w:t>
      </w:r>
      <w:r w:rsidR="003E4893">
        <w:t xml:space="preserve">on </w:t>
      </w:r>
      <w:r>
        <w:t>a facility specific basis</w:t>
      </w:r>
      <w:r w:rsidR="003E4893">
        <w:t>,</w:t>
      </w:r>
      <w:r>
        <w:t xml:space="preserve"> depending on the type of process and specific control parameters.</w:t>
      </w:r>
      <w:r w:rsidR="00514300">
        <w:t xml:space="preserve"> </w:t>
      </w:r>
    </w:p>
    <w:p w14:paraId="3B63762F" w14:textId="03A1A92B" w:rsidR="0050218E" w:rsidRDefault="0050218E" w:rsidP="0050218E">
      <w:r w:rsidRPr="00361999">
        <w:t>In terms of overall assessment of this technology, it is concluded that</w:t>
      </w:r>
      <w:r w:rsidR="003E4893">
        <w:t>,</w:t>
      </w:r>
      <w:r w:rsidRPr="00361999">
        <w:t xml:space="preserve"> in principle</w:t>
      </w:r>
      <w:r w:rsidR="003E4893">
        <w:t>,</w:t>
      </w:r>
      <w:r w:rsidRPr="00361999">
        <w:t xml:space="preserve"> cement kilns equipped with suitable feed infrastructure and modern air pollution control technology </w:t>
      </w:r>
      <w:r w:rsidRPr="0025201D">
        <w:t>would likely be capable</w:t>
      </w:r>
      <w:r>
        <w:t xml:space="preserve"> of destruction of HFCs meeting </w:t>
      </w:r>
      <w:r w:rsidR="00A1722A">
        <w:t xml:space="preserve">the performance </w:t>
      </w:r>
      <w:r>
        <w:t>criteria</w:t>
      </w:r>
      <w:r w:rsidR="00D211EB">
        <w:t>.</w:t>
      </w:r>
      <w:r>
        <w:t xml:space="preserve"> </w:t>
      </w:r>
    </w:p>
    <w:p w14:paraId="71B9BF04" w14:textId="77777777" w:rsidR="0050218E" w:rsidRPr="006C0C5C" w:rsidRDefault="0050218E" w:rsidP="00275CBE">
      <w:pPr>
        <w:pStyle w:val="Heading4"/>
      </w:pPr>
      <w:r w:rsidRPr="006C0C5C">
        <w:t>3.2.1.4</w:t>
      </w:r>
      <w:r w:rsidRPr="006C0C5C">
        <w:tab/>
        <w:t>Other considerations</w:t>
      </w:r>
    </w:p>
    <w:p w14:paraId="7DE1E367" w14:textId="219C87CB" w:rsidR="0050218E" w:rsidRDefault="0050218E" w:rsidP="0050218E">
      <w:r>
        <w:t>This technology utilizes manufacturing infrastructure already available in Non-Article 5 and Article 5 countries which may provide an option for destruction of HFCs in countries that might not have other national destruction options. Performance for destruction with HFCs (as with ODS) should be viewed as facility specific</w:t>
      </w:r>
      <w:bookmarkEnd w:id="50"/>
      <w:r>
        <w:t xml:space="preserve">. A discussion of advantages and risks applicable to cement kilns is provided in the 2002 </w:t>
      </w:r>
      <w:r w:rsidR="00E47E41">
        <w:t>TFDT</w:t>
      </w:r>
      <w:r>
        <w:t xml:space="preserve"> report and remains applicable</w:t>
      </w:r>
      <w:r w:rsidR="00E47E41">
        <w:t>.</w:t>
      </w:r>
    </w:p>
    <w:p w14:paraId="151295F5" w14:textId="2EE2120E" w:rsidR="001F6C65" w:rsidRPr="006C0C5C" w:rsidRDefault="001F6C65" w:rsidP="00275CBE">
      <w:pPr>
        <w:pStyle w:val="Heading3"/>
      </w:pPr>
      <w:bookmarkStart w:id="51" w:name="_Ref510530326"/>
      <w:bookmarkStart w:id="52" w:name="_Toc510531463"/>
      <w:r w:rsidRPr="001A2000">
        <w:t>3.2.2</w:t>
      </w:r>
      <w:r w:rsidRPr="001A2000">
        <w:tab/>
        <w:t>Gaseous/Fume Oxidation</w:t>
      </w:r>
      <w:bookmarkEnd w:id="49"/>
      <w:bookmarkEnd w:id="51"/>
      <w:bookmarkEnd w:id="52"/>
    </w:p>
    <w:p w14:paraId="597E6378" w14:textId="50C91C1B" w:rsidR="00E47E41" w:rsidRDefault="00E47E41" w:rsidP="00E47E41">
      <w:pPr>
        <w:rPr>
          <w:lang w:val="en-AU"/>
        </w:rPr>
      </w:pPr>
      <w:r>
        <w:rPr>
          <w:lang w:val="en-AU"/>
        </w:rPr>
        <w:t xml:space="preserve">Gaseous/Fume Oxidation </w:t>
      </w:r>
      <w:r w:rsidRPr="00386343">
        <w:rPr>
          <w:lang w:val="en-AU"/>
        </w:rPr>
        <w:t>uses a refractory-lined combustion chamber</w:t>
      </w:r>
      <w:r>
        <w:rPr>
          <w:lang w:val="en-AU"/>
        </w:rPr>
        <w:t xml:space="preserve"> with the flume stream heated by an auxiliary fuel such as natural gas. The 2002 TFDT report process description indicates typical combustion chamber temperatures of &gt;1,100</w:t>
      </w:r>
      <w:r w:rsidRPr="00E47E41">
        <w:rPr>
          <w:lang w:val="en-AU"/>
        </w:rPr>
        <w:t>º</w:t>
      </w:r>
      <w:r>
        <w:rPr>
          <w:lang w:val="en-AU"/>
        </w:rPr>
        <w:t xml:space="preserve">C and 1-2 second resident times for destruction of CFCs. This technology is primarily applied within production facilities, typically </w:t>
      </w:r>
      <w:proofErr w:type="spellStart"/>
      <w:r w:rsidRPr="00756D55">
        <w:rPr>
          <w:lang w:val="en-AU"/>
        </w:rPr>
        <w:t>fluorochemical</w:t>
      </w:r>
      <w:proofErr w:type="spellEnd"/>
      <w:r w:rsidRPr="00756D55">
        <w:rPr>
          <w:lang w:val="en-AU"/>
        </w:rPr>
        <w:t xml:space="preserve"> manufacturing plants</w:t>
      </w:r>
      <w:r>
        <w:rPr>
          <w:lang w:val="en-AU"/>
        </w:rPr>
        <w:t xml:space="preserve">, for the destruction of by-products waste streams, and is designed for continuous operation as an integrated part of the overall plant process scheme or alternatively to take such material from storage facilities where practical. </w:t>
      </w:r>
    </w:p>
    <w:p w14:paraId="60BADF17" w14:textId="36D9F3E3" w:rsidR="00E47E41" w:rsidRDefault="00E47E41" w:rsidP="00E47E41">
      <w:pPr>
        <w:rPr>
          <w:lang w:val="en-AU"/>
        </w:rPr>
      </w:pPr>
      <w:bookmarkStart w:id="53" w:name="_Hlk506983061"/>
      <w:r>
        <w:rPr>
          <w:lang w:val="en-AU"/>
        </w:rPr>
        <w:t>A study of ODS destruction submitted by the United States</w:t>
      </w:r>
      <w:r w:rsidR="009B0E2E">
        <w:rPr>
          <w:rStyle w:val="FootnoteReference"/>
          <w:lang w:val="en-AU"/>
        </w:rPr>
        <w:footnoteReference w:id="44"/>
      </w:r>
      <w:r w:rsidR="009B0E2E">
        <w:rPr>
          <w:lang w:val="en-AU"/>
        </w:rPr>
        <w:t>,</w:t>
      </w:r>
      <w:r>
        <w:rPr>
          <w:lang w:val="en-AU"/>
        </w:rPr>
        <w:t xml:space="preserve"> reported the use of this technology in that country at one commercial facility </w:t>
      </w:r>
      <w:r w:rsidR="009B0E2E">
        <w:rPr>
          <w:lang w:val="en-AU"/>
        </w:rPr>
        <w:t xml:space="preserve">that is </w:t>
      </w:r>
      <w:r>
        <w:rPr>
          <w:lang w:val="en-AU"/>
        </w:rPr>
        <w:t>applied to a large range of CFCs and HFCs</w:t>
      </w:r>
      <w:r w:rsidR="009B0E2E">
        <w:rPr>
          <w:lang w:val="en-AU"/>
        </w:rPr>
        <w:t>,</w:t>
      </w:r>
      <w:r>
        <w:rPr>
          <w:lang w:val="en-AU"/>
        </w:rPr>
        <w:t xml:space="preserve"> as well as </w:t>
      </w:r>
      <w:r w:rsidR="00D06B19">
        <w:rPr>
          <w:lang w:val="en-AU"/>
        </w:rPr>
        <w:t>methyl bromide</w:t>
      </w:r>
      <w:r>
        <w:rPr>
          <w:lang w:val="en-AU"/>
        </w:rPr>
        <w:t>, and at 15 production facilities applied to CCl</w:t>
      </w:r>
      <w:r w:rsidRPr="009B0E2E">
        <w:rPr>
          <w:vertAlign w:val="subscript"/>
          <w:lang w:val="en-AU"/>
        </w:rPr>
        <w:t>4</w:t>
      </w:r>
      <w:r>
        <w:rPr>
          <w:lang w:val="en-AU"/>
        </w:rPr>
        <w:t xml:space="preserve"> and </w:t>
      </w:r>
      <w:r w:rsidR="00D06B19">
        <w:rPr>
          <w:lang w:val="en-AU"/>
        </w:rPr>
        <w:t>methyl bromide</w:t>
      </w:r>
      <w:r>
        <w:rPr>
          <w:lang w:val="en-AU"/>
        </w:rPr>
        <w:t>.</w:t>
      </w:r>
      <w:bookmarkEnd w:id="53"/>
      <w:r>
        <w:rPr>
          <w:lang w:val="en-AU"/>
        </w:rPr>
        <w:t xml:space="preserve"> Globally</w:t>
      </w:r>
      <w:r w:rsidR="009B0E2E">
        <w:rPr>
          <w:lang w:val="en-AU"/>
        </w:rPr>
        <w:t>,</w:t>
      </w:r>
      <w:r>
        <w:rPr>
          <w:lang w:val="en-AU"/>
        </w:rPr>
        <w:t xml:space="preserve"> it is also reported to be applied to a number of CDM projects for HFC-23 destruction. </w:t>
      </w:r>
    </w:p>
    <w:p w14:paraId="7C0D4FCA" w14:textId="275591F9" w:rsidR="00E47E41" w:rsidRDefault="00E97EC9" w:rsidP="00E47E41">
      <w:r>
        <w:rPr>
          <w:lang w:val="en-AU"/>
        </w:rPr>
        <w:lastRenderedPageBreak/>
        <w:t xml:space="preserve">Given the availability of information on demonstrated destruction of HFCs that meet the performance criteria, </w:t>
      </w:r>
      <w:r w:rsidR="002678F8" w:rsidRPr="0078658C">
        <w:rPr>
          <w:b/>
          <w:u w:val="single"/>
        </w:rPr>
        <w:t>G</w:t>
      </w:r>
      <w:r w:rsidR="0025201D" w:rsidRPr="0078658C">
        <w:rPr>
          <w:b/>
          <w:u w:val="single"/>
        </w:rPr>
        <w:t>aseous</w:t>
      </w:r>
      <w:r w:rsidR="00413892" w:rsidRPr="0078658C">
        <w:rPr>
          <w:b/>
          <w:u w:val="single"/>
        </w:rPr>
        <w:t xml:space="preserve">/Fume Oxidation </w:t>
      </w:r>
      <w:r w:rsidR="00E47E41" w:rsidRPr="0078658C">
        <w:rPr>
          <w:b/>
          <w:u w:val="single"/>
        </w:rPr>
        <w:t xml:space="preserve">is </w:t>
      </w:r>
      <w:r w:rsidR="00E47E41" w:rsidRPr="002678F8">
        <w:rPr>
          <w:b/>
          <w:u w:val="single"/>
        </w:rPr>
        <w:t>recommended</w:t>
      </w:r>
      <w:r w:rsidR="00E47E41" w:rsidRPr="00E87025">
        <w:rPr>
          <w:b/>
          <w:u w:val="single"/>
        </w:rPr>
        <w:t xml:space="preserve"> for </w:t>
      </w:r>
      <w:r w:rsidR="00E47E41" w:rsidRPr="00851F74">
        <w:rPr>
          <w:b/>
          <w:i/>
          <w:u w:val="single"/>
        </w:rPr>
        <w:t>approval</w:t>
      </w:r>
      <w:r w:rsidR="00E47E41" w:rsidRPr="00E87025">
        <w:rPr>
          <w:b/>
          <w:u w:val="single"/>
        </w:rPr>
        <w:t xml:space="preserve"> for </w:t>
      </w:r>
      <w:r w:rsidR="00F37821">
        <w:rPr>
          <w:b/>
          <w:u w:val="single"/>
        </w:rPr>
        <w:t xml:space="preserve">applicability to </w:t>
      </w:r>
      <w:r w:rsidR="00E47E41" w:rsidRPr="00E87025">
        <w:rPr>
          <w:b/>
          <w:u w:val="single"/>
        </w:rPr>
        <w:t xml:space="preserve">HFCs </w:t>
      </w:r>
      <w:r w:rsidR="00F37821">
        <w:rPr>
          <w:b/>
          <w:u w:val="single"/>
        </w:rPr>
        <w:t>destruction</w:t>
      </w:r>
      <w:r w:rsidR="0017592E">
        <w:rPr>
          <w:b/>
          <w:u w:val="single"/>
        </w:rPr>
        <w:t>,</w:t>
      </w:r>
      <w:r w:rsidR="00F37821">
        <w:rPr>
          <w:b/>
          <w:u w:val="single"/>
        </w:rPr>
        <w:t xml:space="preserve"> </w:t>
      </w:r>
      <w:r w:rsidR="0025201D">
        <w:rPr>
          <w:b/>
          <w:u w:val="single"/>
        </w:rPr>
        <w:t>including HFC-23</w:t>
      </w:r>
      <w:r w:rsidR="004F597A">
        <w:rPr>
          <w:b/>
          <w:u w:val="single"/>
        </w:rPr>
        <w:t>,</w:t>
      </w:r>
      <w:r w:rsidR="00503D2D">
        <w:rPr>
          <w:b/>
          <w:u w:val="single"/>
        </w:rPr>
        <w:t xml:space="preserve"> using HFC-23 data as a proxy for other HFCs</w:t>
      </w:r>
      <w:r w:rsidR="00E47E41">
        <w:t xml:space="preserve">. </w:t>
      </w:r>
    </w:p>
    <w:p w14:paraId="25BB01CE" w14:textId="77777777" w:rsidR="00E47E41" w:rsidRPr="006C0C5C" w:rsidRDefault="00E47E41" w:rsidP="00275CBE">
      <w:pPr>
        <w:pStyle w:val="Heading4"/>
      </w:pPr>
      <w:r w:rsidRPr="006C0C5C">
        <w:t>3.2.2.1</w:t>
      </w:r>
      <w:r w:rsidRPr="006C0C5C">
        <w:tab/>
        <w:t>Experience with HFC destruction</w:t>
      </w:r>
    </w:p>
    <w:p w14:paraId="1240F469" w14:textId="3B707C40" w:rsidR="00E47E41" w:rsidRDefault="00E47E41" w:rsidP="00E47E41">
      <w:pPr>
        <w:rPr>
          <w:rFonts w:eastAsia="Times New Roman"/>
          <w:lang w:val="en-AU"/>
        </w:rPr>
      </w:pPr>
      <w:r>
        <w:rPr>
          <w:rFonts w:eastAsia="Times New Roman"/>
          <w:lang w:val="en-AU"/>
        </w:rPr>
        <w:t xml:space="preserve">The technology is reported to be in general use for HFC-23 destruction in </w:t>
      </w:r>
      <w:proofErr w:type="spellStart"/>
      <w:r>
        <w:rPr>
          <w:rFonts w:eastAsia="Times New Roman"/>
          <w:lang w:val="en-AU"/>
        </w:rPr>
        <w:t>fluorochemical</w:t>
      </w:r>
      <w:proofErr w:type="spellEnd"/>
      <w:r>
        <w:rPr>
          <w:rFonts w:eastAsia="Times New Roman"/>
          <w:lang w:val="en-AU"/>
        </w:rPr>
        <w:t xml:space="preserve"> production facilities</w:t>
      </w:r>
      <w:r w:rsidR="00B73437">
        <w:rPr>
          <w:rFonts w:eastAsia="Times New Roman"/>
          <w:lang w:val="en-AU"/>
        </w:rPr>
        <w:t>,</w:t>
      </w:r>
      <w:r>
        <w:rPr>
          <w:rFonts w:eastAsia="Times New Roman"/>
          <w:lang w:val="en-AU"/>
        </w:rPr>
        <w:t xml:space="preserve"> including CDM projects</w:t>
      </w:r>
      <w:r w:rsidR="00B73437">
        <w:rPr>
          <w:rFonts w:eastAsia="Times New Roman"/>
          <w:lang w:val="en-AU"/>
        </w:rPr>
        <w:t xml:space="preserve"> associated with HCFC-22 manufacturing plants</w:t>
      </w:r>
      <w:r>
        <w:rPr>
          <w:rFonts w:eastAsia="Times New Roman"/>
          <w:lang w:val="en-AU"/>
        </w:rPr>
        <w:t>.</w:t>
      </w:r>
      <w:r w:rsidR="00AC0FDC">
        <w:rPr>
          <w:rStyle w:val="FootnoteReference"/>
          <w:rFonts w:eastAsia="Times New Roman"/>
          <w:lang w:val="en-AU"/>
        </w:rPr>
        <w:footnoteReference w:id="45"/>
      </w:r>
      <w:r w:rsidR="00514300">
        <w:rPr>
          <w:rFonts w:eastAsia="Times New Roman"/>
          <w:lang w:val="en-AU"/>
        </w:rPr>
        <w:t xml:space="preserve"> </w:t>
      </w:r>
    </w:p>
    <w:p w14:paraId="60ED18F0" w14:textId="77777777" w:rsidR="00E47E41" w:rsidRPr="006C0C5C" w:rsidRDefault="00E47E41" w:rsidP="00275CBE">
      <w:pPr>
        <w:pStyle w:val="Heading4"/>
      </w:pPr>
      <w:r w:rsidRPr="006C0C5C">
        <w:t>3.2.2.2</w:t>
      </w:r>
      <w:r w:rsidRPr="006C0C5C">
        <w:tab/>
        <w:t>Assessment of applicability to HFCs using performance criteria</w:t>
      </w:r>
    </w:p>
    <w:p w14:paraId="02E2A341" w14:textId="11333AEE" w:rsidR="00E47E41" w:rsidRDefault="00E47E41" w:rsidP="00E47E41">
      <w:pPr>
        <w:rPr>
          <w:lang w:val="en-AU"/>
        </w:rPr>
      </w:pPr>
      <w:r>
        <w:rPr>
          <w:lang w:val="en-AU"/>
        </w:rPr>
        <w:t xml:space="preserve">Emissions </w:t>
      </w:r>
      <w:r w:rsidRPr="00725E5F">
        <w:rPr>
          <w:lang w:val="en-AU"/>
        </w:rPr>
        <w:t>data</w:t>
      </w:r>
      <w:r w:rsidR="00F37821">
        <w:rPr>
          <w:lang w:val="en-AU"/>
        </w:rPr>
        <w:t>,</w:t>
      </w:r>
      <w:r w:rsidRPr="00725E5F">
        <w:rPr>
          <w:lang w:val="en-AU"/>
        </w:rPr>
        <w:t xml:space="preserve"> obtained </w:t>
      </w:r>
      <w:r w:rsidR="00175317">
        <w:rPr>
          <w:lang w:val="en-AU"/>
        </w:rPr>
        <w:t xml:space="preserve">for a facility in the </w:t>
      </w:r>
      <w:r>
        <w:rPr>
          <w:lang w:val="en-AU"/>
        </w:rPr>
        <w:t>Republic of Korea</w:t>
      </w:r>
      <w:r w:rsidR="00F37821">
        <w:rPr>
          <w:lang w:val="en-AU"/>
        </w:rPr>
        <w:t>,</w:t>
      </w:r>
      <w:r>
        <w:rPr>
          <w:lang w:val="en-AU"/>
        </w:rPr>
        <w:t xml:space="preserve"> </w:t>
      </w:r>
      <w:r w:rsidR="00F37821">
        <w:rPr>
          <w:lang w:val="en-AU"/>
        </w:rPr>
        <w:t xml:space="preserve">is </w:t>
      </w:r>
      <w:r w:rsidR="00F37821" w:rsidRPr="00725E5F">
        <w:rPr>
          <w:lang w:val="en-AU"/>
        </w:rPr>
        <w:t>provided</w:t>
      </w:r>
      <w:r w:rsidR="00F37821">
        <w:rPr>
          <w:lang w:val="en-AU"/>
        </w:rPr>
        <w:t xml:space="preserve"> </w:t>
      </w:r>
      <w:r>
        <w:rPr>
          <w:lang w:val="en-AU"/>
        </w:rPr>
        <w:t xml:space="preserve">in a </w:t>
      </w:r>
      <w:r w:rsidR="005D3E1D">
        <w:rPr>
          <w:lang w:val="en-AU"/>
        </w:rPr>
        <w:t xml:space="preserve">CDM </w:t>
      </w:r>
      <w:r>
        <w:rPr>
          <w:lang w:val="en-AU"/>
        </w:rPr>
        <w:t>reference monitoring report from 20</w:t>
      </w:r>
      <w:r w:rsidR="00C43F07">
        <w:rPr>
          <w:lang w:val="en-AU"/>
        </w:rPr>
        <w:t xml:space="preserve">10 </w:t>
      </w:r>
      <w:r>
        <w:rPr>
          <w:lang w:val="en-AU"/>
        </w:rPr>
        <w:t xml:space="preserve">applicable to destruction of 123 </w:t>
      </w:r>
      <w:r w:rsidR="00F37821">
        <w:rPr>
          <w:lang w:val="en-AU"/>
        </w:rPr>
        <w:t>tonnes</w:t>
      </w:r>
      <w:r>
        <w:rPr>
          <w:lang w:val="en-AU"/>
        </w:rPr>
        <w:t xml:space="preserve"> </w:t>
      </w:r>
      <w:r w:rsidR="0060397E">
        <w:rPr>
          <w:lang w:val="en-AU"/>
        </w:rPr>
        <w:t xml:space="preserve">of </w:t>
      </w:r>
      <w:r w:rsidR="00F37821" w:rsidRPr="00F37821">
        <w:rPr>
          <w:lang w:val="en-AU"/>
        </w:rPr>
        <w:t>HFC</w:t>
      </w:r>
      <w:r w:rsidR="00A1722A">
        <w:rPr>
          <w:lang w:val="en-AU"/>
        </w:rPr>
        <w:t>-23</w:t>
      </w:r>
      <w:r>
        <w:rPr>
          <w:lang w:val="en-AU"/>
        </w:rPr>
        <w:t>.</w:t>
      </w:r>
      <w:r w:rsidR="00F37821">
        <w:rPr>
          <w:lang w:val="en-AU"/>
        </w:rPr>
        <w:t xml:space="preserve"> </w:t>
      </w:r>
      <w:r w:rsidRPr="00725E5F">
        <w:rPr>
          <w:lang w:val="en-AU"/>
        </w:rPr>
        <w:t xml:space="preserve">The report indicates a </w:t>
      </w:r>
      <w:r>
        <w:rPr>
          <w:lang w:val="en-AU"/>
        </w:rPr>
        <w:t xml:space="preserve">measured </w:t>
      </w:r>
      <w:r w:rsidRPr="00725E5F">
        <w:rPr>
          <w:lang w:val="en-AU"/>
        </w:rPr>
        <w:t>DRE of 99.99</w:t>
      </w:r>
      <w:r>
        <w:rPr>
          <w:lang w:val="en-AU"/>
        </w:rPr>
        <w:t>95</w:t>
      </w:r>
      <w:r w:rsidR="00F37821">
        <w:rPr>
          <w:lang w:val="en-AU"/>
        </w:rPr>
        <w:t>%</w:t>
      </w:r>
      <w:r w:rsidR="0060397E">
        <w:rPr>
          <w:lang w:val="en-AU"/>
        </w:rPr>
        <w:t xml:space="preserve"> for HFC-23 destruction</w:t>
      </w:r>
      <w:r w:rsidR="005D3E1D">
        <w:rPr>
          <w:rStyle w:val="FootnoteReference"/>
          <w:lang w:val="en-AU"/>
        </w:rPr>
        <w:footnoteReference w:id="46"/>
      </w:r>
      <w:r w:rsidR="00F37821">
        <w:rPr>
          <w:lang w:val="en-AU"/>
        </w:rPr>
        <w:t xml:space="preserve">. </w:t>
      </w:r>
      <w:r>
        <w:rPr>
          <w:lang w:val="en-AU"/>
        </w:rPr>
        <w:t>This data supports the applicability of the technology to HFCs generally.</w:t>
      </w:r>
    </w:p>
    <w:p w14:paraId="4B9DB5F3" w14:textId="77777777" w:rsidR="00E47E41" w:rsidRPr="006C0C5C" w:rsidRDefault="00E47E41" w:rsidP="00275CBE">
      <w:pPr>
        <w:pStyle w:val="Heading4"/>
      </w:pPr>
      <w:r w:rsidRPr="006C0C5C">
        <w:t>3.2.2.3</w:t>
      </w:r>
      <w:r w:rsidRPr="006C0C5C">
        <w:tab/>
        <w:t>Technical capability for destruction of HFCs</w:t>
      </w:r>
    </w:p>
    <w:p w14:paraId="7C5A141A" w14:textId="730CFFFF" w:rsidR="00E47E41" w:rsidRDefault="00F50EDE" w:rsidP="00E47E41">
      <w:r>
        <w:t>C</w:t>
      </w:r>
      <w:r w:rsidR="00E47E41">
        <w:t xml:space="preserve">apacity information </w:t>
      </w:r>
      <w:r>
        <w:t xml:space="preserve">for HFC-23 </w:t>
      </w:r>
      <w:r w:rsidR="00E47E41">
        <w:t xml:space="preserve">is available </w:t>
      </w:r>
      <w:r>
        <w:t>in the CDM project design documents for HFC-23 destruction</w:t>
      </w:r>
      <w:r w:rsidR="00C6392F">
        <w:t>. As an example, an annual destruction capacity for a waste stream containing about 90% HFC-23 and 10% HCFC-22 is 660 tonnes annually, equivalent to approximately 80 kg/hr. The capacity required is determined by the instantaneous HCFC-22 production rate.</w:t>
      </w:r>
      <w:r w:rsidR="00E27B72">
        <w:rPr>
          <w:rStyle w:val="FootnoteReference"/>
        </w:rPr>
        <w:footnoteReference w:id="47"/>
      </w:r>
      <w:r w:rsidR="00E47E41">
        <w:t xml:space="preserve">. The 2002 </w:t>
      </w:r>
      <w:r w:rsidR="00F17DBA">
        <w:t>TFDT</w:t>
      </w:r>
      <w:r w:rsidR="00E47E41">
        <w:t xml:space="preserve"> report indicates a capacity range for CFC-12 and HFC-22 of 165 kg/hr at a facility in Japan which provide</w:t>
      </w:r>
      <w:r w:rsidR="00F17DBA">
        <w:t>s</w:t>
      </w:r>
      <w:r w:rsidR="00E47E41">
        <w:t xml:space="preserve"> </w:t>
      </w:r>
      <w:r w:rsidR="00C6392F">
        <w:t xml:space="preserve">a further </w:t>
      </w:r>
      <w:r w:rsidR="00E47E41">
        <w:t>ind</w:t>
      </w:r>
      <w:r w:rsidR="00F17DBA">
        <w:t xml:space="preserve">ication of potential capacity. </w:t>
      </w:r>
      <w:r w:rsidR="00E47E41">
        <w:t>However, it is anticipated that this would vary among facilities given design capacity wou</w:t>
      </w:r>
      <w:r w:rsidR="00F17DBA">
        <w:t xml:space="preserve">ld be plant specific. </w:t>
      </w:r>
      <w:r w:rsidR="0048481F" w:rsidRPr="0048481F">
        <w:t xml:space="preserve">Systems </w:t>
      </w:r>
      <w:r w:rsidR="0048481F">
        <w:t>are</w:t>
      </w:r>
      <w:r w:rsidR="0048481F" w:rsidRPr="0048481F">
        <w:t xml:space="preserve"> specifically designed to cope with the high fluorine content. </w:t>
      </w:r>
    </w:p>
    <w:p w14:paraId="26C21EB6" w14:textId="77777777" w:rsidR="00E47E41" w:rsidRPr="006C0C5C" w:rsidRDefault="00E47E41" w:rsidP="00275CBE">
      <w:pPr>
        <w:pStyle w:val="Heading4"/>
      </w:pPr>
      <w:r w:rsidRPr="006C0C5C">
        <w:t>3.2.2.4</w:t>
      </w:r>
      <w:r w:rsidRPr="006C0C5C">
        <w:tab/>
        <w:t>Other considerations</w:t>
      </w:r>
    </w:p>
    <w:p w14:paraId="0020E9F0" w14:textId="6265E1AD" w:rsidR="00E47E41" w:rsidRDefault="00E47E41" w:rsidP="00E47E41">
      <w:r>
        <w:t xml:space="preserve">The application of the technology to HFCs </w:t>
      </w:r>
      <w:r w:rsidR="00F17DBA">
        <w:t xml:space="preserve">destruction </w:t>
      </w:r>
      <w:r w:rsidR="00332594">
        <w:t xml:space="preserve">requires the materials of construction and design to be compatible with HF. </w:t>
      </w:r>
      <w:r>
        <w:t>As is the case with ODS destruction</w:t>
      </w:r>
      <w:r w:rsidR="00F17DBA">
        <w:t>,</w:t>
      </w:r>
      <w:r>
        <w:t xml:space="preserve"> </w:t>
      </w:r>
      <w:r w:rsidR="009F0D50">
        <w:t>dioxin</w:t>
      </w:r>
      <w:r w:rsidR="00974994">
        <w:t>s</w:t>
      </w:r>
      <w:r w:rsidR="009F0D50">
        <w:t>/furan</w:t>
      </w:r>
      <w:r w:rsidR="00974994">
        <w:t>s</w:t>
      </w:r>
      <w:r w:rsidR="009F0D50">
        <w:t xml:space="preserve"> </w:t>
      </w:r>
      <w:r>
        <w:t>emission</w:t>
      </w:r>
      <w:r w:rsidR="00F17DBA">
        <w:t>s</w:t>
      </w:r>
      <w:r>
        <w:t xml:space="preserve"> should be carefully monitored</w:t>
      </w:r>
      <w:r w:rsidR="009F0D50">
        <w:t>, particularly for waste streams that contain chlorinated substances</w:t>
      </w:r>
      <w:r>
        <w:t>.</w:t>
      </w:r>
    </w:p>
    <w:p w14:paraId="65A8D5BB" w14:textId="77777777" w:rsidR="001F6C65" w:rsidRPr="001F6C65" w:rsidRDefault="001F6C65" w:rsidP="00275CBE">
      <w:pPr>
        <w:pStyle w:val="Heading3"/>
      </w:pPr>
      <w:bookmarkStart w:id="54" w:name="_Ref510530361"/>
      <w:bookmarkStart w:id="55" w:name="_Toc510531464"/>
      <w:r w:rsidRPr="001A2000">
        <w:t>3.2.3</w:t>
      </w:r>
      <w:r w:rsidRPr="001A2000">
        <w:tab/>
        <w:t>Liquid Injection Incineration</w:t>
      </w:r>
      <w:bookmarkEnd w:id="54"/>
      <w:bookmarkEnd w:id="55"/>
    </w:p>
    <w:p w14:paraId="4AAAAEB1" w14:textId="5A25CBD2" w:rsidR="00F17DBA" w:rsidRPr="00B33ABD" w:rsidRDefault="00F17DBA" w:rsidP="00F17DBA">
      <w:r>
        <w:t xml:space="preserve">Liquid injection incinerators are usually single-chamber units with one or more waste burners, into which the liquid waste is injected, atomized into fine droplets, and burned in suspension. Tangential firing is frequently used to promote turbulent mixing. This is followed by a quench step, in which acid gases are recovered for neutralization. Exhaust gases are directed to an absorber, and dry and/or wet scrubbers. </w:t>
      </w:r>
    </w:p>
    <w:p w14:paraId="10FC940C" w14:textId="1BF86323" w:rsidR="00F17DBA" w:rsidRDefault="00F17DBA" w:rsidP="00F17DBA">
      <w:pPr>
        <w:rPr>
          <w:rFonts w:eastAsia="Times New Roman"/>
          <w:lang w:val="en-US"/>
        </w:rPr>
      </w:pPr>
      <w:r>
        <w:rPr>
          <w:rFonts w:eastAsia="Times New Roman"/>
          <w:lang w:val="en-US"/>
        </w:rPr>
        <w:lastRenderedPageBreak/>
        <w:t>The submission by the United States</w:t>
      </w:r>
      <w:r>
        <w:rPr>
          <w:rStyle w:val="FootnoteReference"/>
          <w:rFonts w:eastAsia="Times New Roman"/>
          <w:lang w:val="en-US"/>
        </w:rPr>
        <w:footnoteReference w:id="48"/>
      </w:r>
      <w:r>
        <w:rPr>
          <w:rFonts w:eastAsia="Times New Roman"/>
          <w:lang w:val="en-US"/>
        </w:rPr>
        <w:t xml:space="preserve"> indicates 3 commercial hazardous waste facilities employing this technology that are used for ODS destruction (CFC-11, CCl</w:t>
      </w:r>
      <w:r w:rsidRPr="009F5DA2">
        <w:rPr>
          <w:rFonts w:eastAsia="Times New Roman"/>
          <w:vertAlign w:val="subscript"/>
          <w:lang w:val="en-US"/>
        </w:rPr>
        <w:t>4</w:t>
      </w:r>
      <w:r>
        <w:rPr>
          <w:rFonts w:eastAsia="Times New Roman"/>
          <w:lang w:val="en-US"/>
        </w:rPr>
        <w:t xml:space="preserve">), and 11 applications of this technology in </w:t>
      </w:r>
      <w:proofErr w:type="spellStart"/>
      <w:r>
        <w:rPr>
          <w:rFonts w:eastAsia="Times New Roman"/>
          <w:lang w:val="en-US"/>
        </w:rPr>
        <w:t>fluorochemical</w:t>
      </w:r>
      <w:proofErr w:type="spellEnd"/>
      <w:r>
        <w:rPr>
          <w:rFonts w:eastAsia="Times New Roman"/>
          <w:lang w:val="en-US"/>
        </w:rPr>
        <w:t xml:space="preserve"> plants, either directly or in combination with rotary kiln incineration for the destruction of a wide range of ODS</w:t>
      </w:r>
      <w:r w:rsidRPr="00963A66">
        <w:rPr>
          <w:rFonts w:eastAsia="Times New Roman"/>
          <w:lang w:val="en-US"/>
        </w:rPr>
        <w:t xml:space="preserve"> (</w:t>
      </w:r>
      <w:r>
        <w:rPr>
          <w:rFonts w:eastAsia="Times New Roman"/>
          <w:lang w:val="en-US"/>
        </w:rPr>
        <w:t>CFC-11, CCl</w:t>
      </w:r>
      <w:r w:rsidRPr="00253E28">
        <w:rPr>
          <w:rFonts w:eastAsia="Times New Roman"/>
          <w:vertAlign w:val="subscript"/>
          <w:lang w:val="en-US"/>
        </w:rPr>
        <w:t>4</w:t>
      </w:r>
      <w:r>
        <w:rPr>
          <w:rFonts w:eastAsia="Times New Roman"/>
          <w:lang w:val="en-US"/>
        </w:rPr>
        <w:t xml:space="preserve">, </w:t>
      </w:r>
      <w:r w:rsidRPr="00963A66">
        <w:rPr>
          <w:rFonts w:eastAsia="Times New Roman"/>
          <w:lang w:val="en-US"/>
        </w:rPr>
        <w:t>HCFC-22, HCFC-141b</w:t>
      </w:r>
      <w:r>
        <w:rPr>
          <w:rFonts w:eastAsia="Times New Roman"/>
          <w:lang w:val="en-US"/>
        </w:rPr>
        <w:t xml:space="preserve">, </w:t>
      </w:r>
      <w:r w:rsidR="00D06B19">
        <w:rPr>
          <w:rFonts w:eastAsia="Times New Roman"/>
          <w:lang w:val="en-US"/>
        </w:rPr>
        <w:t>methyl bromide</w:t>
      </w:r>
      <w:r w:rsidRPr="00963A66">
        <w:rPr>
          <w:rFonts w:eastAsia="Times New Roman"/>
          <w:lang w:val="en-US"/>
        </w:rPr>
        <w:t>)</w:t>
      </w:r>
      <w:r>
        <w:rPr>
          <w:rFonts w:eastAsia="Times New Roman"/>
          <w:lang w:val="en-US"/>
        </w:rPr>
        <w:t xml:space="preserve">. </w:t>
      </w:r>
      <w:r w:rsidRPr="00963A66">
        <w:rPr>
          <w:rFonts w:eastAsia="Times New Roman"/>
          <w:lang w:val="en-US"/>
        </w:rPr>
        <w:t xml:space="preserve">Japan </w:t>
      </w:r>
      <w:r>
        <w:rPr>
          <w:rFonts w:eastAsia="Times New Roman"/>
          <w:lang w:val="en-US"/>
        </w:rPr>
        <w:t xml:space="preserve">has reported </w:t>
      </w:r>
      <w:r w:rsidRPr="00963A66">
        <w:rPr>
          <w:rFonts w:eastAsia="Times New Roman"/>
          <w:lang w:val="en-US"/>
        </w:rPr>
        <w:t xml:space="preserve">data on </w:t>
      </w:r>
      <w:r>
        <w:rPr>
          <w:rFonts w:eastAsia="Times New Roman"/>
          <w:lang w:val="en-US"/>
        </w:rPr>
        <w:t xml:space="preserve">process </w:t>
      </w:r>
      <w:r w:rsidRPr="00963A66">
        <w:rPr>
          <w:rFonts w:eastAsia="Times New Roman"/>
          <w:lang w:val="en-US"/>
        </w:rPr>
        <w:t xml:space="preserve">plant application </w:t>
      </w:r>
      <w:r w:rsidR="000A0BF7">
        <w:rPr>
          <w:rFonts w:eastAsia="Times New Roman"/>
          <w:lang w:val="en-US"/>
        </w:rPr>
        <w:t>for</w:t>
      </w:r>
      <w:r w:rsidRPr="00963A66">
        <w:rPr>
          <w:rFonts w:eastAsia="Times New Roman"/>
          <w:lang w:val="en-US"/>
        </w:rPr>
        <w:t xml:space="preserve"> </w:t>
      </w:r>
      <w:r>
        <w:rPr>
          <w:rFonts w:eastAsia="Times New Roman"/>
          <w:lang w:val="en-US"/>
        </w:rPr>
        <w:t xml:space="preserve">destruction of </w:t>
      </w:r>
      <w:r w:rsidRPr="00963A66">
        <w:rPr>
          <w:rFonts w:eastAsia="Times New Roman"/>
          <w:lang w:val="en-US"/>
        </w:rPr>
        <w:t>HFC-134a, HFC-410A, HFC-407C, HFC-404A, HFC-502, and HCFC-124</w:t>
      </w:r>
      <w:r>
        <w:rPr>
          <w:rFonts w:eastAsia="Times New Roman"/>
          <w:lang w:val="en-US"/>
        </w:rPr>
        <w:t>,</w:t>
      </w:r>
      <w:r w:rsidRPr="00963A66">
        <w:rPr>
          <w:rFonts w:eastAsia="Times New Roman"/>
          <w:lang w:val="en-US"/>
        </w:rPr>
        <w:t xml:space="preserve"> </w:t>
      </w:r>
      <w:r>
        <w:rPr>
          <w:rFonts w:eastAsia="Times New Roman"/>
          <w:lang w:val="en-US"/>
        </w:rPr>
        <w:t>including a statement that supports meeting</w:t>
      </w:r>
      <w:r w:rsidRPr="00963A66">
        <w:rPr>
          <w:rFonts w:eastAsia="Times New Roman"/>
          <w:lang w:val="en-US"/>
        </w:rPr>
        <w:t xml:space="preserve"> </w:t>
      </w:r>
      <w:r>
        <w:rPr>
          <w:rFonts w:eastAsia="Times New Roman"/>
          <w:lang w:val="en-US"/>
        </w:rPr>
        <w:t xml:space="preserve">the performance criteria for </w:t>
      </w:r>
      <w:r w:rsidRPr="00963A66">
        <w:rPr>
          <w:rFonts w:eastAsia="Times New Roman"/>
          <w:lang w:val="en-US"/>
        </w:rPr>
        <w:t>DRE</w:t>
      </w:r>
      <w:r>
        <w:rPr>
          <w:rFonts w:eastAsia="Times New Roman"/>
          <w:lang w:val="en-US"/>
        </w:rPr>
        <w:t>, as well as performance data from an unidentified facility</w:t>
      </w:r>
      <w:r w:rsidRPr="00963A66">
        <w:rPr>
          <w:rFonts w:eastAsia="Times New Roman"/>
          <w:lang w:val="en-US"/>
        </w:rPr>
        <w:t>.</w:t>
      </w:r>
      <w:r w:rsidR="00514300">
        <w:rPr>
          <w:rFonts w:eastAsia="Times New Roman"/>
          <w:lang w:val="en-US"/>
        </w:rPr>
        <w:t xml:space="preserve"> </w:t>
      </w:r>
    </w:p>
    <w:p w14:paraId="44C8385F" w14:textId="5D14D28F" w:rsidR="00F17DBA" w:rsidRPr="00DB497C" w:rsidRDefault="002C41E4" w:rsidP="00F17DBA">
      <w:bookmarkStart w:id="56" w:name="_Hlk506978595"/>
      <w:r>
        <w:rPr>
          <w:lang w:val="en-AU"/>
        </w:rPr>
        <w:t>The 2002 TFDT reported d</w:t>
      </w:r>
      <w:r w:rsidR="00974762">
        <w:rPr>
          <w:lang w:val="en-AU"/>
        </w:rPr>
        <w:t>ioxin</w:t>
      </w:r>
      <w:r w:rsidR="00974994">
        <w:rPr>
          <w:lang w:val="en-AU"/>
        </w:rPr>
        <w:t>s</w:t>
      </w:r>
      <w:r w:rsidR="00974762">
        <w:rPr>
          <w:lang w:val="en-AU"/>
        </w:rPr>
        <w:t>/furan</w:t>
      </w:r>
      <w:r w:rsidR="00974994">
        <w:rPr>
          <w:lang w:val="en-AU"/>
        </w:rPr>
        <w:t>s</w:t>
      </w:r>
      <w:r w:rsidR="00974762">
        <w:rPr>
          <w:lang w:val="en-AU"/>
        </w:rPr>
        <w:t xml:space="preserve"> emissions data </w:t>
      </w:r>
      <w:r>
        <w:rPr>
          <w:lang w:val="en-AU"/>
        </w:rPr>
        <w:t xml:space="preserve">that </w:t>
      </w:r>
      <w:r w:rsidR="00974762">
        <w:rPr>
          <w:lang w:val="en-AU"/>
        </w:rPr>
        <w:t xml:space="preserve">were higher than the </w:t>
      </w:r>
      <w:r w:rsidR="004F597A">
        <w:rPr>
          <w:lang w:val="en-AU"/>
        </w:rPr>
        <w:t xml:space="preserve">performance </w:t>
      </w:r>
      <w:r w:rsidR="00974762">
        <w:rPr>
          <w:lang w:val="en-AU"/>
        </w:rPr>
        <w:t xml:space="preserve">criteria for ODS </w:t>
      </w:r>
      <w:r w:rsidR="004F597A">
        <w:rPr>
          <w:lang w:val="en-AU"/>
        </w:rPr>
        <w:t>destruction</w:t>
      </w:r>
      <w:r w:rsidR="00123849">
        <w:rPr>
          <w:lang w:val="en-AU"/>
        </w:rPr>
        <w:t>.</w:t>
      </w:r>
      <w:r w:rsidR="00974762">
        <w:rPr>
          <w:lang w:val="en-AU"/>
        </w:rPr>
        <w:t xml:space="preserve"> </w:t>
      </w:r>
      <w:r w:rsidR="00F5082E">
        <w:rPr>
          <w:lang w:val="en-AU"/>
        </w:rPr>
        <w:t xml:space="preserve">At the time of </w:t>
      </w:r>
      <w:r>
        <w:rPr>
          <w:lang w:val="en-AU"/>
        </w:rPr>
        <w:t xml:space="preserve">writing, no </w:t>
      </w:r>
      <w:r w:rsidR="00F5082E">
        <w:rPr>
          <w:lang w:val="en-AU"/>
        </w:rPr>
        <w:t>data</w:t>
      </w:r>
      <w:r w:rsidR="004F597A">
        <w:rPr>
          <w:lang w:val="en-AU"/>
        </w:rPr>
        <w:t xml:space="preserve"> </w:t>
      </w:r>
      <w:r>
        <w:rPr>
          <w:lang w:val="en-AU"/>
        </w:rPr>
        <w:t>were available to</w:t>
      </w:r>
      <w:r w:rsidR="004F597A">
        <w:rPr>
          <w:lang w:val="en-AU"/>
        </w:rPr>
        <w:t xml:space="preserve"> confirm d</w:t>
      </w:r>
      <w:r w:rsidR="00377CC6">
        <w:rPr>
          <w:lang w:val="en-AU"/>
        </w:rPr>
        <w:t>ioxin</w:t>
      </w:r>
      <w:r w:rsidR="00974994">
        <w:rPr>
          <w:lang w:val="en-AU"/>
        </w:rPr>
        <w:t>s</w:t>
      </w:r>
      <w:r w:rsidR="00377CC6">
        <w:rPr>
          <w:lang w:val="en-AU"/>
        </w:rPr>
        <w:t>/furan</w:t>
      </w:r>
      <w:r w:rsidR="00974994">
        <w:rPr>
          <w:lang w:val="en-AU"/>
        </w:rPr>
        <w:t>s</w:t>
      </w:r>
      <w:r w:rsidR="00830FBF">
        <w:rPr>
          <w:lang w:val="en-AU"/>
        </w:rPr>
        <w:t xml:space="preserve"> emissions</w:t>
      </w:r>
      <w:r w:rsidR="0009516B">
        <w:rPr>
          <w:lang w:val="en-AU"/>
        </w:rPr>
        <w:t xml:space="preserve"> for HFC-134a destruction</w:t>
      </w:r>
      <w:r w:rsidR="002678F8">
        <w:rPr>
          <w:lang w:val="en-AU"/>
        </w:rPr>
        <w:t>,</w:t>
      </w:r>
      <w:r w:rsidR="0060397E">
        <w:rPr>
          <w:lang w:val="en-AU"/>
        </w:rPr>
        <w:t xml:space="preserve"> and no data were provided for HFC-23 performance or destruction</w:t>
      </w:r>
      <w:r w:rsidR="0078658C">
        <w:rPr>
          <w:lang w:val="en-AU"/>
        </w:rPr>
        <w:t>, therefore,</w:t>
      </w:r>
      <w:r w:rsidR="0060397E">
        <w:rPr>
          <w:lang w:val="en-AU"/>
        </w:rPr>
        <w:t xml:space="preserve"> </w:t>
      </w:r>
      <w:r w:rsidR="0009516B">
        <w:rPr>
          <w:b/>
          <w:u w:val="single"/>
        </w:rPr>
        <w:t>Liquid Injection Incineration</w:t>
      </w:r>
      <w:r w:rsidR="005F41B9">
        <w:rPr>
          <w:b/>
          <w:u w:val="single"/>
        </w:rPr>
        <w:t xml:space="preserve"> </w:t>
      </w:r>
      <w:r w:rsidR="009E7355">
        <w:rPr>
          <w:b/>
          <w:u w:val="single"/>
        </w:rPr>
        <w:t>is recommend</w:t>
      </w:r>
      <w:r w:rsidR="009E7DED">
        <w:rPr>
          <w:b/>
          <w:u w:val="single"/>
        </w:rPr>
        <w:t>ed</w:t>
      </w:r>
      <w:r w:rsidR="009E7DED">
        <w:rPr>
          <w:b/>
          <w:i/>
          <w:u w:val="single"/>
        </w:rPr>
        <w:t xml:space="preserve"> as high potential</w:t>
      </w:r>
      <w:r w:rsidR="00974762">
        <w:rPr>
          <w:b/>
          <w:i/>
          <w:u w:val="single"/>
        </w:rPr>
        <w:t xml:space="preserve"> </w:t>
      </w:r>
      <w:r w:rsidR="00974762" w:rsidRPr="00F93039">
        <w:rPr>
          <w:b/>
          <w:u w:val="single"/>
        </w:rPr>
        <w:t xml:space="preserve">for </w:t>
      </w:r>
      <w:r w:rsidR="008F1045">
        <w:rPr>
          <w:b/>
          <w:u w:val="single"/>
        </w:rPr>
        <w:t xml:space="preserve">applicability to </w:t>
      </w:r>
      <w:r w:rsidR="00974762" w:rsidRPr="00F93039">
        <w:rPr>
          <w:b/>
          <w:u w:val="single"/>
        </w:rPr>
        <w:t>HFCs</w:t>
      </w:r>
      <w:r w:rsidR="008F1045">
        <w:rPr>
          <w:b/>
          <w:u w:val="single"/>
        </w:rPr>
        <w:t xml:space="preserve"> destruction</w:t>
      </w:r>
      <w:r w:rsidR="008F1045">
        <w:rPr>
          <w:b/>
          <w:i/>
          <w:u w:val="single"/>
        </w:rPr>
        <w:t>,</w:t>
      </w:r>
      <w:r w:rsidR="00974762">
        <w:rPr>
          <w:b/>
          <w:i/>
          <w:u w:val="single"/>
        </w:rPr>
        <w:t xml:space="preserve"> </w:t>
      </w:r>
      <w:r w:rsidR="008F1045" w:rsidRPr="008361B4">
        <w:rPr>
          <w:b/>
          <w:u w:val="single"/>
        </w:rPr>
        <w:t>including</w:t>
      </w:r>
      <w:r w:rsidR="00974762">
        <w:rPr>
          <w:b/>
          <w:i/>
          <w:u w:val="single"/>
        </w:rPr>
        <w:t xml:space="preserve"> </w:t>
      </w:r>
      <w:r w:rsidR="005F41B9">
        <w:rPr>
          <w:b/>
          <w:u w:val="single"/>
        </w:rPr>
        <w:t>HFC-23</w:t>
      </w:r>
      <w:r w:rsidR="00F17DBA">
        <w:t xml:space="preserve">. </w:t>
      </w:r>
      <w:bookmarkEnd w:id="56"/>
    </w:p>
    <w:p w14:paraId="50276E33" w14:textId="77777777" w:rsidR="00F17DBA" w:rsidRPr="006C0C5C" w:rsidRDefault="00F17DBA" w:rsidP="00275CBE">
      <w:pPr>
        <w:pStyle w:val="Heading4"/>
      </w:pPr>
      <w:r w:rsidRPr="006C0C5C">
        <w:t>3.2.</w:t>
      </w:r>
      <w:r>
        <w:t>3.1</w:t>
      </w:r>
      <w:r>
        <w:tab/>
      </w:r>
      <w:r w:rsidRPr="006C0C5C">
        <w:t>Experience with HFC destruction</w:t>
      </w:r>
    </w:p>
    <w:p w14:paraId="13BB84A1" w14:textId="2297571F" w:rsidR="00F17DBA" w:rsidRDefault="00F17DBA" w:rsidP="00F17DBA">
      <w:pPr>
        <w:rPr>
          <w:lang w:val="en-AU"/>
        </w:rPr>
      </w:pPr>
      <w:r>
        <w:rPr>
          <w:lang w:val="en-AU"/>
        </w:rPr>
        <w:t xml:space="preserve">The only facility specific information reported by the Parties </w:t>
      </w:r>
      <w:r w:rsidR="00B6407A">
        <w:rPr>
          <w:lang w:val="en-AU"/>
        </w:rPr>
        <w:t>for</w:t>
      </w:r>
      <w:r>
        <w:rPr>
          <w:lang w:val="en-AU"/>
        </w:rPr>
        <w:t xml:space="preserve"> this technology </w:t>
      </w:r>
      <w:r w:rsidR="00B6407A">
        <w:rPr>
          <w:lang w:val="en-AU"/>
        </w:rPr>
        <w:t>used for</w:t>
      </w:r>
      <w:r>
        <w:rPr>
          <w:lang w:val="en-AU"/>
        </w:rPr>
        <w:t xml:space="preserve"> HFCs </w:t>
      </w:r>
      <w:r w:rsidR="00B6407A">
        <w:rPr>
          <w:lang w:val="en-AU"/>
        </w:rPr>
        <w:t>destruction, with</w:t>
      </w:r>
      <w:r>
        <w:rPr>
          <w:lang w:val="en-AU"/>
        </w:rPr>
        <w:t xml:space="preserve"> supporting performance data available</w:t>
      </w:r>
      <w:r w:rsidR="00B6407A">
        <w:rPr>
          <w:lang w:val="en-AU"/>
        </w:rPr>
        <w:t>,</w:t>
      </w:r>
      <w:r>
        <w:rPr>
          <w:lang w:val="en-AU"/>
        </w:rPr>
        <w:t xml:space="preserve"> relates to an unidentified facility in Japan</w:t>
      </w:r>
      <w:r w:rsidR="00B6407A">
        <w:rPr>
          <w:lang w:val="en-AU"/>
        </w:rPr>
        <w:t>,</w:t>
      </w:r>
      <w:r>
        <w:rPr>
          <w:lang w:val="en-AU"/>
        </w:rPr>
        <w:t xml:space="preserve"> which is said to have been used for a wide range of HFCs. However, only data related to the destruction of HFC-134a was provided. </w:t>
      </w:r>
    </w:p>
    <w:p w14:paraId="1BDBCFC2" w14:textId="77777777" w:rsidR="00F17DBA" w:rsidRPr="006C0C5C" w:rsidRDefault="00F17DBA" w:rsidP="00275CBE">
      <w:pPr>
        <w:pStyle w:val="Heading4"/>
      </w:pPr>
      <w:r w:rsidRPr="006C0C5C">
        <w:t>3.2.</w:t>
      </w:r>
      <w:r>
        <w:t>3</w:t>
      </w:r>
      <w:r w:rsidRPr="006C0C5C">
        <w:t>.2</w:t>
      </w:r>
      <w:r w:rsidRPr="006C0C5C">
        <w:tab/>
        <w:t>Assessment of applicability to HFCs using performance criteria</w:t>
      </w:r>
    </w:p>
    <w:p w14:paraId="5ABE12F3" w14:textId="32B666FA" w:rsidR="00F17DBA" w:rsidRDefault="00F17DBA" w:rsidP="00F17DBA">
      <w:pPr>
        <w:rPr>
          <w:lang w:val="en-AU"/>
        </w:rPr>
      </w:pPr>
      <w:bookmarkStart w:id="57" w:name="_Hlk506974598"/>
      <w:r>
        <w:rPr>
          <w:lang w:val="en-AU"/>
        </w:rPr>
        <w:t>The only HFC destruction performance data presently available to undertake a performance criteria assessment has been supplied by Japan for an unidentified production facility with a capacity of 22 kg/hr, operating temperature of 1,249</w:t>
      </w:r>
      <w:r w:rsidR="00B6407A" w:rsidRPr="00B6407A">
        <w:rPr>
          <w:lang w:val="en-AU"/>
        </w:rPr>
        <w:t>º</w:t>
      </w:r>
      <w:r>
        <w:rPr>
          <w:lang w:val="en-AU"/>
        </w:rPr>
        <w:t>C and residence time of 1.44 sec</w:t>
      </w:r>
      <w:r w:rsidR="00B6407A">
        <w:rPr>
          <w:lang w:val="en-AU"/>
        </w:rPr>
        <w:t>, with achieved DRE of 99.</w:t>
      </w:r>
      <w:r>
        <w:rPr>
          <w:lang w:val="en-AU"/>
        </w:rPr>
        <w:t>995%</w:t>
      </w:r>
      <w:r w:rsidR="00B6407A">
        <w:rPr>
          <w:lang w:val="en-AU"/>
        </w:rPr>
        <w:t>,</w:t>
      </w:r>
      <w:r>
        <w:rPr>
          <w:lang w:val="en-AU"/>
        </w:rPr>
        <w:t xml:space="preserve"> </w:t>
      </w:r>
      <w:r w:rsidR="00B6407A">
        <w:rPr>
          <w:lang w:val="en-AU"/>
        </w:rPr>
        <w:t>for</w:t>
      </w:r>
      <w:r>
        <w:rPr>
          <w:lang w:val="en-AU"/>
        </w:rPr>
        <w:t xml:space="preserve"> the destruction of HFC-134a.</w:t>
      </w:r>
      <w:bookmarkEnd w:id="57"/>
      <w:r>
        <w:rPr>
          <w:lang w:val="en-AU"/>
        </w:rPr>
        <w:t xml:space="preserve"> </w:t>
      </w:r>
      <w:r w:rsidR="00CC2093">
        <w:rPr>
          <w:lang w:val="en-AU"/>
        </w:rPr>
        <w:t xml:space="preserve">The 2018 </w:t>
      </w:r>
      <w:r w:rsidR="00830FBF">
        <w:rPr>
          <w:lang w:val="en-AU"/>
        </w:rPr>
        <w:t xml:space="preserve">TFDT is working to confirm reported </w:t>
      </w:r>
      <w:r w:rsidR="00377CC6">
        <w:rPr>
          <w:lang w:val="en-AU"/>
        </w:rPr>
        <w:t>dioxins</w:t>
      </w:r>
      <w:r w:rsidR="00974994">
        <w:rPr>
          <w:lang w:val="en-AU"/>
        </w:rPr>
        <w:t>/</w:t>
      </w:r>
      <w:r w:rsidR="00377CC6">
        <w:rPr>
          <w:lang w:val="en-AU"/>
        </w:rPr>
        <w:t xml:space="preserve">furans </w:t>
      </w:r>
      <w:r w:rsidR="00830FBF">
        <w:rPr>
          <w:lang w:val="en-AU"/>
        </w:rPr>
        <w:t>emissions</w:t>
      </w:r>
      <w:r w:rsidR="00CC2093">
        <w:rPr>
          <w:lang w:val="en-AU"/>
        </w:rPr>
        <w:t>,</w:t>
      </w:r>
      <w:r w:rsidR="00830FBF">
        <w:rPr>
          <w:lang w:val="en-AU"/>
        </w:rPr>
        <w:t xml:space="preserve"> which were </w:t>
      </w:r>
      <w:r w:rsidR="00C27A9F">
        <w:rPr>
          <w:lang w:val="en-AU"/>
        </w:rPr>
        <w:t xml:space="preserve">reported to be </w:t>
      </w:r>
      <w:r w:rsidR="00830FBF">
        <w:rPr>
          <w:lang w:val="en-AU"/>
        </w:rPr>
        <w:t xml:space="preserve">higher than </w:t>
      </w:r>
      <w:r w:rsidR="00C27A9F">
        <w:rPr>
          <w:lang w:val="en-AU"/>
        </w:rPr>
        <w:t>the performance</w:t>
      </w:r>
      <w:r w:rsidR="00830FBF">
        <w:rPr>
          <w:lang w:val="en-AU"/>
        </w:rPr>
        <w:t xml:space="preserve"> criteria.</w:t>
      </w:r>
      <w:r w:rsidR="00514300">
        <w:rPr>
          <w:lang w:val="en-AU"/>
        </w:rPr>
        <w:t xml:space="preserve"> </w:t>
      </w:r>
      <w:r w:rsidR="005F41B9">
        <w:rPr>
          <w:lang w:val="en-AU"/>
        </w:rPr>
        <w:t>Emissions of other pollutants were within the performance criteria.</w:t>
      </w:r>
    </w:p>
    <w:p w14:paraId="3CEC1478" w14:textId="77777777" w:rsidR="00F17DBA" w:rsidRPr="006C0C5C" w:rsidRDefault="00F17DBA" w:rsidP="00275CBE">
      <w:pPr>
        <w:pStyle w:val="Heading4"/>
      </w:pPr>
      <w:r w:rsidRPr="006C0C5C">
        <w:t>3.2.</w:t>
      </w:r>
      <w:r>
        <w:t>3</w:t>
      </w:r>
      <w:r w:rsidRPr="006C0C5C">
        <w:t>.3</w:t>
      </w:r>
      <w:r w:rsidRPr="006C0C5C">
        <w:tab/>
        <w:t>Technical capability for destruction of HFCs</w:t>
      </w:r>
    </w:p>
    <w:p w14:paraId="47DA1E3A" w14:textId="15DC0262" w:rsidR="00F17DBA" w:rsidRDefault="00F17DBA" w:rsidP="00F17DBA">
      <w:r>
        <w:t xml:space="preserve">The 2002 </w:t>
      </w:r>
      <w:r w:rsidR="005F41B9">
        <w:t>TFDT</w:t>
      </w:r>
      <w:r>
        <w:t xml:space="preserve"> report indicates a capacity range for CFC-12 of 10 kg/hr at a facility in Japan. Current information reported by Japan ind</w:t>
      </w:r>
      <w:r w:rsidR="005F41B9">
        <w:t xml:space="preserve">icates a capacity of 22 kg/hr. </w:t>
      </w:r>
      <w:r>
        <w:t xml:space="preserve">In general, it is anticipated that this would vary between facilities and may be constrained by the impact of higher fluorine content depending on facility specific design. </w:t>
      </w:r>
    </w:p>
    <w:p w14:paraId="15C680B9" w14:textId="77777777" w:rsidR="00F17DBA" w:rsidRPr="006C0C5C" w:rsidRDefault="00F17DBA" w:rsidP="00275CBE">
      <w:pPr>
        <w:pStyle w:val="Heading4"/>
      </w:pPr>
      <w:r w:rsidRPr="006C0C5C">
        <w:t>3.2.</w:t>
      </w:r>
      <w:r>
        <w:t>3</w:t>
      </w:r>
      <w:r w:rsidRPr="006C0C5C">
        <w:t>.4</w:t>
      </w:r>
      <w:r w:rsidRPr="006C0C5C">
        <w:tab/>
        <w:t>Other considerations</w:t>
      </w:r>
    </w:p>
    <w:p w14:paraId="7B44F106" w14:textId="68DC8D45" w:rsidR="00F17DBA" w:rsidRDefault="005F41B9" w:rsidP="00F17DBA">
      <w:pPr>
        <w:rPr>
          <w:rFonts w:eastAsia="Times New Roman"/>
        </w:rPr>
      </w:pPr>
      <w:r>
        <w:rPr>
          <w:rFonts w:eastAsia="Times New Roman"/>
        </w:rPr>
        <w:t>The application of this</w:t>
      </w:r>
      <w:r w:rsidR="00F17DBA">
        <w:rPr>
          <w:rFonts w:eastAsia="Times New Roman"/>
        </w:rPr>
        <w:t xml:space="preserve"> technology to HFCs should consider the impact of potentially higher acid gas generation associated with HFC combustion, particularly HF, on the operation of facilities, a factor that m</w:t>
      </w:r>
      <w:r>
        <w:rPr>
          <w:rFonts w:eastAsia="Times New Roman"/>
        </w:rPr>
        <w:t>ay limit destruction capacity</w:t>
      </w:r>
      <w:r w:rsidR="00F53DB5">
        <w:rPr>
          <w:rFonts w:eastAsia="Times New Roman"/>
        </w:rPr>
        <w:t>.</w:t>
      </w:r>
    </w:p>
    <w:p w14:paraId="7F3492EE" w14:textId="0D58B58B" w:rsidR="00F17DBA" w:rsidRPr="005F41B9" w:rsidRDefault="005F41B9" w:rsidP="00F17DBA">
      <w:r>
        <w:t>The technology</w:t>
      </w:r>
      <w:r w:rsidR="00F17DBA">
        <w:t xml:space="preserve"> </w:t>
      </w:r>
      <w:r>
        <w:t>is</w:t>
      </w:r>
      <w:r w:rsidR="00F17DBA">
        <w:t xml:space="preserve"> able to handle a wide range of liquid or vapour wastes, </w:t>
      </w:r>
      <w:r>
        <w:t>has</w:t>
      </w:r>
      <w:r w:rsidR="00F17DBA">
        <w:t xml:space="preserve"> high turndown ratios and no moving parts. </w:t>
      </w:r>
      <w:r>
        <w:t>The technology is</w:t>
      </w:r>
      <w:r w:rsidR="00F17DBA">
        <w:t xml:space="preserve"> limited to treating wastes that can be pumped </w:t>
      </w:r>
      <w:r>
        <w:t>and atomized through the burner</w:t>
      </w:r>
      <w:r w:rsidR="00F17DBA">
        <w:t xml:space="preserve"> and </w:t>
      </w:r>
      <w:r>
        <w:t xml:space="preserve">is therefore well </w:t>
      </w:r>
      <w:r w:rsidR="00F17DBA">
        <w:t xml:space="preserve">suited to handling HFCs generally. </w:t>
      </w:r>
    </w:p>
    <w:p w14:paraId="298D5E0E" w14:textId="77777777" w:rsidR="001F6C65" w:rsidRDefault="001F6C65" w:rsidP="00275CBE">
      <w:pPr>
        <w:pStyle w:val="Heading3"/>
      </w:pPr>
      <w:bookmarkStart w:id="58" w:name="_Ref510530462"/>
      <w:bookmarkStart w:id="59" w:name="_Toc510531465"/>
      <w:r w:rsidRPr="004C5C20">
        <w:t>3.2.4</w:t>
      </w:r>
      <w:r w:rsidRPr="004C5C20">
        <w:tab/>
        <w:t>Municipal Solid Waste Incineration</w:t>
      </w:r>
      <w:bookmarkEnd w:id="58"/>
      <w:bookmarkEnd w:id="59"/>
    </w:p>
    <w:p w14:paraId="1662FFA3" w14:textId="5DF7C5F6" w:rsidR="005F41B9" w:rsidRDefault="005F41B9" w:rsidP="00851F74">
      <w:pPr>
        <w:rPr>
          <w:lang w:val="en-US" w:eastAsia="en-US"/>
        </w:rPr>
      </w:pPr>
      <w:r>
        <w:rPr>
          <w:lang w:val="en-US" w:eastAsia="en-US"/>
        </w:rPr>
        <w:t xml:space="preserve">Solid materials including foams are transferred to a bin that feeds the waste onto a moving grate. Combustion air is drawn through the refuse pit, preheated and introduced into the </w:t>
      </w:r>
      <w:r>
        <w:rPr>
          <w:lang w:val="en-US" w:eastAsia="en-US"/>
        </w:rPr>
        <w:lastRenderedPageBreak/>
        <w:t>combustion zone through the moving grate. Hot gases from the combustion of the waste are typically cooled in a waste heat boiler and then cleaned</w:t>
      </w:r>
      <w:r w:rsidR="00851F74">
        <w:rPr>
          <w:lang w:val="en-US" w:eastAsia="en-US"/>
        </w:rPr>
        <w:t>,</w:t>
      </w:r>
      <w:r>
        <w:rPr>
          <w:lang w:val="en-US" w:eastAsia="en-US"/>
        </w:rPr>
        <w:t xml:space="preserve"> either by a spray drier and bag house</w:t>
      </w:r>
      <w:r w:rsidR="00851F74">
        <w:rPr>
          <w:lang w:val="en-US" w:eastAsia="en-US"/>
        </w:rPr>
        <w:t xml:space="preserve"> </w:t>
      </w:r>
      <w:r>
        <w:rPr>
          <w:lang w:val="en-US" w:eastAsia="en-US"/>
        </w:rPr>
        <w:t>or by a dry electrostatic precipitator. In order to obtain low dioxin</w:t>
      </w:r>
      <w:r w:rsidR="00974994">
        <w:rPr>
          <w:lang w:val="en-US" w:eastAsia="en-US"/>
        </w:rPr>
        <w:t>s</w:t>
      </w:r>
      <w:r w:rsidR="00CC2093">
        <w:rPr>
          <w:lang w:val="en-US" w:eastAsia="en-US"/>
        </w:rPr>
        <w:t>/</w:t>
      </w:r>
      <w:r>
        <w:rPr>
          <w:lang w:val="en-US" w:eastAsia="en-US"/>
        </w:rPr>
        <w:t>furan</w:t>
      </w:r>
      <w:r w:rsidR="00974994">
        <w:rPr>
          <w:lang w:val="en-US" w:eastAsia="en-US"/>
        </w:rPr>
        <w:t>s</w:t>
      </w:r>
      <w:r>
        <w:rPr>
          <w:lang w:val="en-US" w:eastAsia="en-US"/>
        </w:rPr>
        <w:t xml:space="preserve"> emissions, advanced air pollution control systems use spray-dry scrubbers with activated carbon injection, followed by bag houses. The combustors may be refractory lined or, as in many newer systems, the walls may be water-cool</w:t>
      </w:r>
      <w:r w:rsidR="00851F74">
        <w:rPr>
          <w:lang w:val="en-US" w:eastAsia="en-US"/>
        </w:rPr>
        <w:t xml:space="preserve">ed to recover additional heat. </w:t>
      </w:r>
      <w:r>
        <w:rPr>
          <w:lang w:val="en-US" w:eastAsia="en-US"/>
        </w:rPr>
        <w:t xml:space="preserve">More details are available in the 2002 </w:t>
      </w:r>
      <w:r w:rsidR="00851F74">
        <w:rPr>
          <w:lang w:val="en-US" w:eastAsia="en-US"/>
        </w:rPr>
        <w:t>TFDT Report.</w:t>
      </w:r>
    </w:p>
    <w:p w14:paraId="676C576F" w14:textId="3B2EBAE7" w:rsidR="005F41B9" w:rsidRDefault="005F41B9" w:rsidP="00851F74">
      <w:pPr>
        <w:rPr>
          <w:snapToGrid w:val="0"/>
          <w:lang w:val="en-US"/>
        </w:rPr>
      </w:pPr>
      <w:r>
        <w:rPr>
          <w:snapToGrid w:val="0"/>
          <w:lang w:val="en-US"/>
        </w:rPr>
        <w:t>Apart from the listing of the technology as used for refrigerant (assumed to be foam) destruction in Japan</w:t>
      </w:r>
      <w:r w:rsidR="00851F74">
        <w:rPr>
          <w:snapToGrid w:val="0"/>
          <w:lang w:val="en-US"/>
        </w:rPr>
        <w:t>,</w:t>
      </w:r>
      <w:r>
        <w:rPr>
          <w:snapToGrid w:val="0"/>
          <w:lang w:val="en-US"/>
        </w:rPr>
        <w:t xml:space="preserve"> </w:t>
      </w:r>
      <w:r w:rsidR="0063062A">
        <w:rPr>
          <w:snapToGrid w:val="0"/>
          <w:lang w:val="en-US"/>
        </w:rPr>
        <w:t>at the time of its report, the 2018 TFDT was not aware of</w:t>
      </w:r>
      <w:r>
        <w:rPr>
          <w:snapToGrid w:val="0"/>
          <w:lang w:val="en-US"/>
        </w:rPr>
        <w:t xml:space="preserve"> </w:t>
      </w:r>
      <w:r w:rsidR="0063062A">
        <w:rPr>
          <w:snapToGrid w:val="0"/>
          <w:lang w:val="en-US"/>
        </w:rPr>
        <w:t xml:space="preserve">other </w:t>
      </w:r>
      <w:r>
        <w:rPr>
          <w:snapToGrid w:val="0"/>
          <w:lang w:val="en-US"/>
        </w:rPr>
        <w:t>informati</w:t>
      </w:r>
      <w:r w:rsidR="00851F74">
        <w:rPr>
          <w:snapToGrid w:val="0"/>
          <w:lang w:val="en-US"/>
        </w:rPr>
        <w:t>on specific to this technology and</w:t>
      </w:r>
      <w:r>
        <w:rPr>
          <w:snapToGrid w:val="0"/>
          <w:lang w:val="en-US"/>
        </w:rPr>
        <w:t xml:space="preserve"> its application to HFC</w:t>
      </w:r>
      <w:r w:rsidR="0063062A">
        <w:rPr>
          <w:snapToGrid w:val="0"/>
          <w:lang w:val="en-US"/>
        </w:rPr>
        <w:t>s</w:t>
      </w:r>
      <w:r>
        <w:rPr>
          <w:snapToGrid w:val="0"/>
          <w:lang w:val="en-US"/>
        </w:rPr>
        <w:t>.</w:t>
      </w:r>
    </w:p>
    <w:p w14:paraId="7A409BAA" w14:textId="77777777" w:rsidR="00851F74" w:rsidRDefault="005F41B9" w:rsidP="00851F74">
      <w:r w:rsidRPr="001C4C80">
        <w:t xml:space="preserve">The overall assessment of this technology is that it is likely qualified for application to </w:t>
      </w:r>
      <w:r>
        <w:t xml:space="preserve">foam waste with </w:t>
      </w:r>
      <w:r w:rsidRPr="001C4C80">
        <w:t>HFC</w:t>
      </w:r>
      <w:r>
        <w:t xml:space="preserve"> blowing agent to the same degree that it</w:t>
      </w:r>
      <w:r w:rsidRPr="001C4C80">
        <w:t xml:space="preserve"> </w:t>
      </w:r>
      <w:r>
        <w:t xml:space="preserve">is assumed to apply to foam with ODS blowing agents. </w:t>
      </w:r>
    </w:p>
    <w:p w14:paraId="426327F3" w14:textId="2073370A" w:rsidR="005F41B9" w:rsidRPr="002B4268" w:rsidRDefault="0094183F" w:rsidP="00851F74">
      <w:pPr>
        <w:rPr>
          <w:snapToGrid w:val="0"/>
          <w:lang w:val="en-US"/>
        </w:rPr>
      </w:pPr>
      <w:r>
        <w:rPr>
          <w:lang w:val="en-AU"/>
        </w:rPr>
        <w:t>No dioxin</w:t>
      </w:r>
      <w:r w:rsidR="00974994">
        <w:rPr>
          <w:lang w:val="en-AU"/>
        </w:rPr>
        <w:t>s</w:t>
      </w:r>
      <w:r>
        <w:rPr>
          <w:lang w:val="en-AU"/>
        </w:rPr>
        <w:t>/furan</w:t>
      </w:r>
      <w:r w:rsidR="00974994">
        <w:rPr>
          <w:lang w:val="en-AU"/>
        </w:rPr>
        <w:t>s</w:t>
      </w:r>
      <w:r>
        <w:rPr>
          <w:lang w:val="en-AU"/>
        </w:rPr>
        <w:t xml:space="preserve"> emissions data were available to the 2018 TFDT at the time of this writing, and the </w:t>
      </w:r>
      <w:r w:rsidR="008F1045">
        <w:rPr>
          <w:lang w:val="en-AU"/>
        </w:rPr>
        <w:t>dioxin</w:t>
      </w:r>
      <w:r w:rsidR="00974994">
        <w:rPr>
          <w:lang w:val="en-AU"/>
        </w:rPr>
        <w:t>s</w:t>
      </w:r>
      <w:r w:rsidR="008F1045">
        <w:rPr>
          <w:lang w:val="en-AU"/>
        </w:rPr>
        <w:t>/furan</w:t>
      </w:r>
      <w:r w:rsidR="00974994">
        <w:rPr>
          <w:lang w:val="en-AU"/>
        </w:rPr>
        <w:t>s</w:t>
      </w:r>
      <w:r w:rsidR="008F1045">
        <w:rPr>
          <w:lang w:val="en-AU"/>
        </w:rPr>
        <w:t xml:space="preserve"> </w:t>
      </w:r>
      <w:r>
        <w:rPr>
          <w:lang w:val="en-AU"/>
        </w:rPr>
        <w:t xml:space="preserve">emissions were higher than the criteria for ODS as noted in the 2002 TFDT. </w:t>
      </w:r>
      <w:r w:rsidR="00851F74" w:rsidRPr="0078658C">
        <w:rPr>
          <w:b/>
          <w:u w:val="single"/>
        </w:rPr>
        <w:t xml:space="preserve">Municipal Solid Waste Incineration </w:t>
      </w:r>
      <w:r w:rsidR="005F41B9" w:rsidRPr="0078658C">
        <w:rPr>
          <w:b/>
          <w:u w:val="single"/>
        </w:rPr>
        <w:t xml:space="preserve">is </w:t>
      </w:r>
      <w:r w:rsidR="005F41B9" w:rsidRPr="002678F8">
        <w:rPr>
          <w:b/>
          <w:u w:val="single"/>
        </w:rPr>
        <w:t>recommended</w:t>
      </w:r>
      <w:r w:rsidR="005F41B9" w:rsidRPr="00126E23">
        <w:rPr>
          <w:b/>
          <w:u w:val="single"/>
        </w:rPr>
        <w:t xml:space="preserve"> </w:t>
      </w:r>
      <w:r w:rsidR="00F64BF4">
        <w:rPr>
          <w:b/>
          <w:i/>
          <w:u w:val="single"/>
        </w:rPr>
        <w:t>as high potential</w:t>
      </w:r>
      <w:r w:rsidR="00851F74" w:rsidRPr="00126E23">
        <w:rPr>
          <w:b/>
          <w:u w:val="single"/>
        </w:rPr>
        <w:t xml:space="preserve"> for applicability to destruction </w:t>
      </w:r>
      <w:r w:rsidR="00B73437">
        <w:rPr>
          <w:b/>
          <w:u w:val="single"/>
        </w:rPr>
        <w:t>of</w:t>
      </w:r>
      <w:r w:rsidR="00B73437" w:rsidRPr="00126E23">
        <w:rPr>
          <w:b/>
          <w:u w:val="single"/>
        </w:rPr>
        <w:t xml:space="preserve"> </w:t>
      </w:r>
      <w:r w:rsidR="00851F74" w:rsidRPr="00126E23">
        <w:rPr>
          <w:b/>
          <w:u w:val="single"/>
        </w:rPr>
        <w:t xml:space="preserve">dilute </w:t>
      </w:r>
      <w:r w:rsidR="00B73437">
        <w:rPr>
          <w:b/>
          <w:u w:val="single"/>
        </w:rPr>
        <w:t xml:space="preserve">HFC </w:t>
      </w:r>
      <w:r w:rsidR="009E3E2B" w:rsidRPr="00126E23">
        <w:rPr>
          <w:b/>
          <w:u w:val="single"/>
        </w:rPr>
        <w:t>sources</w:t>
      </w:r>
      <w:r w:rsidR="009B7C7B" w:rsidRPr="00126E23">
        <w:rPr>
          <w:b/>
          <w:u w:val="single"/>
        </w:rPr>
        <w:t xml:space="preserve"> (except for HFC-23)</w:t>
      </w:r>
      <w:r w:rsidR="005F41B9" w:rsidRPr="00126E23">
        <w:rPr>
          <w:b/>
          <w:u w:val="single"/>
        </w:rPr>
        <w:t>, specifically for the destruction of HFC blowing agents in foam</w:t>
      </w:r>
      <w:r w:rsidR="005F41B9" w:rsidRPr="00126E23">
        <w:t>.</w:t>
      </w:r>
      <w:r w:rsidR="00514300">
        <w:t xml:space="preserve"> </w:t>
      </w:r>
    </w:p>
    <w:p w14:paraId="71005AF5" w14:textId="77777777" w:rsidR="005F41B9" w:rsidRPr="00E87025" w:rsidRDefault="005F41B9" w:rsidP="00275CBE">
      <w:pPr>
        <w:pStyle w:val="Heading4"/>
      </w:pPr>
      <w:r w:rsidRPr="006C0C5C">
        <w:t>3.2</w:t>
      </w:r>
      <w:r>
        <w:t>.4</w:t>
      </w:r>
      <w:r w:rsidRPr="006C0C5C">
        <w:t>.1</w:t>
      </w:r>
      <w:r w:rsidRPr="006C0C5C">
        <w:tab/>
        <w:t>Experience with HFC destruction</w:t>
      </w:r>
    </w:p>
    <w:p w14:paraId="35AE665C" w14:textId="1F2F2EB1" w:rsidR="005F41B9" w:rsidRPr="004C5C20" w:rsidRDefault="005F41B9" w:rsidP="005F41B9">
      <w:pPr>
        <w:rPr>
          <w:b/>
          <w:u w:val="single"/>
          <w:lang w:val="en-AU"/>
        </w:rPr>
      </w:pPr>
      <w:r>
        <w:rPr>
          <w:lang w:val="en-AU"/>
        </w:rPr>
        <w:t>No HFC destruction data for dilute waste streams have been reported by the Parties</w:t>
      </w:r>
      <w:r w:rsidR="009E3E2B">
        <w:rPr>
          <w:lang w:val="en-AU"/>
        </w:rPr>
        <w:t xml:space="preserve"> or was otherwise available for assessment</w:t>
      </w:r>
      <w:r>
        <w:rPr>
          <w:lang w:val="en-AU"/>
        </w:rPr>
        <w:t>.</w:t>
      </w:r>
      <w:r w:rsidR="00126E23">
        <w:rPr>
          <w:lang w:val="en-AU"/>
        </w:rPr>
        <w:t xml:space="preserve"> </w:t>
      </w:r>
    </w:p>
    <w:p w14:paraId="7E99ACE9" w14:textId="77777777" w:rsidR="005F41B9" w:rsidRPr="006C0C5C" w:rsidRDefault="005F41B9" w:rsidP="00275CBE">
      <w:pPr>
        <w:pStyle w:val="Heading4"/>
      </w:pPr>
      <w:r w:rsidRPr="006C0C5C">
        <w:t>3.2.</w:t>
      </w:r>
      <w:r>
        <w:t>4</w:t>
      </w:r>
      <w:r w:rsidRPr="006C0C5C">
        <w:t>.2</w:t>
      </w:r>
      <w:r w:rsidRPr="006C0C5C">
        <w:tab/>
        <w:t>Assessment of applicability to HFCs using performance criteria</w:t>
      </w:r>
    </w:p>
    <w:p w14:paraId="688B7083" w14:textId="7C260732" w:rsidR="005F41B9" w:rsidRDefault="005F41B9" w:rsidP="005F41B9">
      <w:pPr>
        <w:rPr>
          <w:lang w:val="en-AU"/>
        </w:rPr>
      </w:pPr>
      <w:r>
        <w:rPr>
          <w:lang w:val="en-AU"/>
        </w:rPr>
        <w:t xml:space="preserve">No HFC specific performance data </w:t>
      </w:r>
      <w:r w:rsidR="009E3E2B">
        <w:rPr>
          <w:lang w:val="en-AU"/>
        </w:rPr>
        <w:t>is currently</w:t>
      </w:r>
      <w:r>
        <w:rPr>
          <w:lang w:val="en-AU"/>
        </w:rPr>
        <w:t xml:space="preserve"> available to undertake a performance criteria assessment, although in principle it would be anticipated that the technology should </w:t>
      </w:r>
      <w:r w:rsidR="009E3E2B">
        <w:rPr>
          <w:lang w:val="en-AU"/>
        </w:rPr>
        <w:t>meet</w:t>
      </w:r>
      <w:r>
        <w:rPr>
          <w:lang w:val="en-AU"/>
        </w:rPr>
        <w:t xml:space="preserve"> </w:t>
      </w:r>
      <w:r w:rsidR="009E3E2B">
        <w:rPr>
          <w:lang w:val="en-AU"/>
        </w:rPr>
        <w:t>the performance criteria, and</w:t>
      </w:r>
      <w:r>
        <w:rPr>
          <w:lang w:val="en-AU"/>
        </w:rPr>
        <w:t xml:space="preserve"> to the same degree </w:t>
      </w:r>
      <w:r w:rsidR="009E3E2B">
        <w:rPr>
          <w:lang w:val="en-AU"/>
        </w:rPr>
        <w:t>that</w:t>
      </w:r>
      <w:r>
        <w:rPr>
          <w:lang w:val="en-AU"/>
        </w:rPr>
        <w:t xml:space="preserve"> it does for ODS in dilute </w:t>
      </w:r>
      <w:r w:rsidR="009E3E2B">
        <w:rPr>
          <w:lang w:val="en-AU"/>
        </w:rPr>
        <w:t>sources</w:t>
      </w:r>
      <w:r>
        <w:rPr>
          <w:lang w:val="en-AU"/>
        </w:rPr>
        <w:t xml:space="preserve"> such as blowing agents</w:t>
      </w:r>
      <w:r w:rsidR="009E3E2B">
        <w:rPr>
          <w:lang w:val="en-AU"/>
        </w:rPr>
        <w:t xml:space="preserve"> in foams</w:t>
      </w:r>
      <w:r>
        <w:rPr>
          <w:lang w:val="en-AU"/>
        </w:rPr>
        <w:t xml:space="preserve">. </w:t>
      </w:r>
    </w:p>
    <w:p w14:paraId="486833D2" w14:textId="77777777" w:rsidR="005F41B9" w:rsidRPr="006C0C5C" w:rsidRDefault="005F41B9" w:rsidP="00275CBE">
      <w:pPr>
        <w:pStyle w:val="Heading4"/>
      </w:pPr>
      <w:r w:rsidRPr="006C0C5C">
        <w:t>3.2.</w:t>
      </w:r>
      <w:r>
        <w:t>4</w:t>
      </w:r>
      <w:r w:rsidRPr="006C0C5C">
        <w:t>.3</w:t>
      </w:r>
      <w:r w:rsidRPr="006C0C5C">
        <w:tab/>
        <w:t>Technical capability for destruction of HFCs</w:t>
      </w:r>
    </w:p>
    <w:p w14:paraId="6098DE26" w14:textId="23D83736" w:rsidR="005F41B9" w:rsidRDefault="005F41B9" w:rsidP="005F41B9">
      <w:r>
        <w:t xml:space="preserve">Information from Japan indicates that municipal incineration facilities offer capacities in the range </w:t>
      </w:r>
      <w:r w:rsidR="009E3E2B">
        <w:t xml:space="preserve">of </w:t>
      </w:r>
      <w:r>
        <w:t>10-120 kg/hr, a capacity that is assumed to apply to a dilute waste stream</w:t>
      </w:r>
      <w:r w:rsidR="009E3E2B">
        <w:t>,</w:t>
      </w:r>
      <w:r>
        <w:t xml:space="preserve"> such as foam. The 2002 </w:t>
      </w:r>
      <w:r w:rsidR="009E3E2B">
        <w:t>TFDT R</w:t>
      </w:r>
      <w:r>
        <w:t>eport indicates capacities</w:t>
      </w:r>
      <w:r w:rsidR="009E3E2B">
        <w:t xml:space="preserve"> of over 400 kg/hr for foams.</w:t>
      </w:r>
    </w:p>
    <w:p w14:paraId="638F2FFE" w14:textId="77777777" w:rsidR="005F41B9" w:rsidRPr="006C0C5C" w:rsidRDefault="005F41B9" w:rsidP="00275CBE">
      <w:pPr>
        <w:pStyle w:val="Heading4"/>
      </w:pPr>
      <w:r w:rsidRPr="006C0C5C">
        <w:t>3.2.</w:t>
      </w:r>
      <w:r>
        <w:t>4</w:t>
      </w:r>
      <w:r w:rsidRPr="006C0C5C">
        <w:t>.4</w:t>
      </w:r>
      <w:r w:rsidRPr="006C0C5C">
        <w:tab/>
        <w:t>Other considerations</w:t>
      </w:r>
    </w:p>
    <w:p w14:paraId="07311B76" w14:textId="53461CEC" w:rsidR="005F41B9" w:rsidRDefault="005F41B9" w:rsidP="005F41B9">
      <w:r>
        <w:t>The application of the technology to dilute HFC wastes</w:t>
      </w:r>
      <w:r w:rsidR="009E3E2B">
        <w:t>,</w:t>
      </w:r>
      <w:r>
        <w:t xml:space="preserve"> such as foam</w:t>
      </w:r>
      <w:r w:rsidR="009E3E2B">
        <w:t>s,</w:t>
      </w:r>
      <w:r>
        <w:t xml:space="preserve"> should consider the impact of potentially higher acid gas generation associated with HFC combustion, particularly HF, o</w:t>
      </w:r>
      <w:r w:rsidR="009E3E2B">
        <w:t xml:space="preserve">n the operation of facilities. </w:t>
      </w:r>
      <w:r w:rsidRPr="004B058C">
        <w:t xml:space="preserve">Based on the original 2002 </w:t>
      </w:r>
      <w:r w:rsidR="009E3E2B" w:rsidRPr="004B058C">
        <w:t xml:space="preserve">TFDT </w:t>
      </w:r>
      <w:r w:rsidRPr="004B058C">
        <w:t xml:space="preserve">assessment, </w:t>
      </w:r>
      <w:r w:rsidR="004B058C">
        <w:t>this technology requires sophisticated air pollution control systems to achieve pollutant emissions within the performance criteria, although this was achievable under strict operating conditions. These qualifications are also relevant for HFCs destruction</w:t>
      </w:r>
      <w:r w:rsidRPr="004B058C">
        <w:t xml:space="preserve"> </w:t>
      </w:r>
      <w:r w:rsidR="004B058C">
        <w:t xml:space="preserve">and </w:t>
      </w:r>
      <w:r w:rsidRPr="004B058C">
        <w:t xml:space="preserve">should be </w:t>
      </w:r>
      <w:r w:rsidR="004B058C">
        <w:t>taken into consideration</w:t>
      </w:r>
      <w:r w:rsidR="004B058C" w:rsidRPr="004B058C">
        <w:t xml:space="preserve"> </w:t>
      </w:r>
      <w:r w:rsidRPr="004B058C">
        <w:t xml:space="preserve">for </w:t>
      </w:r>
      <w:r w:rsidR="004B058C">
        <w:t xml:space="preserve">the operation of </w:t>
      </w:r>
      <w:r w:rsidRPr="004B058C">
        <w:t xml:space="preserve">specific facilities, particularly with respect to </w:t>
      </w:r>
      <w:r w:rsidR="00645FDC">
        <w:t>dioxins/furans</w:t>
      </w:r>
      <w:r w:rsidRPr="004B058C">
        <w:t>, HC, HF and particulate emissions</w:t>
      </w:r>
      <w:r w:rsidR="004B058C">
        <w:t>.</w:t>
      </w:r>
      <w:r w:rsidR="00514300">
        <w:t xml:space="preserve"> </w:t>
      </w:r>
    </w:p>
    <w:p w14:paraId="4F2FAA93" w14:textId="33F8C8C2" w:rsidR="0054050F" w:rsidRPr="0054050F" w:rsidRDefault="0054050F" w:rsidP="00275CBE">
      <w:pPr>
        <w:pStyle w:val="Heading3"/>
      </w:pPr>
      <w:bookmarkStart w:id="60" w:name="_Toc508228170"/>
      <w:bookmarkStart w:id="61" w:name="_Ref510530489"/>
      <w:bookmarkStart w:id="62" w:name="_Toc510531466"/>
      <w:r w:rsidRPr="004C5C20">
        <w:t>3.2.5</w:t>
      </w:r>
      <w:r w:rsidRPr="004C5C20">
        <w:tab/>
        <w:t>Porous Thermal Reactor</w:t>
      </w:r>
      <w:bookmarkEnd w:id="60"/>
      <w:bookmarkEnd w:id="61"/>
      <w:bookmarkEnd w:id="62"/>
    </w:p>
    <w:p w14:paraId="1D8B0371" w14:textId="033A879C" w:rsidR="009E3E2B" w:rsidRDefault="009E3E2B" w:rsidP="009E3E2B">
      <w:pPr>
        <w:rPr>
          <w:lang w:val="en-AU"/>
        </w:rPr>
      </w:pPr>
      <w:r>
        <w:rPr>
          <w:lang w:val="en-AU"/>
        </w:rPr>
        <w:t xml:space="preserve">This is a combustion process using a </w:t>
      </w:r>
      <w:r w:rsidRPr="00427D33">
        <w:rPr>
          <w:lang w:val="en-AU"/>
        </w:rPr>
        <w:t xml:space="preserve">natural gas/air </w:t>
      </w:r>
      <w:r>
        <w:rPr>
          <w:lang w:val="en-AU"/>
        </w:rPr>
        <w:t xml:space="preserve">fuel mixture in a relatively small </w:t>
      </w:r>
      <w:r w:rsidRPr="00427D33">
        <w:rPr>
          <w:lang w:val="en-AU"/>
        </w:rPr>
        <w:t xml:space="preserve">combustion chamber </w:t>
      </w:r>
      <w:r>
        <w:rPr>
          <w:lang w:val="en-AU"/>
        </w:rPr>
        <w:t>or reactor (</w:t>
      </w:r>
      <w:r w:rsidRPr="00427D33">
        <w:rPr>
          <w:lang w:val="en-AU"/>
        </w:rPr>
        <w:t>30</w:t>
      </w:r>
      <w:r>
        <w:rPr>
          <w:lang w:val="en-AU"/>
        </w:rPr>
        <w:t>0</w:t>
      </w:r>
      <w:r w:rsidRPr="00427D33">
        <w:rPr>
          <w:lang w:val="en-AU"/>
        </w:rPr>
        <w:t xml:space="preserve"> to </w:t>
      </w:r>
      <w:r>
        <w:rPr>
          <w:lang w:val="en-AU"/>
        </w:rPr>
        <w:t>1100</w:t>
      </w:r>
      <w:r w:rsidRPr="00427D33">
        <w:rPr>
          <w:lang w:val="en-AU"/>
        </w:rPr>
        <w:t xml:space="preserve"> </w:t>
      </w:r>
      <w:r>
        <w:rPr>
          <w:lang w:val="en-AU"/>
        </w:rPr>
        <w:t>m</w:t>
      </w:r>
      <w:r w:rsidRPr="00427D33">
        <w:rPr>
          <w:lang w:val="en-AU"/>
        </w:rPr>
        <w:t>m</w:t>
      </w:r>
      <w:r>
        <w:rPr>
          <w:lang w:val="en-AU"/>
        </w:rPr>
        <w:t xml:space="preserve"> in diameter</w:t>
      </w:r>
      <w:r w:rsidRPr="00427D33">
        <w:rPr>
          <w:lang w:val="en-AU"/>
        </w:rPr>
        <w:t xml:space="preserve">) </w:t>
      </w:r>
      <w:r>
        <w:rPr>
          <w:lang w:val="en-AU"/>
        </w:rPr>
        <w:t>that</w:t>
      </w:r>
      <w:r w:rsidR="00B73437">
        <w:rPr>
          <w:lang w:val="en-AU"/>
        </w:rPr>
        <w:t>,</w:t>
      </w:r>
      <w:r>
        <w:rPr>
          <w:lang w:val="en-AU"/>
        </w:rPr>
        <w:t xml:space="preserve"> </w:t>
      </w:r>
      <w:r w:rsidRPr="00427D33">
        <w:rPr>
          <w:lang w:val="en-AU"/>
        </w:rPr>
        <w:t>once it</w:t>
      </w:r>
      <w:r>
        <w:rPr>
          <w:lang w:val="en-AU"/>
        </w:rPr>
        <w:t xml:space="preserve"> is</w:t>
      </w:r>
      <w:r w:rsidRPr="00427D33">
        <w:rPr>
          <w:lang w:val="en-AU"/>
        </w:rPr>
        <w:t xml:space="preserve"> heated</w:t>
      </w:r>
      <w:r w:rsidR="00B73437">
        <w:rPr>
          <w:lang w:val="en-AU"/>
        </w:rPr>
        <w:t>,</w:t>
      </w:r>
      <w:r w:rsidRPr="00427D33">
        <w:rPr>
          <w:lang w:val="en-AU"/>
        </w:rPr>
        <w:t xml:space="preserve"> runs </w:t>
      </w:r>
      <w:r>
        <w:rPr>
          <w:lang w:val="en-AU"/>
        </w:rPr>
        <w:t>on a</w:t>
      </w:r>
      <w:r w:rsidR="004B058C">
        <w:rPr>
          <w:lang w:val="en-AU"/>
        </w:rPr>
        <w:t>n</w:t>
      </w:r>
      <w:r>
        <w:rPr>
          <w:lang w:val="en-AU"/>
        </w:rPr>
        <w:t xml:space="preserve"> </w:t>
      </w:r>
      <w:r w:rsidRPr="00427D33">
        <w:rPr>
          <w:lang w:val="en-AU"/>
        </w:rPr>
        <w:t>exothermic</w:t>
      </w:r>
      <w:r>
        <w:rPr>
          <w:lang w:val="en-AU"/>
        </w:rPr>
        <w:t xml:space="preserve"> basis at quoted</w:t>
      </w:r>
      <w:r w:rsidR="00742774">
        <w:rPr>
          <w:lang w:val="en-AU"/>
        </w:rPr>
        <w:t xml:space="preserve"> </w:t>
      </w:r>
      <w:r>
        <w:rPr>
          <w:lang w:val="en-AU"/>
        </w:rPr>
        <w:t xml:space="preserve">temperatures of </w:t>
      </w:r>
      <w:r w:rsidR="005F12E0">
        <w:rPr>
          <w:lang w:val="en-AU"/>
        </w:rPr>
        <w:t xml:space="preserve">up to </w:t>
      </w:r>
      <w:r>
        <w:rPr>
          <w:lang w:val="en-AU"/>
        </w:rPr>
        <w:t>1,500</w:t>
      </w:r>
      <w:r w:rsidR="004B058C">
        <w:rPr>
          <w:lang w:val="en-AU"/>
        </w:rPr>
        <w:t>º</w:t>
      </w:r>
      <w:r>
        <w:rPr>
          <w:lang w:val="en-AU"/>
        </w:rPr>
        <w:t>C</w:t>
      </w:r>
      <w:r w:rsidRPr="00427D33">
        <w:rPr>
          <w:lang w:val="en-AU"/>
        </w:rPr>
        <w:t xml:space="preserve">. </w:t>
      </w:r>
      <w:r>
        <w:rPr>
          <w:lang w:val="en-AU"/>
        </w:rPr>
        <w:t xml:space="preserve">The reactor is </w:t>
      </w:r>
      <w:r w:rsidRPr="00427D33">
        <w:rPr>
          <w:lang w:val="en-AU"/>
        </w:rPr>
        <w:t xml:space="preserve">filled with </w:t>
      </w:r>
      <w:r>
        <w:rPr>
          <w:lang w:val="en-AU"/>
        </w:rPr>
        <w:t xml:space="preserve">small </w:t>
      </w:r>
      <w:r w:rsidRPr="00427D33">
        <w:rPr>
          <w:lang w:val="en-AU"/>
        </w:rPr>
        <w:t>carbon balls</w:t>
      </w:r>
      <w:r>
        <w:rPr>
          <w:lang w:val="en-AU"/>
        </w:rPr>
        <w:t xml:space="preserve"> and the process forces the </w:t>
      </w:r>
      <w:r w:rsidRPr="00427D33">
        <w:rPr>
          <w:lang w:val="en-AU"/>
        </w:rPr>
        <w:t xml:space="preserve">gas stream through small pores between the </w:t>
      </w:r>
      <w:r>
        <w:rPr>
          <w:lang w:val="en-AU"/>
        </w:rPr>
        <w:t xml:space="preserve">balls to </w:t>
      </w:r>
      <w:r>
        <w:rPr>
          <w:lang w:val="en-AU"/>
        </w:rPr>
        <w:lastRenderedPageBreak/>
        <w:t xml:space="preserve">foster </w:t>
      </w:r>
      <w:r w:rsidRPr="00427D33">
        <w:rPr>
          <w:lang w:val="en-AU"/>
        </w:rPr>
        <w:t>self</w:t>
      </w:r>
      <w:r>
        <w:rPr>
          <w:lang w:val="en-AU"/>
        </w:rPr>
        <w:t xml:space="preserve">-ignition and maximize </w:t>
      </w:r>
      <w:r w:rsidRPr="00427D33">
        <w:rPr>
          <w:lang w:val="en-AU"/>
        </w:rPr>
        <w:t xml:space="preserve">complete combustion. </w:t>
      </w:r>
      <w:r>
        <w:rPr>
          <w:lang w:val="en-AU"/>
        </w:rPr>
        <w:t xml:space="preserve">Exhaust gas quenching involves </w:t>
      </w:r>
      <w:r w:rsidRPr="00427D33">
        <w:rPr>
          <w:lang w:val="en-AU"/>
        </w:rPr>
        <w:t>a high</w:t>
      </w:r>
      <w:r>
        <w:rPr>
          <w:lang w:val="en-AU"/>
        </w:rPr>
        <w:t>-</w:t>
      </w:r>
      <w:r w:rsidRPr="00427D33">
        <w:rPr>
          <w:lang w:val="en-AU"/>
        </w:rPr>
        <w:t xml:space="preserve"> performance carbon liquid to air heat exchanger direct</w:t>
      </w:r>
      <w:r w:rsidR="004B058C">
        <w:rPr>
          <w:lang w:val="en-AU"/>
        </w:rPr>
        <w:t>ly</w:t>
      </w:r>
      <w:r w:rsidRPr="00427D33">
        <w:rPr>
          <w:lang w:val="en-AU"/>
        </w:rPr>
        <w:t xml:space="preserve"> after combustion</w:t>
      </w:r>
      <w:r w:rsidR="004B058C">
        <w:rPr>
          <w:lang w:val="en-AU"/>
        </w:rPr>
        <w:t>,</w:t>
      </w:r>
      <w:r>
        <w:rPr>
          <w:lang w:val="en-AU"/>
        </w:rPr>
        <w:t xml:space="preserve"> which is said to exclude priority pollutant combustion gases.</w:t>
      </w:r>
      <w:r w:rsidRPr="00427D33">
        <w:rPr>
          <w:lang w:val="en-AU"/>
        </w:rPr>
        <w:t xml:space="preserve"> Acid residues </w:t>
      </w:r>
      <w:r>
        <w:rPr>
          <w:lang w:val="en-AU"/>
        </w:rPr>
        <w:t xml:space="preserve">such as </w:t>
      </w:r>
      <w:proofErr w:type="spellStart"/>
      <w:r>
        <w:rPr>
          <w:lang w:val="en-AU"/>
        </w:rPr>
        <w:t>HCl</w:t>
      </w:r>
      <w:proofErr w:type="spellEnd"/>
      <w:r>
        <w:rPr>
          <w:lang w:val="en-AU"/>
        </w:rPr>
        <w:t xml:space="preserve"> </w:t>
      </w:r>
      <w:r w:rsidRPr="00427D33">
        <w:rPr>
          <w:lang w:val="en-AU"/>
        </w:rPr>
        <w:t xml:space="preserve">can either be collected for </w:t>
      </w:r>
      <w:r>
        <w:rPr>
          <w:lang w:val="en-AU"/>
        </w:rPr>
        <w:t xml:space="preserve">commercial </w:t>
      </w:r>
      <w:r w:rsidRPr="00427D33">
        <w:rPr>
          <w:lang w:val="en-AU"/>
        </w:rPr>
        <w:t xml:space="preserve">use or </w:t>
      </w:r>
      <w:r>
        <w:rPr>
          <w:lang w:val="en-AU"/>
        </w:rPr>
        <w:t>neutralization</w:t>
      </w:r>
      <w:r w:rsidRPr="00427D33">
        <w:rPr>
          <w:lang w:val="en-AU"/>
        </w:rPr>
        <w:t xml:space="preserve">. </w:t>
      </w:r>
      <w:r>
        <w:rPr>
          <w:lang w:val="en-AU"/>
        </w:rPr>
        <w:t>For HFC destruction</w:t>
      </w:r>
      <w:r w:rsidR="004B058C">
        <w:rPr>
          <w:lang w:val="en-AU"/>
        </w:rPr>
        <w:t>,</w:t>
      </w:r>
      <w:r>
        <w:rPr>
          <w:lang w:val="en-AU"/>
        </w:rPr>
        <w:t xml:space="preserve"> the process is also claimed to </w:t>
      </w:r>
      <w:r w:rsidRPr="00427D33">
        <w:rPr>
          <w:lang w:val="en-AU"/>
        </w:rPr>
        <w:t>produce industrial grade HF.</w:t>
      </w:r>
    </w:p>
    <w:p w14:paraId="6FA3EE6A" w14:textId="59BB0313" w:rsidR="009E3E2B" w:rsidRDefault="009E3E2B" w:rsidP="009E3E2B">
      <w:pPr>
        <w:rPr>
          <w:lang w:val="en-AU"/>
        </w:rPr>
      </w:pPr>
      <w:r>
        <w:rPr>
          <w:lang w:val="en-AU"/>
        </w:rPr>
        <w:t>While the commercial information from the technology proponent declares its applicability to HFCs, no specific material on the technology was submitted by</w:t>
      </w:r>
      <w:r w:rsidRPr="00427D33">
        <w:rPr>
          <w:lang w:val="en-AU"/>
        </w:rPr>
        <w:t xml:space="preserve"> </w:t>
      </w:r>
      <w:r>
        <w:rPr>
          <w:lang w:val="en-AU"/>
        </w:rPr>
        <w:t xml:space="preserve">Parties </w:t>
      </w:r>
      <w:r w:rsidR="00543851">
        <w:rPr>
          <w:lang w:val="en-AU"/>
        </w:rPr>
        <w:t>and</w:t>
      </w:r>
      <w:r>
        <w:rPr>
          <w:lang w:val="en-AU"/>
        </w:rPr>
        <w:t xml:space="preserve"> has been obtained directly from </w:t>
      </w:r>
      <w:r w:rsidR="00543851">
        <w:rPr>
          <w:lang w:val="en-AU"/>
        </w:rPr>
        <w:t>a</w:t>
      </w:r>
      <w:r>
        <w:rPr>
          <w:lang w:val="en-AU"/>
        </w:rPr>
        <w:t xml:space="preserve"> technology </w:t>
      </w:r>
      <w:r w:rsidR="00543851">
        <w:rPr>
          <w:lang w:val="en-AU"/>
        </w:rPr>
        <w:t>owner</w:t>
      </w:r>
      <w:r>
        <w:rPr>
          <w:lang w:val="en-AU"/>
        </w:rPr>
        <w:t>.</w:t>
      </w:r>
    </w:p>
    <w:p w14:paraId="7671D534" w14:textId="663D6814" w:rsidR="0054050F" w:rsidRPr="0054050F" w:rsidRDefault="00D73321" w:rsidP="009E3E2B">
      <w:r w:rsidRPr="0078658C">
        <w:rPr>
          <w:b/>
          <w:u w:val="single"/>
        </w:rPr>
        <w:t>Porous Thermal Reactor</w:t>
      </w:r>
      <w:r w:rsidR="0054050F" w:rsidRPr="0078658C">
        <w:rPr>
          <w:b/>
          <w:u w:val="single"/>
        </w:rPr>
        <w:t xml:space="preserve"> is recommended </w:t>
      </w:r>
      <w:r w:rsidR="00F14605" w:rsidRPr="0078658C">
        <w:rPr>
          <w:b/>
          <w:u w:val="single"/>
        </w:rPr>
        <w:t xml:space="preserve">for </w:t>
      </w:r>
      <w:r w:rsidR="00F14605" w:rsidRPr="0078658C">
        <w:rPr>
          <w:b/>
          <w:i/>
          <w:u w:val="single"/>
        </w:rPr>
        <w:t>approval</w:t>
      </w:r>
      <w:r w:rsidR="00F14605" w:rsidRPr="0078658C">
        <w:rPr>
          <w:b/>
          <w:u w:val="single"/>
        </w:rPr>
        <w:t xml:space="preserve"> </w:t>
      </w:r>
      <w:r w:rsidR="0054050F" w:rsidRPr="0078658C">
        <w:rPr>
          <w:b/>
          <w:u w:val="single"/>
        </w:rPr>
        <w:t xml:space="preserve">for </w:t>
      </w:r>
      <w:r w:rsidR="008F1045">
        <w:rPr>
          <w:b/>
          <w:u w:val="single"/>
        </w:rPr>
        <w:t xml:space="preserve">applicability to </w:t>
      </w:r>
      <w:r w:rsidR="0054050F" w:rsidRPr="0078658C">
        <w:rPr>
          <w:b/>
          <w:u w:val="single"/>
        </w:rPr>
        <w:t>HFC</w:t>
      </w:r>
      <w:r w:rsidR="008F1045">
        <w:rPr>
          <w:b/>
          <w:u w:val="single"/>
        </w:rPr>
        <w:t>s</w:t>
      </w:r>
      <w:r w:rsidR="0054050F" w:rsidRPr="0078658C">
        <w:rPr>
          <w:b/>
          <w:u w:val="single"/>
        </w:rPr>
        <w:t xml:space="preserve"> destruction</w:t>
      </w:r>
      <w:r w:rsidRPr="0078658C">
        <w:rPr>
          <w:b/>
          <w:u w:val="single"/>
        </w:rPr>
        <w:t>, except for HFC-23</w:t>
      </w:r>
      <w:r w:rsidR="0078658C" w:rsidRPr="0078658C">
        <w:rPr>
          <w:b/>
          <w:u w:val="single"/>
        </w:rPr>
        <w:t xml:space="preserve">, </w:t>
      </w:r>
      <w:r w:rsidRPr="0078658C">
        <w:rPr>
          <w:b/>
          <w:u w:val="single"/>
        </w:rPr>
        <w:t>for</w:t>
      </w:r>
      <w:r w:rsidRPr="00851F74">
        <w:rPr>
          <w:b/>
          <w:u w:val="single"/>
        </w:rPr>
        <w:t xml:space="preserve"> which no data was available for assessment</w:t>
      </w:r>
      <w:r w:rsidR="00256C26">
        <w:rPr>
          <w:b/>
          <w:u w:val="single"/>
        </w:rPr>
        <w:t>. Porous Thermal Reactor</w:t>
      </w:r>
      <w:r w:rsidRPr="00851F74">
        <w:rPr>
          <w:b/>
          <w:u w:val="single"/>
        </w:rPr>
        <w:t xml:space="preserve"> </w:t>
      </w:r>
      <w:r>
        <w:rPr>
          <w:b/>
          <w:u w:val="single"/>
        </w:rPr>
        <w:t xml:space="preserve">is recommended as </w:t>
      </w:r>
      <w:r w:rsidRPr="00851F74">
        <w:rPr>
          <w:b/>
          <w:i/>
          <w:u w:val="single"/>
        </w:rPr>
        <w:t>high potential</w:t>
      </w:r>
      <w:r>
        <w:rPr>
          <w:b/>
          <w:u w:val="single"/>
        </w:rPr>
        <w:t xml:space="preserve"> for applicability to HFC-23 destruction</w:t>
      </w:r>
      <w:r>
        <w:t>.</w:t>
      </w:r>
      <w:r w:rsidR="009B7C7B" w:rsidRPr="009B7C7B">
        <w:rPr>
          <w:lang w:val="en-AU"/>
        </w:rPr>
        <w:t xml:space="preserve"> </w:t>
      </w:r>
    </w:p>
    <w:p w14:paraId="7EFE3E55" w14:textId="77777777" w:rsidR="009E3E2B" w:rsidRPr="006C0C5C" w:rsidRDefault="009E3E2B" w:rsidP="00275CBE">
      <w:pPr>
        <w:pStyle w:val="Heading4"/>
      </w:pPr>
      <w:r w:rsidRPr="006C0C5C">
        <w:t>3.2</w:t>
      </w:r>
      <w:r>
        <w:t>.5</w:t>
      </w:r>
      <w:r w:rsidRPr="006C0C5C">
        <w:t>.1</w:t>
      </w:r>
      <w:r w:rsidRPr="006C0C5C">
        <w:tab/>
        <w:t>Experience with HFC destruction</w:t>
      </w:r>
    </w:p>
    <w:p w14:paraId="7AAA3D62" w14:textId="7D4C4C99" w:rsidR="009E3E2B" w:rsidRDefault="009E3E2B" w:rsidP="009E3E2B">
      <w:pPr>
        <w:rPr>
          <w:lang w:val="en-AU"/>
        </w:rPr>
      </w:pPr>
      <w:r>
        <w:rPr>
          <w:lang w:val="en-AU"/>
        </w:rPr>
        <w:t xml:space="preserve">Information supplied by </w:t>
      </w:r>
      <w:r w:rsidR="00543851">
        <w:rPr>
          <w:lang w:val="en-AU"/>
        </w:rPr>
        <w:t>a</w:t>
      </w:r>
      <w:r>
        <w:rPr>
          <w:lang w:val="en-AU"/>
        </w:rPr>
        <w:t xml:space="preserve"> technology owner elaborates on its application in the test and pilot plants</w:t>
      </w:r>
      <w:r w:rsidR="00543851">
        <w:rPr>
          <w:lang w:val="en-AU"/>
        </w:rPr>
        <w:t xml:space="preserve"> for the</w:t>
      </w:r>
      <w:r>
        <w:rPr>
          <w:lang w:val="en-AU"/>
        </w:rPr>
        <w:t xml:space="preserve"> destruction of </w:t>
      </w:r>
      <w:bookmarkStart w:id="63" w:name="_Hlk506977975"/>
      <w:r>
        <w:rPr>
          <w:lang w:val="en-AU"/>
        </w:rPr>
        <w:t>a variety of</w:t>
      </w:r>
      <w:r w:rsidR="00543851">
        <w:rPr>
          <w:lang w:val="en-AU"/>
        </w:rPr>
        <w:t xml:space="preserve"> chemicals including H</w:t>
      </w:r>
      <w:r>
        <w:rPr>
          <w:lang w:val="en-AU"/>
        </w:rPr>
        <w:t xml:space="preserve">FC-134a. </w:t>
      </w:r>
      <w:bookmarkEnd w:id="63"/>
    </w:p>
    <w:p w14:paraId="7001D834" w14:textId="77777777" w:rsidR="009E3E2B" w:rsidRPr="006C0C5C" w:rsidRDefault="009E3E2B" w:rsidP="00275CBE">
      <w:pPr>
        <w:pStyle w:val="Heading4"/>
      </w:pPr>
      <w:r w:rsidRPr="006C0C5C">
        <w:t>3.2.</w:t>
      </w:r>
      <w:r>
        <w:t>5</w:t>
      </w:r>
      <w:r w:rsidRPr="006C0C5C">
        <w:t>.2</w:t>
      </w:r>
      <w:r w:rsidRPr="006C0C5C">
        <w:tab/>
        <w:t>Assessment of applicability to HFCs using performance criteria</w:t>
      </w:r>
    </w:p>
    <w:p w14:paraId="3820E9E8" w14:textId="56466BDD" w:rsidR="009E3E2B" w:rsidRPr="0054050F" w:rsidRDefault="009E3E2B" w:rsidP="009E3E2B">
      <w:pPr>
        <w:rPr>
          <w:lang w:val="en-AU"/>
        </w:rPr>
      </w:pPr>
      <w:r w:rsidRPr="00093D7F">
        <w:rPr>
          <w:lang w:val="en-AU"/>
        </w:rPr>
        <w:t xml:space="preserve">HFC performance data </w:t>
      </w:r>
      <w:r>
        <w:rPr>
          <w:lang w:val="en-AU"/>
        </w:rPr>
        <w:t>is applicable to HFC-134a</w:t>
      </w:r>
      <w:r w:rsidR="00543851">
        <w:rPr>
          <w:lang w:val="en-AU"/>
        </w:rPr>
        <w:t>,</w:t>
      </w:r>
      <w:r>
        <w:rPr>
          <w:lang w:val="en-AU"/>
        </w:rPr>
        <w:t xml:space="preserve"> as supplied by the </w:t>
      </w:r>
      <w:r w:rsidR="00543851">
        <w:rPr>
          <w:lang w:val="en-AU"/>
        </w:rPr>
        <w:t>technology owner</w:t>
      </w:r>
      <w:r>
        <w:rPr>
          <w:lang w:val="en-AU"/>
        </w:rPr>
        <w:t xml:space="preserve"> for the test and pilot plants it operates with the capacities noted above. The data applies to operating temperatures of &gt;1,200</w:t>
      </w:r>
      <w:r w:rsidR="00543851">
        <w:rPr>
          <w:lang w:val="en-AU"/>
        </w:rPr>
        <w:t>ºC and a residence time of 0.</w:t>
      </w:r>
      <w:r>
        <w:rPr>
          <w:lang w:val="en-AU"/>
        </w:rPr>
        <w:t>2 seconds and is state</w:t>
      </w:r>
      <w:r w:rsidR="00543851">
        <w:rPr>
          <w:lang w:val="en-AU"/>
        </w:rPr>
        <w:t>d</w:t>
      </w:r>
      <w:r>
        <w:rPr>
          <w:lang w:val="en-AU"/>
        </w:rPr>
        <w:t xml:space="preserve"> as achieving 99.99</w:t>
      </w:r>
      <w:r w:rsidR="00543851">
        <w:rPr>
          <w:lang w:val="en-AU"/>
        </w:rPr>
        <w:t>%</w:t>
      </w:r>
      <w:r>
        <w:rPr>
          <w:lang w:val="en-AU"/>
        </w:rPr>
        <w:t xml:space="preserve"> DRE. </w:t>
      </w:r>
      <w:r w:rsidR="0054050F">
        <w:rPr>
          <w:lang w:val="en-AU"/>
        </w:rPr>
        <w:t>Emissions of other pollutants also met the performance criteria.</w:t>
      </w:r>
    </w:p>
    <w:p w14:paraId="61BA2E10" w14:textId="77777777" w:rsidR="009E3E2B" w:rsidRPr="006C0C5C" w:rsidRDefault="009E3E2B" w:rsidP="00275CBE">
      <w:pPr>
        <w:pStyle w:val="Heading4"/>
      </w:pPr>
      <w:r w:rsidRPr="006C0C5C">
        <w:t>3.2.</w:t>
      </w:r>
      <w:r>
        <w:t>5</w:t>
      </w:r>
      <w:r w:rsidRPr="006C0C5C">
        <w:t>.3</w:t>
      </w:r>
      <w:r w:rsidRPr="006C0C5C">
        <w:tab/>
        <w:t>Technical capability for destruction of HFCs</w:t>
      </w:r>
    </w:p>
    <w:p w14:paraId="3E861246" w14:textId="003C458D" w:rsidR="009E3E2B" w:rsidRDefault="009E3E2B" w:rsidP="009E3E2B">
      <w:r>
        <w:t xml:space="preserve">Current facilities operate range from 10 -100 kg/hr </w:t>
      </w:r>
      <w:r w:rsidR="00455D31">
        <w:t xml:space="preserve">which appears to be </w:t>
      </w:r>
      <w:r>
        <w:t xml:space="preserve">applicable to HFCs. </w:t>
      </w:r>
      <w:r w:rsidR="00AE43FB">
        <w:t>N</w:t>
      </w:r>
      <w:r>
        <w:t>o information</w:t>
      </w:r>
      <w:r w:rsidR="00AE43FB">
        <w:t xml:space="preserve"> was provided regarding</w:t>
      </w:r>
      <w:r>
        <w:t xml:space="preserve"> specific commercial installations capacities</w:t>
      </w:r>
      <w:r w:rsidR="00573A84">
        <w:t xml:space="preserve"> for HFCs destruction</w:t>
      </w:r>
      <w:r>
        <w:t>.</w:t>
      </w:r>
    </w:p>
    <w:p w14:paraId="3877E7F0" w14:textId="77777777" w:rsidR="009E3E2B" w:rsidRPr="006C0C5C" w:rsidRDefault="009E3E2B" w:rsidP="00275CBE">
      <w:pPr>
        <w:pStyle w:val="Heading4"/>
      </w:pPr>
      <w:r w:rsidRPr="006C0C5C">
        <w:t>3.2.</w:t>
      </w:r>
      <w:r>
        <w:t>5</w:t>
      </w:r>
      <w:r w:rsidRPr="006C0C5C">
        <w:t>.4</w:t>
      </w:r>
      <w:r w:rsidRPr="006C0C5C">
        <w:tab/>
        <w:t>Other considerations</w:t>
      </w:r>
    </w:p>
    <w:p w14:paraId="6B09BA3A" w14:textId="0C71D574" w:rsidR="009E3E2B" w:rsidRDefault="009E3E2B" w:rsidP="009E3E2B">
      <w:pPr>
        <w:rPr>
          <w:rFonts w:eastAsia="Times New Roman"/>
        </w:rPr>
      </w:pPr>
      <w:r>
        <w:rPr>
          <w:rFonts w:eastAsia="Times New Roman"/>
        </w:rPr>
        <w:t xml:space="preserve">This technology appears to offer a number of advantages including </w:t>
      </w:r>
      <w:r w:rsidRPr="00427D33">
        <w:rPr>
          <w:rFonts w:eastAsia="Times New Roman"/>
        </w:rPr>
        <w:t xml:space="preserve">comparatively </w:t>
      </w:r>
      <w:r>
        <w:rPr>
          <w:rFonts w:eastAsia="Times New Roman"/>
        </w:rPr>
        <w:t xml:space="preserve">high energy efficiency, </w:t>
      </w:r>
      <w:r w:rsidRPr="00427D33">
        <w:rPr>
          <w:rFonts w:eastAsia="Times New Roman"/>
        </w:rPr>
        <w:t xml:space="preserve">low energy </w:t>
      </w:r>
      <w:r>
        <w:rPr>
          <w:rFonts w:eastAsia="Times New Roman"/>
        </w:rPr>
        <w:t xml:space="preserve">requirements, rapid start up allowing flexible batch operation, being specifically designed using corrosion resistant materials (graphite), compact design, scalable for a variety of demand requirements, and offering recovery of industrial grade </w:t>
      </w:r>
      <w:proofErr w:type="spellStart"/>
      <w:r>
        <w:rPr>
          <w:rFonts w:eastAsia="Times New Roman"/>
        </w:rPr>
        <w:t>HC</w:t>
      </w:r>
      <w:r w:rsidR="00573A84">
        <w:rPr>
          <w:rFonts w:eastAsia="Times New Roman"/>
        </w:rPr>
        <w:t>l</w:t>
      </w:r>
      <w:proofErr w:type="spellEnd"/>
      <w:r>
        <w:rPr>
          <w:rFonts w:eastAsia="Times New Roman"/>
        </w:rPr>
        <w:t xml:space="preserve"> and possibly HF. </w:t>
      </w:r>
    </w:p>
    <w:p w14:paraId="6F3A2D51" w14:textId="77777777" w:rsidR="009E3E2B" w:rsidRPr="006C0C5C" w:rsidRDefault="009E3E2B" w:rsidP="00275CBE">
      <w:pPr>
        <w:pStyle w:val="Heading3"/>
      </w:pPr>
      <w:bookmarkStart w:id="64" w:name="_Toc505079427"/>
      <w:bookmarkStart w:id="65" w:name="_Toc508228171"/>
      <w:bookmarkStart w:id="66" w:name="_Ref510530516"/>
      <w:bookmarkStart w:id="67" w:name="_Toc510531467"/>
      <w:r w:rsidRPr="004C5C20">
        <w:t>3.2.6</w:t>
      </w:r>
      <w:r w:rsidRPr="004C5C20">
        <w:tab/>
        <w:t>Reactor Cracking</w:t>
      </w:r>
      <w:bookmarkEnd w:id="64"/>
      <w:bookmarkEnd w:id="65"/>
      <w:bookmarkEnd w:id="66"/>
      <w:bookmarkEnd w:id="67"/>
    </w:p>
    <w:p w14:paraId="25E96C25" w14:textId="58C1FABC" w:rsidR="009E3E2B" w:rsidRDefault="00573A84" w:rsidP="00573A84">
      <w:pPr>
        <w:rPr>
          <w:lang w:val="en-AU"/>
        </w:rPr>
      </w:pPr>
      <w:r>
        <w:rPr>
          <w:lang w:val="en-AU"/>
        </w:rPr>
        <w:t>The process utilis</w:t>
      </w:r>
      <w:r w:rsidR="009E3E2B">
        <w:rPr>
          <w:lang w:val="en-AU"/>
        </w:rPr>
        <w:t xml:space="preserve">es </w:t>
      </w:r>
      <w:r w:rsidR="009E3E2B">
        <w:t>a cylindrical, water-cooled reactor made of graphite, and an oxygen–hydrogen burner system that achieves reactor temperatures of up to 2,000</w:t>
      </w:r>
      <w:r>
        <w:t>º</w:t>
      </w:r>
      <w:r w:rsidR="009E3E2B">
        <w:t xml:space="preserve">C. As such, it </w:t>
      </w:r>
      <w:r w:rsidR="009E3E2B" w:rsidRPr="002C6473">
        <w:t>avoids the generation of a large flue gas volume with consequent large emissions</w:t>
      </w:r>
      <w:r w:rsidR="009E3E2B">
        <w:t xml:space="preserve"> o</w:t>
      </w:r>
      <w:r w:rsidR="009E3E2B" w:rsidRPr="002C6473">
        <w:t>f pollutants</w:t>
      </w:r>
      <w:r>
        <w:t>,</w:t>
      </w:r>
      <w:r w:rsidR="009E3E2B" w:rsidRPr="002C6473">
        <w:t xml:space="preserve"> as well as enabling the recovery of acid gases. The 2002 </w:t>
      </w:r>
      <w:r>
        <w:t>TFDT R</w:t>
      </w:r>
      <w:r w:rsidR="009E3E2B" w:rsidRPr="002C6473">
        <w:t>eport provides a more complete process description.</w:t>
      </w:r>
      <w:r w:rsidR="009E3E2B">
        <w:rPr>
          <w:lang w:val="en-AU"/>
        </w:rPr>
        <w:t xml:space="preserve"> </w:t>
      </w:r>
    </w:p>
    <w:p w14:paraId="06E69AB1" w14:textId="28788A37" w:rsidR="009E3E2B" w:rsidRDefault="009E3E2B" w:rsidP="00573A84">
      <w:pPr>
        <w:rPr>
          <w:lang w:val="en-AU"/>
        </w:rPr>
      </w:pPr>
      <w:r>
        <w:rPr>
          <w:lang w:val="en-AU"/>
        </w:rPr>
        <w:t>In the 2002 T</w:t>
      </w:r>
      <w:r w:rsidR="00C94B4A">
        <w:rPr>
          <w:lang w:val="en-AU"/>
        </w:rPr>
        <w:t>FDT</w:t>
      </w:r>
      <w:r>
        <w:rPr>
          <w:lang w:val="en-AU"/>
        </w:rPr>
        <w:t xml:space="preserve"> report, its application to HFC was reported </w:t>
      </w:r>
      <w:r w:rsidR="00573A84">
        <w:rPr>
          <w:lang w:val="en-AU"/>
        </w:rPr>
        <w:t>although</w:t>
      </w:r>
      <w:r>
        <w:rPr>
          <w:lang w:val="en-AU"/>
        </w:rPr>
        <w:t xml:space="preserve"> performance data provided was limi</w:t>
      </w:r>
      <w:r w:rsidR="00573A84">
        <w:rPr>
          <w:lang w:val="en-AU"/>
        </w:rPr>
        <w:t xml:space="preserve">ted to the destruction of ODS. </w:t>
      </w:r>
      <w:r w:rsidR="00F14605">
        <w:rPr>
          <w:lang w:val="en-AU"/>
        </w:rPr>
        <w:t>Although n</w:t>
      </w:r>
      <w:r w:rsidR="00F14605" w:rsidRPr="00F14605">
        <w:rPr>
          <w:lang w:val="en-AU"/>
        </w:rPr>
        <w:t xml:space="preserve">o data was reported for particulates this </w:t>
      </w:r>
      <w:r w:rsidR="00F14605">
        <w:rPr>
          <w:lang w:val="en-AU"/>
        </w:rPr>
        <w:t>was</w:t>
      </w:r>
      <w:r w:rsidR="00F14605" w:rsidRPr="00F14605">
        <w:rPr>
          <w:lang w:val="en-AU"/>
        </w:rPr>
        <w:t xml:space="preserve"> estimated to be about 10 mg/Nm3 uncorrected for O</w:t>
      </w:r>
      <w:r w:rsidR="00F14605" w:rsidRPr="00377CC6">
        <w:rPr>
          <w:vertAlign w:val="subscript"/>
          <w:lang w:val="en-AU"/>
        </w:rPr>
        <w:t>2</w:t>
      </w:r>
      <w:r w:rsidR="00F14605" w:rsidRPr="00F14605">
        <w:rPr>
          <w:lang w:val="en-AU"/>
        </w:rPr>
        <w:t>, consistent with other low volume processes</w:t>
      </w:r>
      <w:r w:rsidR="00F14605">
        <w:rPr>
          <w:lang w:val="en-AU"/>
        </w:rPr>
        <w:t>.</w:t>
      </w:r>
      <w:r w:rsidR="00F14605">
        <w:rPr>
          <w:rStyle w:val="FootnoteReference"/>
          <w:lang w:val="en-AU"/>
        </w:rPr>
        <w:footnoteReference w:id="49"/>
      </w:r>
      <w:r w:rsidR="00F14605">
        <w:rPr>
          <w:lang w:val="en-AU"/>
        </w:rPr>
        <w:t xml:space="preserve"> </w:t>
      </w:r>
      <w:r>
        <w:rPr>
          <w:lang w:val="en-AU"/>
        </w:rPr>
        <w:t>More recently</w:t>
      </w:r>
      <w:r w:rsidR="00573A84">
        <w:rPr>
          <w:lang w:val="en-AU"/>
        </w:rPr>
        <w:t>,</w:t>
      </w:r>
      <w:r>
        <w:rPr>
          <w:lang w:val="en-AU"/>
        </w:rPr>
        <w:t xml:space="preserve"> the technology has been reported to have been </w:t>
      </w:r>
      <w:r>
        <w:rPr>
          <w:lang w:val="en-AU"/>
        </w:rPr>
        <w:lastRenderedPageBreak/>
        <w:t xml:space="preserve">applied to </w:t>
      </w:r>
      <w:r w:rsidR="005F12E0">
        <w:rPr>
          <w:lang w:val="en-AU"/>
        </w:rPr>
        <w:t>a</w:t>
      </w:r>
      <w:r w:rsidR="006D0FEA">
        <w:rPr>
          <w:lang w:val="en-AU"/>
        </w:rPr>
        <w:t xml:space="preserve"> </w:t>
      </w:r>
      <w:r>
        <w:rPr>
          <w:lang w:val="en-AU"/>
        </w:rPr>
        <w:t>CDM project for HFC-23 destruction</w:t>
      </w:r>
      <w:r w:rsidR="00573A84">
        <w:rPr>
          <w:lang w:val="en-AU"/>
        </w:rPr>
        <w:t>,</w:t>
      </w:r>
      <w:r>
        <w:rPr>
          <w:lang w:val="en-AU"/>
        </w:rPr>
        <w:t xml:space="preserve"> which provide direct data supporting application to HFCs </w:t>
      </w:r>
      <w:r w:rsidR="00573A84">
        <w:rPr>
          <w:lang w:val="en-AU"/>
        </w:rPr>
        <w:t>(</w:t>
      </w:r>
      <w:r>
        <w:rPr>
          <w:lang w:val="en-AU"/>
        </w:rPr>
        <w:t>as described below</w:t>
      </w:r>
      <w:r w:rsidR="00573A84">
        <w:rPr>
          <w:lang w:val="en-AU"/>
        </w:rPr>
        <w:t>)</w:t>
      </w:r>
      <w:r>
        <w:rPr>
          <w:lang w:val="en-AU"/>
        </w:rPr>
        <w:t xml:space="preserve">. </w:t>
      </w:r>
    </w:p>
    <w:p w14:paraId="57C92435" w14:textId="1D8A05F7" w:rsidR="009E3E2B" w:rsidRDefault="00DB29EA" w:rsidP="00573A84">
      <w:bookmarkStart w:id="68" w:name="_Hlk507331784"/>
      <w:r w:rsidRPr="00126E23">
        <w:rPr>
          <w:lang w:val="en-AU"/>
        </w:rPr>
        <w:t>At the time of writing, no specific emission data for particulates were available for assessment against the performance criteria</w:t>
      </w:r>
      <w:r>
        <w:rPr>
          <w:rStyle w:val="FootnoteReference"/>
          <w:lang w:val="en-AU"/>
        </w:rPr>
        <w:footnoteReference w:id="50"/>
      </w:r>
      <w:r>
        <w:rPr>
          <w:lang w:val="en-AU"/>
        </w:rPr>
        <w:t>.</w:t>
      </w:r>
      <w:r w:rsidR="00573A84" w:rsidRPr="0078658C">
        <w:rPr>
          <w:b/>
          <w:u w:val="single"/>
        </w:rPr>
        <w:t>Reactor Cracking</w:t>
      </w:r>
      <w:r w:rsidR="009E3E2B" w:rsidRPr="0078658C">
        <w:rPr>
          <w:b/>
          <w:u w:val="single"/>
        </w:rPr>
        <w:t xml:space="preserve"> is recommended</w:t>
      </w:r>
      <w:r w:rsidR="009E3E2B" w:rsidRPr="00126E23">
        <w:rPr>
          <w:b/>
          <w:u w:val="single"/>
        </w:rPr>
        <w:t xml:space="preserve"> </w:t>
      </w:r>
      <w:r w:rsidR="00DF0632">
        <w:rPr>
          <w:b/>
          <w:u w:val="single"/>
        </w:rPr>
        <w:t xml:space="preserve">as </w:t>
      </w:r>
      <w:r w:rsidR="00DF0632" w:rsidRPr="00F93039">
        <w:rPr>
          <w:b/>
          <w:i/>
          <w:u w:val="single"/>
        </w:rPr>
        <w:t>high potential</w:t>
      </w:r>
      <w:r w:rsidR="00F14605">
        <w:rPr>
          <w:b/>
          <w:u w:val="single"/>
        </w:rPr>
        <w:t xml:space="preserve"> </w:t>
      </w:r>
      <w:r w:rsidR="009E3E2B" w:rsidRPr="00126E23">
        <w:rPr>
          <w:b/>
          <w:u w:val="single"/>
        </w:rPr>
        <w:t xml:space="preserve">for </w:t>
      </w:r>
      <w:r w:rsidR="00573A84" w:rsidRPr="00126E23">
        <w:rPr>
          <w:b/>
          <w:u w:val="single"/>
        </w:rPr>
        <w:t xml:space="preserve">applicability </w:t>
      </w:r>
      <w:r w:rsidR="008F1045">
        <w:rPr>
          <w:b/>
          <w:u w:val="single"/>
        </w:rPr>
        <w:t>to</w:t>
      </w:r>
      <w:r w:rsidR="008F1045" w:rsidRPr="00126E23">
        <w:rPr>
          <w:b/>
          <w:u w:val="single"/>
        </w:rPr>
        <w:t xml:space="preserve"> </w:t>
      </w:r>
      <w:r w:rsidR="009E3E2B" w:rsidRPr="00126E23">
        <w:rPr>
          <w:b/>
          <w:u w:val="single"/>
        </w:rPr>
        <w:t>HFC</w:t>
      </w:r>
      <w:r w:rsidR="00573A84" w:rsidRPr="00126E23">
        <w:rPr>
          <w:b/>
          <w:u w:val="single"/>
        </w:rPr>
        <w:t>s</w:t>
      </w:r>
      <w:r w:rsidR="009E3E2B" w:rsidRPr="00126E23">
        <w:rPr>
          <w:b/>
          <w:u w:val="single"/>
        </w:rPr>
        <w:t xml:space="preserve"> destruction</w:t>
      </w:r>
      <w:r w:rsidR="00B26A48">
        <w:rPr>
          <w:b/>
          <w:u w:val="single"/>
        </w:rPr>
        <w:t>,</w:t>
      </w:r>
      <w:r w:rsidR="00573A84" w:rsidRPr="00126E23">
        <w:rPr>
          <w:b/>
          <w:u w:val="single"/>
        </w:rPr>
        <w:t xml:space="preserve"> </w:t>
      </w:r>
      <w:r w:rsidR="00B26A48">
        <w:rPr>
          <w:b/>
          <w:u w:val="single"/>
        </w:rPr>
        <w:t>including HFC-23</w:t>
      </w:r>
      <w:r w:rsidR="009E3E2B" w:rsidRPr="00126E23">
        <w:t>.</w:t>
      </w:r>
      <w:bookmarkEnd w:id="68"/>
      <w:r w:rsidR="00573A84" w:rsidRPr="00126E23">
        <w:t xml:space="preserve"> </w:t>
      </w:r>
    </w:p>
    <w:p w14:paraId="5A7EF007" w14:textId="77777777" w:rsidR="009E3E2B" w:rsidRPr="006C0C5C" w:rsidRDefault="009E3E2B" w:rsidP="00275CBE">
      <w:pPr>
        <w:pStyle w:val="Heading4"/>
      </w:pPr>
      <w:bookmarkStart w:id="69" w:name="_Hlk506983137"/>
      <w:r w:rsidRPr="006C0C5C">
        <w:t>3.2</w:t>
      </w:r>
      <w:r>
        <w:t>.6.1</w:t>
      </w:r>
      <w:r>
        <w:tab/>
      </w:r>
      <w:r w:rsidRPr="006C0C5C">
        <w:t>Experience with HFC destruction</w:t>
      </w:r>
    </w:p>
    <w:p w14:paraId="52CB102A" w14:textId="2CD5E934" w:rsidR="009E3E2B" w:rsidRDefault="009E3E2B" w:rsidP="009E3E2B">
      <w:pPr>
        <w:rPr>
          <w:lang w:val="en-AU"/>
        </w:rPr>
      </w:pPr>
      <w:r>
        <w:rPr>
          <w:lang w:val="en-AU"/>
        </w:rPr>
        <w:t xml:space="preserve">The 2002 </w:t>
      </w:r>
      <w:r w:rsidR="001A3FA1">
        <w:rPr>
          <w:lang w:val="en-AU"/>
        </w:rPr>
        <w:t>TFDT R</w:t>
      </w:r>
      <w:r>
        <w:rPr>
          <w:lang w:val="en-AU"/>
        </w:rPr>
        <w:t>eport make general reference to applic</w:t>
      </w:r>
      <w:r w:rsidR="001A3FA1">
        <w:rPr>
          <w:lang w:val="en-AU"/>
        </w:rPr>
        <w:t>ation of the technology to HFCs,</w:t>
      </w:r>
      <w:r>
        <w:rPr>
          <w:lang w:val="en-AU"/>
        </w:rPr>
        <w:t xml:space="preserve"> and it has been identified as being a thermal oxidization technology applied to CDM projects</w:t>
      </w:r>
      <w:r w:rsidR="001A3FA1">
        <w:rPr>
          <w:lang w:val="en-AU"/>
        </w:rPr>
        <w:t>,</w:t>
      </w:r>
      <w:r>
        <w:rPr>
          <w:lang w:val="en-AU"/>
        </w:rPr>
        <w:t xml:space="preserve"> including </w:t>
      </w:r>
      <w:r w:rsidRPr="002C3621">
        <w:rPr>
          <w:lang w:val="en-AU"/>
        </w:rPr>
        <w:t>SRF Limited in Rajasthan, India</w:t>
      </w:r>
      <w:r>
        <w:rPr>
          <w:lang w:val="en-AU"/>
        </w:rPr>
        <w:t xml:space="preserve"> for the destruction of HFC-23, </w:t>
      </w:r>
      <w:r w:rsidR="001A3FA1">
        <w:rPr>
          <w:lang w:val="en-AU"/>
        </w:rPr>
        <w:t>and</w:t>
      </w:r>
      <w:r>
        <w:rPr>
          <w:lang w:val="en-AU"/>
        </w:rPr>
        <w:t xml:space="preserve"> at the Solvay plant referenced in the 2002 </w:t>
      </w:r>
      <w:r w:rsidR="001A3FA1">
        <w:rPr>
          <w:lang w:val="en-AU"/>
        </w:rPr>
        <w:t>TFDT R</w:t>
      </w:r>
      <w:r>
        <w:rPr>
          <w:lang w:val="en-AU"/>
        </w:rPr>
        <w:t>eport.</w:t>
      </w:r>
      <w:r w:rsidR="00514300">
        <w:rPr>
          <w:lang w:val="en-AU"/>
        </w:rPr>
        <w:t xml:space="preserve"> </w:t>
      </w:r>
    </w:p>
    <w:p w14:paraId="5337EA02" w14:textId="77777777" w:rsidR="009E3E2B" w:rsidRPr="006C0C5C" w:rsidRDefault="009E3E2B" w:rsidP="00275CBE">
      <w:pPr>
        <w:pStyle w:val="Heading4"/>
      </w:pPr>
      <w:r w:rsidRPr="006C0C5C">
        <w:t>3.2.</w:t>
      </w:r>
      <w:r>
        <w:t>6</w:t>
      </w:r>
      <w:r w:rsidRPr="006C0C5C">
        <w:t>.2</w:t>
      </w:r>
      <w:r w:rsidRPr="006C0C5C">
        <w:tab/>
        <w:t>Assessment of applicability to HFCs using performance criteria</w:t>
      </w:r>
    </w:p>
    <w:p w14:paraId="231924E5" w14:textId="43447998" w:rsidR="009E3E2B" w:rsidRDefault="001A3FA1" w:rsidP="009E3E2B">
      <w:pPr>
        <w:rPr>
          <w:lang w:val="en-AU"/>
        </w:rPr>
      </w:pPr>
      <w:bookmarkStart w:id="70" w:name="_Hlk507159304"/>
      <w:r>
        <w:rPr>
          <w:lang w:val="en-AU"/>
        </w:rPr>
        <w:t>E</w:t>
      </w:r>
      <w:r w:rsidR="009E3E2B">
        <w:rPr>
          <w:lang w:val="en-AU"/>
        </w:rPr>
        <w:t xml:space="preserve">mission performance data </w:t>
      </w:r>
      <w:r>
        <w:rPr>
          <w:lang w:val="en-AU"/>
        </w:rPr>
        <w:t>was</w:t>
      </w:r>
      <w:r w:rsidR="009E3E2B">
        <w:rPr>
          <w:lang w:val="en-AU"/>
        </w:rPr>
        <w:t xml:space="preserve"> obtained from the following sources: a) SRF’s 13</w:t>
      </w:r>
      <w:r w:rsidR="009E3E2B" w:rsidRPr="00D56C54">
        <w:rPr>
          <w:vertAlign w:val="superscript"/>
          <w:lang w:val="en-AU"/>
        </w:rPr>
        <w:t>th</w:t>
      </w:r>
      <w:r w:rsidR="009E3E2B">
        <w:rPr>
          <w:lang w:val="en-AU"/>
        </w:rPr>
        <w:t xml:space="preserve"> CDM Monitoring Report</w:t>
      </w:r>
      <w:r w:rsidR="00296E8F">
        <w:rPr>
          <w:rStyle w:val="FootnoteReference"/>
          <w:lang w:val="en-AU"/>
        </w:rPr>
        <w:footnoteReference w:id="51"/>
      </w:r>
      <w:r w:rsidR="009E3E2B">
        <w:rPr>
          <w:lang w:val="en-AU"/>
        </w:rPr>
        <w:t xml:space="preserve"> for the period January to March 2008</w:t>
      </w:r>
      <w:r w:rsidR="00AE6448">
        <w:rPr>
          <w:lang w:val="en-AU"/>
        </w:rPr>
        <w:t>,</w:t>
      </w:r>
      <w:r w:rsidR="009E3E2B">
        <w:rPr>
          <w:lang w:val="en-AU"/>
        </w:rPr>
        <w:t xml:space="preserve"> during which 252 </w:t>
      </w:r>
      <w:r w:rsidR="00AE6448">
        <w:rPr>
          <w:lang w:val="en-AU"/>
        </w:rPr>
        <w:t>tonnes</w:t>
      </w:r>
      <w:r w:rsidR="009E3E2B">
        <w:rPr>
          <w:lang w:val="en-AU"/>
        </w:rPr>
        <w:t xml:space="preserve"> of </w:t>
      </w:r>
      <w:r w:rsidR="00AE6448">
        <w:rPr>
          <w:lang w:val="en-AU"/>
        </w:rPr>
        <w:t>H</w:t>
      </w:r>
      <w:r w:rsidR="009E3E2B">
        <w:rPr>
          <w:lang w:val="en-AU"/>
        </w:rPr>
        <w:t xml:space="preserve">FC-23 </w:t>
      </w:r>
      <w:r w:rsidR="00AE6448">
        <w:rPr>
          <w:lang w:val="en-AU"/>
        </w:rPr>
        <w:t>was destroyed that indicates</w:t>
      </w:r>
      <w:r w:rsidR="009E3E2B">
        <w:rPr>
          <w:lang w:val="en-AU"/>
        </w:rPr>
        <w:t xml:space="preserve"> a DRE of &gt;99.99%</w:t>
      </w:r>
      <w:r w:rsidR="00AE6448">
        <w:rPr>
          <w:lang w:val="en-AU"/>
        </w:rPr>
        <w:t>,</w:t>
      </w:r>
      <w:r w:rsidR="009E3E2B">
        <w:rPr>
          <w:lang w:val="en-AU"/>
        </w:rPr>
        <w:t xml:space="preserve"> based on the guarantee provided by the technology supplier</w:t>
      </w:r>
      <w:r w:rsidR="005B6760">
        <w:rPr>
          <w:lang w:val="en-AU"/>
        </w:rPr>
        <w:t>. In addition</w:t>
      </w:r>
      <w:r w:rsidR="00B20B20">
        <w:rPr>
          <w:lang w:val="en-AU"/>
        </w:rPr>
        <w:t>,</w:t>
      </w:r>
      <w:r w:rsidR="005B6760">
        <w:rPr>
          <w:lang w:val="en-AU"/>
        </w:rPr>
        <w:t xml:space="preserve"> the HFC-23 in the exhaust gases</w:t>
      </w:r>
      <w:r w:rsidR="009E3E2B">
        <w:rPr>
          <w:lang w:val="en-AU"/>
        </w:rPr>
        <w:t xml:space="preserve"> </w:t>
      </w:r>
      <w:r w:rsidR="005B6760">
        <w:rPr>
          <w:lang w:val="en-AU"/>
        </w:rPr>
        <w:t xml:space="preserve">was measured and found to be below the detectable limit. </w:t>
      </w:r>
      <w:r w:rsidR="00F204A6">
        <w:rPr>
          <w:rStyle w:val="FootnoteReference"/>
          <w:lang w:val="en-AU"/>
        </w:rPr>
        <w:footnoteReference w:id="52"/>
      </w:r>
      <w:bookmarkEnd w:id="70"/>
    </w:p>
    <w:p w14:paraId="16A93AB0" w14:textId="6F69CCFD" w:rsidR="009E3E2B" w:rsidRDefault="009E3E2B" w:rsidP="009E3E2B">
      <w:pPr>
        <w:rPr>
          <w:lang w:val="en-AU"/>
        </w:rPr>
      </w:pPr>
      <w:r>
        <w:rPr>
          <w:lang w:val="en-AU"/>
        </w:rPr>
        <w:t xml:space="preserve">Another technology </w:t>
      </w:r>
      <w:r w:rsidR="00974994">
        <w:rPr>
          <w:lang w:val="en-AU"/>
        </w:rPr>
        <w:t>supplier</w:t>
      </w:r>
      <w:r>
        <w:rPr>
          <w:lang w:val="en-AU"/>
        </w:rPr>
        <w:t xml:space="preserve"> </w:t>
      </w:r>
      <w:r w:rsidR="00974994">
        <w:rPr>
          <w:lang w:val="en-AU"/>
        </w:rPr>
        <w:t>provided</w:t>
      </w:r>
      <w:r>
        <w:rPr>
          <w:lang w:val="en-AU"/>
        </w:rPr>
        <w:t xml:space="preserve"> representative data for HFC-23 destruction applicable to a feed rate of 100 kg</w:t>
      </w:r>
      <w:r w:rsidR="00AE6448">
        <w:rPr>
          <w:lang w:val="en-AU"/>
        </w:rPr>
        <w:t>/hr, reactor temperature &gt;1,200º</w:t>
      </w:r>
      <w:r>
        <w:rPr>
          <w:lang w:val="en-AU"/>
        </w:rPr>
        <w:t>C, residence time of 2 seconds and exhaust gas flow rate of 40 Nm</w:t>
      </w:r>
      <w:r w:rsidRPr="00E87025">
        <w:rPr>
          <w:vertAlign w:val="superscript"/>
          <w:lang w:val="en-AU"/>
        </w:rPr>
        <w:t>3</w:t>
      </w:r>
      <w:r>
        <w:rPr>
          <w:lang w:val="en-AU"/>
        </w:rPr>
        <w:t>/hr, achieving a DRE of 99.99%.</w:t>
      </w:r>
    </w:p>
    <w:p w14:paraId="281E7404" w14:textId="187A60A8" w:rsidR="0003333A" w:rsidRPr="00EF5B00" w:rsidRDefault="00DF0632" w:rsidP="009E3E2B">
      <w:pPr>
        <w:rPr>
          <w:lang w:val="en-AU"/>
        </w:rPr>
      </w:pPr>
      <w:r>
        <w:rPr>
          <w:lang w:val="en-AU"/>
        </w:rPr>
        <w:t>Excluding particulates, e</w:t>
      </w:r>
      <w:r w:rsidR="0003333A">
        <w:rPr>
          <w:lang w:val="en-AU"/>
        </w:rPr>
        <w:t xml:space="preserve">missions </w:t>
      </w:r>
      <w:r w:rsidR="00C94B4A">
        <w:rPr>
          <w:lang w:val="en-AU"/>
        </w:rPr>
        <w:t xml:space="preserve">data provided </w:t>
      </w:r>
      <w:r w:rsidR="0003333A">
        <w:rPr>
          <w:lang w:val="en-AU"/>
        </w:rPr>
        <w:t>met the performance criteria.</w:t>
      </w:r>
    </w:p>
    <w:p w14:paraId="753D2F13" w14:textId="77777777" w:rsidR="009E3E2B" w:rsidRPr="006C0C5C" w:rsidRDefault="009E3E2B" w:rsidP="00275CBE">
      <w:pPr>
        <w:pStyle w:val="Heading4"/>
      </w:pPr>
      <w:r w:rsidRPr="006C0C5C">
        <w:t>3.2.</w:t>
      </w:r>
      <w:r>
        <w:t>6</w:t>
      </w:r>
      <w:r w:rsidRPr="006C0C5C">
        <w:t>.3</w:t>
      </w:r>
      <w:r w:rsidRPr="006C0C5C">
        <w:tab/>
        <w:t>Technical capability for destruction of HFCs</w:t>
      </w:r>
    </w:p>
    <w:p w14:paraId="4743F47F" w14:textId="20E6A333" w:rsidR="009E3E2B" w:rsidRDefault="009E3E2B" w:rsidP="009E3E2B">
      <w:r>
        <w:t xml:space="preserve">The capacities quoted in the 2002 </w:t>
      </w:r>
      <w:r w:rsidR="00AE6448">
        <w:t>TFDT R</w:t>
      </w:r>
      <w:r>
        <w:t>eport are 200/kg/hr</w:t>
      </w:r>
      <w:r w:rsidR="00AE6448">
        <w:t xml:space="preserve">. </w:t>
      </w:r>
      <w:r w:rsidR="00490DFA">
        <w:t>The capacity</w:t>
      </w:r>
      <w:r>
        <w:t xml:space="preserve"> stated by </w:t>
      </w:r>
      <w:r w:rsidR="00AE6448">
        <w:t>one</w:t>
      </w:r>
      <w:r>
        <w:t xml:space="preserve"> technology </w:t>
      </w:r>
      <w:r w:rsidR="00974994">
        <w:t>supplier</w:t>
      </w:r>
      <w:r>
        <w:t xml:space="preserve"> is 100 kg/hr </w:t>
      </w:r>
      <w:r w:rsidR="00490DFA">
        <w:t xml:space="preserve">when applied to HFC-23. </w:t>
      </w:r>
    </w:p>
    <w:p w14:paraId="15078B13" w14:textId="77777777" w:rsidR="009E3E2B" w:rsidRPr="006C0C5C" w:rsidRDefault="009E3E2B" w:rsidP="00275CBE">
      <w:pPr>
        <w:pStyle w:val="Heading4"/>
      </w:pPr>
      <w:r w:rsidRPr="006C0C5C">
        <w:t>3.2.</w:t>
      </w:r>
      <w:r>
        <w:t>6</w:t>
      </w:r>
      <w:r w:rsidRPr="006C0C5C">
        <w:t>.4</w:t>
      </w:r>
      <w:r w:rsidRPr="006C0C5C">
        <w:tab/>
        <w:t>Other considerations</w:t>
      </w:r>
    </w:p>
    <w:p w14:paraId="5D6F10B2" w14:textId="4C61F25F" w:rsidR="009E3E2B" w:rsidRDefault="009E3E2B" w:rsidP="009E3E2B">
      <w:pPr>
        <w:rPr>
          <w:rFonts w:eastAsia="Times New Roman"/>
        </w:rPr>
      </w:pPr>
      <w:r w:rsidRPr="00B33ABD">
        <w:t>This technology appears to offer a number of advantages</w:t>
      </w:r>
      <w:r w:rsidR="0003333A">
        <w:t>,</w:t>
      </w:r>
      <w:r w:rsidRPr="00B33ABD">
        <w:t xml:space="preserve"> particularly for ODS and HFC destruction within production facilities</w:t>
      </w:r>
      <w:r w:rsidR="0003333A">
        <w:t>,</w:t>
      </w:r>
      <w:r w:rsidRPr="00B33ABD">
        <w:t xml:space="preserve"> including high capacity, being specifically designed using corrosion resistant materials (graphite), high DRE potential, low emission performance</w:t>
      </w:r>
      <w:r>
        <w:rPr>
          <w:rFonts w:eastAsia="Times New Roman"/>
        </w:rPr>
        <w:t xml:space="preserve"> (particularly for </w:t>
      </w:r>
      <w:r w:rsidR="00C94B4A">
        <w:rPr>
          <w:rFonts w:eastAsia="Times New Roman"/>
        </w:rPr>
        <w:t>dioxins/furans</w:t>
      </w:r>
      <w:r>
        <w:rPr>
          <w:rFonts w:eastAsia="Times New Roman"/>
        </w:rPr>
        <w:t xml:space="preserve">), and offering recovery of technical grade acid gases. </w:t>
      </w:r>
    </w:p>
    <w:p w14:paraId="37FD4550" w14:textId="3DC9AFC2" w:rsidR="001A3FA1" w:rsidRDefault="001A3FA1" w:rsidP="009E3E2B">
      <w:pPr>
        <w:rPr>
          <w:rFonts w:eastAsia="Times New Roman"/>
        </w:rPr>
      </w:pPr>
      <w:r>
        <w:t>Facility specific performance testing may be recommended as various operating conditions can significantly impact DRE and emissions.</w:t>
      </w:r>
    </w:p>
    <w:p w14:paraId="08E070BB" w14:textId="3E207A93" w:rsidR="009E3E2B" w:rsidRPr="006C0C5C" w:rsidRDefault="009E3E2B" w:rsidP="00275CBE">
      <w:pPr>
        <w:pStyle w:val="Heading3"/>
      </w:pPr>
      <w:bookmarkStart w:id="72" w:name="_Toc505079428"/>
      <w:bookmarkStart w:id="73" w:name="_Toc508228172"/>
      <w:bookmarkStart w:id="74" w:name="_Ref510530544"/>
      <w:bookmarkStart w:id="75" w:name="_Toc510531468"/>
      <w:bookmarkEnd w:id="69"/>
      <w:r w:rsidRPr="008466D3">
        <w:lastRenderedPageBreak/>
        <w:t>3.2.7</w:t>
      </w:r>
      <w:r w:rsidRPr="008466D3">
        <w:tab/>
        <w:t>Rotary Kiln Incineration</w:t>
      </w:r>
      <w:bookmarkEnd w:id="72"/>
      <w:bookmarkEnd w:id="73"/>
      <w:bookmarkEnd w:id="74"/>
      <w:bookmarkEnd w:id="75"/>
    </w:p>
    <w:p w14:paraId="25517746" w14:textId="14CEFACA" w:rsidR="009E3E2B" w:rsidRDefault="009E3E2B" w:rsidP="0003333A">
      <w:pPr>
        <w:rPr>
          <w:lang w:val="en-US" w:eastAsia="en-US"/>
        </w:rPr>
      </w:pPr>
      <w:r>
        <w:rPr>
          <w:lang w:val="en-US" w:eastAsia="en-US"/>
        </w:rPr>
        <w:t>Rotary kiln incinerators are refractory-lined rotating cylindrical steel shells mounted on a s</w:t>
      </w:r>
      <w:r w:rsidR="0003333A">
        <w:rPr>
          <w:lang w:val="en-US" w:eastAsia="en-US"/>
        </w:rPr>
        <w:t xml:space="preserve">light incline from horizontal. </w:t>
      </w:r>
      <w:r>
        <w:rPr>
          <w:lang w:val="en-US" w:eastAsia="en-US"/>
        </w:rPr>
        <w:t>Most rotary kilns are equipped with an afterburner that ensures complete destruction of exhaust gases. Hydrocarbon fuels are typically used as an energy source. Rotary kilns are most frequently incorporated into the design of commercial incinerator facilities.</w:t>
      </w:r>
    </w:p>
    <w:p w14:paraId="0A03754E" w14:textId="4F0C0BFD" w:rsidR="009E3E2B" w:rsidRPr="00FF6B75" w:rsidRDefault="00224CC3" w:rsidP="009E3E2B">
      <w:pPr>
        <w:rPr>
          <w:lang w:val="en-US"/>
        </w:rPr>
      </w:pPr>
      <w:r>
        <w:rPr>
          <w:lang w:val="en-US"/>
        </w:rPr>
        <w:t>T</w:t>
      </w:r>
      <w:r w:rsidR="009E3E2B">
        <w:rPr>
          <w:lang w:val="en-US"/>
        </w:rPr>
        <w:t>he E</w:t>
      </w:r>
      <w:r w:rsidR="00663CDF">
        <w:rPr>
          <w:lang w:val="en-US"/>
        </w:rPr>
        <w:t xml:space="preserve">uropean </w:t>
      </w:r>
      <w:r w:rsidR="009E3E2B">
        <w:rPr>
          <w:lang w:val="en-US"/>
        </w:rPr>
        <w:t>U</w:t>
      </w:r>
      <w:r w:rsidR="00663CDF">
        <w:rPr>
          <w:lang w:val="en-US"/>
        </w:rPr>
        <w:t>nion</w:t>
      </w:r>
      <w:r w:rsidR="009E3E2B">
        <w:rPr>
          <w:lang w:val="en-US"/>
        </w:rPr>
        <w:t xml:space="preserve"> submission identifies rotary kilns as the technology used for destroying HFCs</w:t>
      </w:r>
      <w:r>
        <w:rPr>
          <w:lang w:val="en-US"/>
        </w:rPr>
        <w:t>,</w:t>
      </w:r>
      <w:r w:rsidR="009E3E2B">
        <w:rPr>
          <w:lang w:val="en-US"/>
        </w:rPr>
        <w:t xml:space="preserve"> with specific reference to HFC destruction at facilities in </w:t>
      </w:r>
      <w:r w:rsidR="009E3E2B" w:rsidRPr="008F0DC4">
        <w:rPr>
          <w:lang w:val="en-US"/>
        </w:rPr>
        <w:t>Poland,</w:t>
      </w:r>
      <w:r w:rsidR="009E3E2B">
        <w:rPr>
          <w:lang w:val="en-US"/>
        </w:rPr>
        <w:t xml:space="preserve"> the </w:t>
      </w:r>
      <w:r w:rsidR="009E3E2B" w:rsidRPr="008F0DC4">
        <w:rPr>
          <w:lang w:val="en-US"/>
        </w:rPr>
        <w:t>Czech Rep</w:t>
      </w:r>
      <w:r w:rsidR="009E3E2B">
        <w:rPr>
          <w:lang w:val="en-US"/>
        </w:rPr>
        <w:t>ublic and</w:t>
      </w:r>
      <w:r w:rsidR="009E3E2B" w:rsidRPr="008F0DC4">
        <w:rPr>
          <w:lang w:val="en-US"/>
        </w:rPr>
        <w:t>, Finland</w:t>
      </w:r>
      <w:r w:rsidR="0003333A">
        <w:rPr>
          <w:lang w:val="en-US"/>
        </w:rPr>
        <w:t xml:space="preserve">. The </w:t>
      </w:r>
      <w:r w:rsidR="00064527">
        <w:rPr>
          <w:lang w:val="en-US"/>
        </w:rPr>
        <w:t>United States’ submission</w:t>
      </w:r>
      <w:r w:rsidR="0003333A">
        <w:rPr>
          <w:lang w:val="en-US"/>
        </w:rPr>
        <w:t xml:space="preserve"> </w:t>
      </w:r>
      <w:r w:rsidR="009E3E2B">
        <w:rPr>
          <w:lang w:val="en-US"/>
        </w:rPr>
        <w:t>report</w:t>
      </w:r>
      <w:r w:rsidR="0003333A">
        <w:rPr>
          <w:lang w:val="en-US"/>
        </w:rPr>
        <w:t>s</w:t>
      </w:r>
      <w:r w:rsidR="009E3E2B">
        <w:rPr>
          <w:lang w:val="en-US"/>
        </w:rPr>
        <w:t xml:space="preserve"> </w:t>
      </w:r>
      <w:r w:rsidR="00856201">
        <w:rPr>
          <w:lang w:val="en-US"/>
        </w:rPr>
        <w:t xml:space="preserve">that </w:t>
      </w:r>
      <w:r w:rsidR="009E3E2B">
        <w:rPr>
          <w:lang w:val="en-US"/>
        </w:rPr>
        <w:t>ODS destruction undertaken at</w:t>
      </w:r>
      <w:r w:rsidR="009E3E2B" w:rsidRPr="008F0DC4">
        <w:rPr>
          <w:lang w:val="en-US"/>
        </w:rPr>
        <w:t xml:space="preserve"> </w:t>
      </w:r>
      <w:r w:rsidR="009E3E2B">
        <w:rPr>
          <w:lang w:val="en-US"/>
        </w:rPr>
        <w:t>4 commercial fa</w:t>
      </w:r>
      <w:r>
        <w:rPr>
          <w:lang w:val="en-US"/>
        </w:rPr>
        <w:t>cilities and 5 production plant</w:t>
      </w:r>
      <w:r w:rsidR="009E3E2B">
        <w:rPr>
          <w:lang w:val="en-US"/>
        </w:rPr>
        <w:t xml:space="preserve"> facilities.</w:t>
      </w:r>
      <w:r w:rsidR="009E3E2B" w:rsidRPr="008F0DC4">
        <w:rPr>
          <w:lang w:val="en-US"/>
        </w:rPr>
        <w:t xml:space="preserve"> </w:t>
      </w:r>
      <w:r w:rsidR="009E3E2B">
        <w:rPr>
          <w:lang w:val="en-US"/>
        </w:rPr>
        <w:t>Canada reported that all ODS and HFCs collected in its national program were being destroyed at two rotary kilns, one in Canada and one in the U</w:t>
      </w:r>
      <w:r>
        <w:rPr>
          <w:lang w:val="en-US"/>
        </w:rPr>
        <w:t xml:space="preserve">nited </w:t>
      </w:r>
      <w:r w:rsidR="009E3E2B">
        <w:rPr>
          <w:lang w:val="en-US"/>
        </w:rPr>
        <w:t>S</w:t>
      </w:r>
      <w:r>
        <w:rPr>
          <w:lang w:val="en-US"/>
        </w:rPr>
        <w:t>tates</w:t>
      </w:r>
      <w:r w:rsidR="009E3E2B">
        <w:rPr>
          <w:lang w:val="en-US"/>
        </w:rPr>
        <w:t xml:space="preserve"> </w:t>
      </w:r>
      <w:r w:rsidR="00751913">
        <w:rPr>
          <w:lang w:val="en-US"/>
        </w:rPr>
        <w:t>(</w:t>
      </w:r>
      <w:r w:rsidR="009E3E2B">
        <w:rPr>
          <w:lang w:val="en-US"/>
        </w:rPr>
        <w:t xml:space="preserve">although </w:t>
      </w:r>
      <w:r w:rsidR="00751913">
        <w:rPr>
          <w:lang w:val="en-US"/>
        </w:rPr>
        <w:t xml:space="preserve">the 2018 TFDT believes that </w:t>
      </w:r>
      <w:r w:rsidR="009E3E2B">
        <w:rPr>
          <w:lang w:val="en-US"/>
        </w:rPr>
        <w:t>the U</w:t>
      </w:r>
      <w:r w:rsidR="00751913">
        <w:rPr>
          <w:lang w:val="en-US"/>
        </w:rPr>
        <w:t xml:space="preserve">nited </w:t>
      </w:r>
      <w:r w:rsidR="009E3E2B">
        <w:rPr>
          <w:lang w:val="en-US"/>
        </w:rPr>
        <w:t>S</w:t>
      </w:r>
      <w:r w:rsidR="00751913">
        <w:rPr>
          <w:lang w:val="en-US"/>
        </w:rPr>
        <w:t>tates</w:t>
      </w:r>
      <w:r w:rsidR="009E3E2B">
        <w:rPr>
          <w:lang w:val="en-US"/>
        </w:rPr>
        <w:t xml:space="preserve"> facility used may </w:t>
      </w:r>
      <w:r w:rsidR="00751913">
        <w:rPr>
          <w:lang w:val="en-US"/>
        </w:rPr>
        <w:t xml:space="preserve">be a fixed hearth incinerator). </w:t>
      </w:r>
      <w:r w:rsidR="00FF6B75">
        <w:rPr>
          <w:lang w:val="en-US"/>
        </w:rPr>
        <w:t>The quantity and types of</w:t>
      </w:r>
      <w:r w:rsidR="009E3E2B">
        <w:rPr>
          <w:lang w:val="en-US"/>
        </w:rPr>
        <w:t xml:space="preserve"> HFCs </w:t>
      </w:r>
      <w:r w:rsidR="00751913">
        <w:rPr>
          <w:lang w:val="en-US"/>
        </w:rPr>
        <w:t>destroyed</w:t>
      </w:r>
      <w:r w:rsidR="009E3E2B">
        <w:rPr>
          <w:lang w:val="en-US"/>
        </w:rPr>
        <w:t xml:space="preserve"> </w:t>
      </w:r>
      <w:r w:rsidR="00751913">
        <w:rPr>
          <w:lang w:val="en-US"/>
        </w:rPr>
        <w:t>from Canadian sources</w:t>
      </w:r>
      <w:r w:rsidR="009E3E2B">
        <w:rPr>
          <w:lang w:val="en-US"/>
        </w:rPr>
        <w:t xml:space="preserve"> </w:t>
      </w:r>
      <w:r w:rsidR="00FF6B75">
        <w:rPr>
          <w:lang w:val="en-US"/>
        </w:rPr>
        <w:t xml:space="preserve">were provided (HFC-32, -125, -134a, -143a, -152a) for the years 2016 </w:t>
      </w:r>
      <w:r w:rsidR="00475A5D">
        <w:rPr>
          <w:lang w:val="en-US"/>
        </w:rPr>
        <w:t xml:space="preserve">(127 tons) </w:t>
      </w:r>
      <w:r w:rsidR="00FF6B75">
        <w:rPr>
          <w:lang w:val="en-US"/>
        </w:rPr>
        <w:t>and 2017</w:t>
      </w:r>
      <w:r w:rsidR="00475A5D">
        <w:rPr>
          <w:lang w:val="en-US"/>
        </w:rPr>
        <w:t xml:space="preserve"> (93 tons)</w:t>
      </w:r>
      <w:r w:rsidR="009E3E2B">
        <w:rPr>
          <w:lang w:val="en-US"/>
        </w:rPr>
        <w:t>.</w:t>
      </w:r>
      <w:r w:rsidR="009E3E2B" w:rsidRPr="00B9591C">
        <w:rPr>
          <w:rFonts w:eastAsia="Calibri"/>
          <w:lang w:val="en-US"/>
        </w:rPr>
        <w:t xml:space="preserve"> </w:t>
      </w:r>
    </w:p>
    <w:p w14:paraId="41B7E2B7" w14:textId="38F0C2F8" w:rsidR="009E3E2B" w:rsidRPr="002F7331" w:rsidRDefault="009E3E2B" w:rsidP="009E3E2B">
      <w:r w:rsidRPr="00887F10">
        <w:rPr>
          <w:lang w:val="en-AU"/>
        </w:rPr>
        <w:t>No HFC performance data is presently available to undertake a performance criteria assessment</w:t>
      </w:r>
      <w:r>
        <w:rPr>
          <w:lang w:val="en-AU"/>
        </w:rPr>
        <w:t xml:space="preserve"> on rotary kiln incineration</w:t>
      </w:r>
      <w:r w:rsidR="00A27252">
        <w:rPr>
          <w:lang w:val="en-AU"/>
        </w:rPr>
        <w:t xml:space="preserve">, therefore, </w:t>
      </w:r>
      <w:r w:rsidR="00751913" w:rsidRPr="0078658C">
        <w:rPr>
          <w:b/>
          <w:u w:val="single"/>
        </w:rPr>
        <w:t>Rotary Kiln Incineration</w:t>
      </w:r>
      <w:r w:rsidRPr="0078658C">
        <w:rPr>
          <w:b/>
          <w:u w:val="single"/>
        </w:rPr>
        <w:t xml:space="preserve"> is recommended</w:t>
      </w:r>
      <w:r w:rsidRPr="007450BD">
        <w:rPr>
          <w:b/>
          <w:u w:val="single"/>
        </w:rPr>
        <w:t xml:space="preserve"> as </w:t>
      </w:r>
      <w:r w:rsidRPr="007450BD">
        <w:rPr>
          <w:b/>
          <w:i/>
          <w:u w:val="single"/>
        </w:rPr>
        <w:t>high potential</w:t>
      </w:r>
      <w:r w:rsidRPr="007450BD">
        <w:rPr>
          <w:b/>
          <w:u w:val="single"/>
        </w:rPr>
        <w:t xml:space="preserve"> </w:t>
      </w:r>
      <w:r w:rsidR="00751913" w:rsidRPr="007450BD">
        <w:rPr>
          <w:b/>
          <w:u w:val="single"/>
        </w:rPr>
        <w:t>for applicability to HFCs</w:t>
      </w:r>
      <w:r w:rsidR="00D21E69" w:rsidRPr="007450BD">
        <w:rPr>
          <w:b/>
          <w:u w:val="single"/>
        </w:rPr>
        <w:t xml:space="preserve"> </w:t>
      </w:r>
      <w:r w:rsidR="00751913" w:rsidRPr="007450BD">
        <w:rPr>
          <w:b/>
          <w:u w:val="single"/>
        </w:rPr>
        <w:t>destruction</w:t>
      </w:r>
      <w:r w:rsidR="00B26A48">
        <w:rPr>
          <w:b/>
          <w:u w:val="single"/>
        </w:rPr>
        <w:t>,</w:t>
      </w:r>
      <w:r w:rsidR="00D73CD1" w:rsidRPr="007450BD">
        <w:rPr>
          <w:b/>
          <w:u w:val="single"/>
        </w:rPr>
        <w:t xml:space="preserve"> including HFC-23</w:t>
      </w:r>
      <w:r w:rsidRPr="007450BD">
        <w:t xml:space="preserve">. </w:t>
      </w:r>
    </w:p>
    <w:p w14:paraId="468154DB" w14:textId="77777777" w:rsidR="009E3E2B" w:rsidRPr="00887F10" w:rsidRDefault="009E3E2B" w:rsidP="00275CBE">
      <w:pPr>
        <w:pStyle w:val="Heading4"/>
      </w:pPr>
      <w:r w:rsidRPr="00887F10">
        <w:t>3.2.</w:t>
      </w:r>
      <w:r>
        <w:t>7</w:t>
      </w:r>
      <w:r w:rsidRPr="00887F10">
        <w:t>.1</w:t>
      </w:r>
      <w:r w:rsidRPr="00887F10">
        <w:tab/>
        <w:t>Experience with HFC destruction</w:t>
      </w:r>
    </w:p>
    <w:p w14:paraId="6AA12F3F" w14:textId="31EBFAB3" w:rsidR="009E3E2B" w:rsidRDefault="00996DB2" w:rsidP="009E3E2B">
      <w:pPr>
        <w:rPr>
          <w:lang w:val="en-AU"/>
        </w:rPr>
      </w:pPr>
      <w:r>
        <w:rPr>
          <w:lang w:val="en-AU"/>
        </w:rPr>
        <w:t>E</w:t>
      </w:r>
      <w:r w:rsidR="009E3E2B">
        <w:rPr>
          <w:lang w:val="en-AU"/>
        </w:rPr>
        <w:t xml:space="preserve">xperience with the application of rotary kilns for HFC destruction </w:t>
      </w:r>
      <w:r>
        <w:rPr>
          <w:lang w:val="en-AU"/>
        </w:rPr>
        <w:t>is reported</w:t>
      </w:r>
      <w:r w:rsidR="009E3E2B">
        <w:rPr>
          <w:lang w:val="en-AU"/>
        </w:rPr>
        <w:t xml:space="preserve"> in the E</w:t>
      </w:r>
      <w:r w:rsidR="00663CDF">
        <w:rPr>
          <w:lang w:val="en-AU"/>
        </w:rPr>
        <w:t xml:space="preserve">uropean </w:t>
      </w:r>
      <w:r w:rsidR="009E3E2B">
        <w:rPr>
          <w:lang w:val="en-AU"/>
        </w:rPr>
        <w:t>U</w:t>
      </w:r>
      <w:r w:rsidR="00663CDF">
        <w:rPr>
          <w:lang w:val="en-AU"/>
        </w:rPr>
        <w:t>nion</w:t>
      </w:r>
      <w:r w:rsidR="009E3E2B">
        <w:rPr>
          <w:lang w:val="en-AU"/>
        </w:rPr>
        <w:t xml:space="preserve"> and North America</w:t>
      </w:r>
      <w:r>
        <w:rPr>
          <w:lang w:val="en-AU"/>
        </w:rPr>
        <w:t>,</w:t>
      </w:r>
      <w:r w:rsidR="009E3E2B">
        <w:rPr>
          <w:lang w:val="en-AU"/>
        </w:rPr>
        <w:t xml:space="preserve"> as re</w:t>
      </w:r>
      <w:r w:rsidR="0003333A">
        <w:rPr>
          <w:lang w:val="en-AU"/>
        </w:rPr>
        <w:t xml:space="preserve">ported by Parties. </w:t>
      </w:r>
      <w:r w:rsidR="009E3E2B">
        <w:rPr>
          <w:lang w:val="en-AU"/>
        </w:rPr>
        <w:t xml:space="preserve">However, emission performance and DRE data for HFCs </w:t>
      </w:r>
      <w:r w:rsidR="001D517C">
        <w:rPr>
          <w:lang w:val="en-AU"/>
        </w:rPr>
        <w:t>destruction have</w:t>
      </w:r>
      <w:r w:rsidR="009E3E2B">
        <w:rPr>
          <w:lang w:val="en-AU"/>
        </w:rPr>
        <w:t xml:space="preserve"> not been identified</w:t>
      </w:r>
      <w:r>
        <w:rPr>
          <w:lang w:val="en-AU"/>
        </w:rPr>
        <w:t xml:space="preserve"> to enable an assessment against performance criteria</w:t>
      </w:r>
      <w:r w:rsidR="009E3E2B">
        <w:rPr>
          <w:lang w:val="en-AU"/>
        </w:rPr>
        <w:t xml:space="preserve">. </w:t>
      </w:r>
    </w:p>
    <w:p w14:paraId="449E6DFC" w14:textId="77777777" w:rsidR="009E3E2B" w:rsidRPr="00887F10" w:rsidRDefault="009E3E2B" w:rsidP="00275CBE">
      <w:pPr>
        <w:pStyle w:val="Heading4"/>
      </w:pPr>
      <w:r w:rsidRPr="00887F10">
        <w:t>3.2.</w:t>
      </w:r>
      <w:r>
        <w:t>7</w:t>
      </w:r>
      <w:r w:rsidRPr="00887F10">
        <w:t>.2</w:t>
      </w:r>
      <w:r w:rsidRPr="00887F10">
        <w:tab/>
        <w:t>Assessment of applicability to HFCs using performance criteria</w:t>
      </w:r>
    </w:p>
    <w:p w14:paraId="0CEE3E2F" w14:textId="03756E53" w:rsidR="009E3E2B" w:rsidRDefault="009E3E2B" w:rsidP="009E3E2B">
      <w:pPr>
        <w:rPr>
          <w:rFonts w:eastAsia="MS Mincho"/>
          <w:b/>
          <w:snapToGrid w:val="0"/>
        </w:rPr>
      </w:pPr>
      <w:r w:rsidRPr="00887F10">
        <w:rPr>
          <w:lang w:val="en-AU"/>
        </w:rPr>
        <w:t>No HFC performance data is presently available to undertake a performance criteria assessment</w:t>
      </w:r>
      <w:r>
        <w:rPr>
          <w:lang w:val="en-AU"/>
        </w:rPr>
        <w:t xml:space="preserve"> on rotary kiln incineration</w:t>
      </w:r>
      <w:r w:rsidR="001D517C">
        <w:rPr>
          <w:lang w:val="en-AU"/>
        </w:rPr>
        <w:t>,</w:t>
      </w:r>
      <w:r>
        <w:rPr>
          <w:lang w:val="en-AU"/>
        </w:rPr>
        <w:t xml:space="preserve"> notwithstanding the reported application of the technology in Europe and North America where national regulations applied to such facilities would generally be more stringent tha</w:t>
      </w:r>
      <w:r w:rsidR="00233F35">
        <w:rPr>
          <w:lang w:val="en-AU"/>
        </w:rPr>
        <w:t>n</w:t>
      </w:r>
      <w:r>
        <w:rPr>
          <w:lang w:val="en-AU"/>
        </w:rPr>
        <w:t xml:space="preserve"> the </w:t>
      </w:r>
      <w:r w:rsidR="00475A5D">
        <w:rPr>
          <w:lang w:val="en-AU"/>
        </w:rPr>
        <w:t xml:space="preserve">TEAP </w:t>
      </w:r>
      <w:r w:rsidR="001D517C">
        <w:rPr>
          <w:lang w:val="en-AU"/>
        </w:rPr>
        <w:t>performance</w:t>
      </w:r>
      <w:r>
        <w:rPr>
          <w:lang w:val="en-AU"/>
        </w:rPr>
        <w:t xml:space="preserve"> criteria</w:t>
      </w:r>
      <w:r w:rsidR="001D517C">
        <w:rPr>
          <w:lang w:val="en-AU"/>
        </w:rPr>
        <w:t>,</w:t>
      </w:r>
      <w:r>
        <w:rPr>
          <w:lang w:val="en-AU"/>
        </w:rPr>
        <w:t xml:space="preserve"> and in the case of North America </w:t>
      </w:r>
      <w:r w:rsidR="00475A5D">
        <w:rPr>
          <w:lang w:val="en-AU"/>
        </w:rPr>
        <w:t xml:space="preserve">may </w:t>
      </w:r>
      <w:r>
        <w:rPr>
          <w:lang w:val="en-AU"/>
        </w:rPr>
        <w:t>requi</w:t>
      </w:r>
      <w:r w:rsidR="001D517C">
        <w:rPr>
          <w:lang w:val="en-AU"/>
        </w:rPr>
        <w:t xml:space="preserve">re higher DREs. </w:t>
      </w:r>
      <w:r>
        <w:rPr>
          <w:lang w:val="en-AU"/>
        </w:rPr>
        <w:t xml:space="preserve">On that basis, </w:t>
      </w:r>
      <w:r w:rsidRPr="00887F10">
        <w:rPr>
          <w:lang w:val="en-AU"/>
        </w:rPr>
        <w:t>in principle</w:t>
      </w:r>
      <w:r w:rsidR="00BF1A30">
        <w:rPr>
          <w:lang w:val="en-AU"/>
        </w:rPr>
        <w:t>,</w:t>
      </w:r>
      <w:r w:rsidRPr="00887F10">
        <w:rPr>
          <w:lang w:val="en-AU"/>
        </w:rPr>
        <w:t xml:space="preserve"> it would be anticipated that the technology should </w:t>
      </w:r>
      <w:r>
        <w:rPr>
          <w:lang w:val="en-AU"/>
        </w:rPr>
        <w:t xml:space="preserve">meet </w:t>
      </w:r>
      <w:r w:rsidRPr="00887F10">
        <w:rPr>
          <w:lang w:val="en-AU"/>
        </w:rPr>
        <w:t xml:space="preserve">the </w:t>
      </w:r>
      <w:r w:rsidR="001D517C">
        <w:rPr>
          <w:lang w:val="en-AU"/>
        </w:rPr>
        <w:t>performance</w:t>
      </w:r>
      <w:r w:rsidRPr="00887F10">
        <w:rPr>
          <w:lang w:val="en-AU"/>
        </w:rPr>
        <w:t xml:space="preserve"> </w:t>
      </w:r>
      <w:r>
        <w:rPr>
          <w:lang w:val="en-AU"/>
        </w:rPr>
        <w:t xml:space="preserve">criteria, subject </w:t>
      </w:r>
      <w:r w:rsidR="00C94B4A">
        <w:rPr>
          <w:lang w:val="en-AU"/>
        </w:rPr>
        <w:t xml:space="preserve">to </w:t>
      </w:r>
      <w:r>
        <w:rPr>
          <w:lang w:val="en-AU"/>
        </w:rPr>
        <w:t>facility specific qualification</w:t>
      </w:r>
      <w:r w:rsidR="001D517C">
        <w:rPr>
          <w:lang w:val="en-AU"/>
        </w:rPr>
        <w:t>s</w:t>
      </w:r>
      <w:r>
        <w:rPr>
          <w:lang w:val="en-AU"/>
        </w:rPr>
        <w:t>, feed limits on c</w:t>
      </w:r>
      <w:r w:rsidR="001D517C">
        <w:rPr>
          <w:lang w:val="en-AU"/>
        </w:rPr>
        <w:t>hlorine and fluorine, and utilis</w:t>
      </w:r>
      <w:r>
        <w:rPr>
          <w:lang w:val="en-AU"/>
        </w:rPr>
        <w:t>ation of higher combustion chamber temperatures and longer residen</w:t>
      </w:r>
      <w:r w:rsidR="001D517C">
        <w:rPr>
          <w:lang w:val="en-AU"/>
        </w:rPr>
        <w:t>ce</w:t>
      </w:r>
      <w:r>
        <w:rPr>
          <w:lang w:val="en-AU"/>
        </w:rPr>
        <w:t xml:space="preserve"> times. </w:t>
      </w:r>
    </w:p>
    <w:p w14:paraId="2AD43830" w14:textId="77777777" w:rsidR="009E3E2B" w:rsidRPr="00887F10" w:rsidRDefault="009E3E2B" w:rsidP="00275CBE">
      <w:pPr>
        <w:pStyle w:val="Heading4"/>
      </w:pPr>
      <w:r w:rsidRPr="00887F10">
        <w:t>3.2.</w:t>
      </w:r>
      <w:r>
        <w:t>7</w:t>
      </w:r>
      <w:r w:rsidRPr="00887F10">
        <w:t>.3</w:t>
      </w:r>
      <w:r w:rsidRPr="00887F10">
        <w:tab/>
        <w:t>Technical capability for destruction of HFCs</w:t>
      </w:r>
    </w:p>
    <w:p w14:paraId="2A7C5C3C" w14:textId="5D157C91" w:rsidR="009E3E2B" w:rsidRPr="00887F10" w:rsidRDefault="009E3E2B" w:rsidP="009E3E2B">
      <w:r w:rsidRPr="00887F10">
        <w:t xml:space="preserve">The capacities </w:t>
      </w:r>
      <w:r>
        <w:t>for ODS and HFCs will vary substantially depending on design size, tolerance to chlorine and fluorine content in the overall waste feed, and sophistication of the air pollution control system, pa</w:t>
      </w:r>
      <w:r w:rsidR="00AE2005">
        <w:t xml:space="preserve">rticularly for </w:t>
      </w:r>
      <w:r w:rsidR="00DF62EA">
        <w:t>dioxins/furans</w:t>
      </w:r>
      <w:r w:rsidR="00AE2005">
        <w:t xml:space="preserve"> capture. </w:t>
      </w:r>
      <w:r>
        <w:t>C</w:t>
      </w:r>
      <w:r w:rsidR="00AE2005">
        <w:t>ommercial units typically utilis</w:t>
      </w:r>
      <w:r>
        <w:t xml:space="preserve">ed for halogenated wastes have overall design capacities between 20,000 to 70,000 </w:t>
      </w:r>
      <w:r w:rsidR="00AE2005">
        <w:t>tonnes</w:t>
      </w:r>
      <w:r>
        <w:t xml:space="preserve">/year (3 to 10 </w:t>
      </w:r>
      <w:r w:rsidR="00AE2005">
        <w:t>tonnes</w:t>
      </w:r>
      <w:r>
        <w:t>/hr) although there are significant numbers of smaller units in commercial operation usual</w:t>
      </w:r>
      <w:r w:rsidR="00AE2005">
        <w:t xml:space="preserve">ly for non-halogenated wastes. </w:t>
      </w:r>
      <w:r>
        <w:t>Larger commercial units might indicatively have ODS</w:t>
      </w:r>
      <w:r w:rsidR="00AE2005">
        <w:t>,</w:t>
      </w:r>
      <w:r>
        <w:t xml:space="preserve"> and potentially HFC</w:t>
      </w:r>
      <w:r w:rsidR="00AE2005">
        <w:t>,</w:t>
      </w:r>
      <w:r>
        <w:t xml:space="preserve"> capacities of 10 to 200 kg/hour depending on the above factors. Recent test burn results for an MLF project in Colombia on a small (1 </w:t>
      </w:r>
      <w:r w:rsidR="00AE2005">
        <w:t>tonne</w:t>
      </w:r>
      <w:r>
        <w:t>/hr)</w:t>
      </w:r>
      <w:r w:rsidR="00AE2005">
        <w:t>,</w:t>
      </w:r>
      <w:r>
        <w:t xml:space="preserve"> but well equipped</w:t>
      </w:r>
      <w:r w:rsidR="00AE2005">
        <w:t>,</w:t>
      </w:r>
      <w:r>
        <w:t xml:space="preserve"> commercial rotary kiln showed capacity limits for CFCs of 3-5 kg/hr, largely due to limitations on chlorine and particularly fluorine content in the feed</w:t>
      </w:r>
      <w:r w:rsidR="00AE2005">
        <w:t>,</w:t>
      </w:r>
      <w:r>
        <w:t xml:space="preserve"> which </w:t>
      </w:r>
      <w:r w:rsidR="00AE2005">
        <w:t>were</w:t>
      </w:r>
      <w:r>
        <w:t xml:space="preserve"> imposed to meet </w:t>
      </w:r>
      <w:proofErr w:type="spellStart"/>
      <w:r>
        <w:t>HC</w:t>
      </w:r>
      <w:r w:rsidR="00C94B4A">
        <w:t>l</w:t>
      </w:r>
      <w:proofErr w:type="spellEnd"/>
      <w:r>
        <w:t xml:space="preserve"> and HF emission limits</w:t>
      </w:r>
      <w:r w:rsidR="00AE2005">
        <w:t xml:space="preserve"> identical to the </w:t>
      </w:r>
      <w:r w:rsidR="00475A5D">
        <w:t xml:space="preserve">TEAP </w:t>
      </w:r>
      <w:r w:rsidR="00AE2005">
        <w:t>performance criteria</w:t>
      </w:r>
      <w:r>
        <w:t xml:space="preserve">, </w:t>
      </w:r>
      <w:r w:rsidR="00AE2005">
        <w:t xml:space="preserve">with DRE substantially exceeding 99.99%. </w:t>
      </w:r>
      <w:r>
        <w:t>This capacity is anticip</w:t>
      </w:r>
      <w:r w:rsidR="00AE2005">
        <w:t>ated to be less for HFCs</w:t>
      </w:r>
      <w:r w:rsidR="00475A5D">
        <w:t xml:space="preserve"> due to potentially higher HF emissions</w:t>
      </w:r>
      <w:r w:rsidR="00AE2005">
        <w:t xml:space="preserve">. </w:t>
      </w:r>
      <w:r>
        <w:t xml:space="preserve">The Colombian experience underlines an </w:t>
      </w:r>
      <w:r>
        <w:lastRenderedPageBreak/>
        <w:t>overall caution that small rotary kilns are more prone to marginal or non-compliant performance when destroying ODS</w:t>
      </w:r>
      <w:r w:rsidR="00AE2005">
        <w:t>,</w:t>
      </w:r>
      <w:r>
        <w:t xml:space="preserve"> and likely </w:t>
      </w:r>
      <w:r w:rsidR="00AE2005">
        <w:t xml:space="preserve">also </w:t>
      </w:r>
      <w:r>
        <w:t>HFCs</w:t>
      </w:r>
      <w:r w:rsidR="00AE2005">
        <w:t>.</w:t>
      </w:r>
    </w:p>
    <w:p w14:paraId="7FEB389E" w14:textId="77777777" w:rsidR="009E3E2B" w:rsidRPr="00887F10" w:rsidRDefault="009E3E2B" w:rsidP="00275CBE">
      <w:pPr>
        <w:pStyle w:val="Heading4"/>
      </w:pPr>
      <w:r w:rsidRPr="00887F10">
        <w:t>3.2.</w:t>
      </w:r>
      <w:r>
        <w:t>7</w:t>
      </w:r>
      <w:r w:rsidRPr="00887F10">
        <w:t>.4</w:t>
      </w:r>
      <w:r w:rsidRPr="00887F10">
        <w:tab/>
        <w:t>Other considerations</w:t>
      </w:r>
    </w:p>
    <w:p w14:paraId="7DE808E5" w14:textId="76EC8043" w:rsidR="009E3E2B" w:rsidRDefault="009E3E2B" w:rsidP="009E3E2B">
      <w:r>
        <w:rPr>
          <w:lang w:val="en-US"/>
        </w:rPr>
        <w:t xml:space="preserve">Rotary kiln incineration is general technology applicable to </w:t>
      </w:r>
      <w:r w:rsidR="00856201">
        <w:rPr>
          <w:lang w:val="en-US"/>
        </w:rPr>
        <w:t xml:space="preserve">the </w:t>
      </w:r>
      <w:r>
        <w:rPr>
          <w:lang w:val="en-US"/>
        </w:rPr>
        <w:t>destr</w:t>
      </w:r>
      <w:r w:rsidR="00751913">
        <w:rPr>
          <w:lang w:val="en-US"/>
        </w:rPr>
        <w:t xml:space="preserve">uction of </w:t>
      </w:r>
      <w:r w:rsidR="00AE2005">
        <w:rPr>
          <w:lang w:val="en-US"/>
        </w:rPr>
        <w:t xml:space="preserve">a </w:t>
      </w:r>
      <w:r w:rsidR="00751913">
        <w:rPr>
          <w:lang w:val="en-US"/>
        </w:rPr>
        <w:t>wide range of waste</w:t>
      </w:r>
      <w:r w:rsidR="00AE2005">
        <w:rPr>
          <w:lang w:val="en-US"/>
        </w:rPr>
        <w:t>s</w:t>
      </w:r>
      <w:r w:rsidR="00751913">
        <w:rPr>
          <w:lang w:val="en-US"/>
        </w:rPr>
        <w:t xml:space="preserve">. </w:t>
      </w:r>
      <w:r>
        <w:rPr>
          <w:lang w:val="en-US"/>
        </w:rPr>
        <w:t>More sophisticated variants of the technology tend to operate at higher temperatures (&gt; 1,100</w:t>
      </w:r>
      <w:r w:rsidR="00AE2005">
        <w:rPr>
          <w:lang w:val="en-US"/>
        </w:rPr>
        <w:t>º</w:t>
      </w:r>
      <w:r>
        <w:rPr>
          <w:lang w:val="en-US"/>
        </w:rPr>
        <w:t>C) and longer secon</w:t>
      </w:r>
      <w:r w:rsidR="00AE2005">
        <w:rPr>
          <w:lang w:val="en-US"/>
        </w:rPr>
        <w:t xml:space="preserve">dary combustion chamber residence </w:t>
      </w:r>
      <w:r>
        <w:rPr>
          <w:lang w:val="en-US"/>
        </w:rPr>
        <w:t>times (&gt;1 sec). They are more likely to be equipped with advanced air pollution control systems and continuous enviro</w:t>
      </w:r>
      <w:r w:rsidR="00AE2005">
        <w:rPr>
          <w:lang w:val="en-US"/>
        </w:rPr>
        <w:t xml:space="preserve">nmental monitoring capability. </w:t>
      </w:r>
      <w:r>
        <w:rPr>
          <w:lang w:val="en-US"/>
        </w:rPr>
        <w:t xml:space="preserve">These facilities are qualified </w:t>
      </w:r>
      <w:r w:rsidR="00AE2005">
        <w:rPr>
          <w:lang w:val="en-US"/>
        </w:rPr>
        <w:t xml:space="preserve">more typically </w:t>
      </w:r>
      <w:r>
        <w:rPr>
          <w:lang w:val="en-US"/>
        </w:rPr>
        <w:t>for the destruction of a wide range of halogenated waste as a co-disposed waste stream</w:t>
      </w:r>
      <w:r w:rsidR="00AE2005" w:rsidRPr="00AE2005">
        <w:rPr>
          <w:lang w:val="en-US"/>
        </w:rPr>
        <w:t xml:space="preserve"> </w:t>
      </w:r>
      <w:r w:rsidR="00AE2005">
        <w:rPr>
          <w:lang w:val="en-US"/>
        </w:rPr>
        <w:t>in relatively small quantities</w:t>
      </w:r>
      <w:r>
        <w:rPr>
          <w:lang w:val="en-US"/>
        </w:rPr>
        <w:t>. T</w:t>
      </w:r>
      <w:r>
        <w:t>he qualification of the technology is highly facility specific and may entail facility specific compliance test burns.</w:t>
      </w:r>
      <w:r w:rsidR="00514300">
        <w:t xml:space="preserve"> </w:t>
      </w:r>
    </w:p>
    <w:p w14:paraId="61EFDA39" w14:textId="02044176" w:rsidR="001E78FA" w:rsidRDefault="001E78FA" w:rsidP="00275CBE">
      <w:pPr>
        <w:pStyle w:val="Heading2"/>
      </w:pPr>
      <w:bookmarkStart w:id="76" w:name="_Toc510531469"/>
      <w:r w:rsidRPr="00DC7FF4">
        <w:t>3.3</w:t>
      </w:r>
      <w:r w:rsidRPr="00DC7FF4">
        <w:tab/>
        <w:t>Plasma Technologies</w:t>
      </w:r>
      <w:bookmarkEnd w:id="76"/>
    </w:p>
    <w:p w14:paraId="74C4D223" w14:textId="5530D0D3" w:rsidR="00E42B79" w:rsidRPr="007C7560" w:rsidRDefault="00E42B79" w:rsidP="00E42B79">
      <w:pPr>
        <w:rPr>
          <w:lang w:val="en-US" w:eastAsia="en-US"/>
        </w:rPr>
      </w:pPr>
      <w:r>
        <w:rPr>
          <w:lang w:val="en-US" w:eastAsia="en-US"/>
        </w:rPr>
        <w:t>Plasma arc destruction generally occurs</w:t>
      </w:r>
      <w:r w:rsidRPr="007C7560">
        <w:rPr>
          <w:lang w:val="en-US" w:eastAsia="en-US"/>
        </w:rPr>
        <w:t xml:space="preserve"> by pyrolysis in an oxygen reduced environment at significantly higher temperatures than thermal oxidation. </w:t>
      </w:r>
      <w:r>
        <w:rPr>
          <w:lang w:val="en-US" w:eastAsia="en-US"/>
        </w:rPr>
        <w:t>Plasma arc technologies</w:t>
      </w:r>
      <w:r w:rsidRPr="007C7560">
        <w:rPr>
          <w:lang w:val="en-US" w:eastAsia="en-US"/>
        </w:rPr>
        <w:t xml:space="preserve"> </w:t>
      </w:r>
      <w:r>
        <w:rPr>
          <w:lang w:val="en-US" w:eastAsia="en-US"/>
        </w:rPr>
        <w:t>tend to differ from each other in</w:t>
      </w:r>
      <w:r w:rsidRPr="007C7560">
        <w:rPr>
          <w:lang w:val="en-US" w:eastAsia="en-US"/>
        </w:rPr>
        <w:t xml:space="preserve"> the </w:t>
      </w:r>
      <w:r>
        <w:rPr>
          <w:lang w:val="en-US" w:eastAsia="en-US"/>
        </w:rPr>
        <w:t xml:space="preserve">type of </w:t>
      </w:r>
      <w:r w:rsidRPr="007C7560">
        <w:rPr>
          <w:lang w:val="en-US" w:eastAsia="en-US"/>
        </w:rPr>
        <w:t xml:space="preserve">inert gases employed, the method of heat generation to </w:t>
      </w:r>
      <w:r>
        <w:rPr>
          <w:lang w:val="en-US" w:eastAsia="en-US"/>
        </w:rPr>
        <w:t>create</w:t>
      </w:r>
      <w:r w:rsidRPr="007C7560">
        <w:rPr>
          <w:lang w:val="en-US" w:eastAsia="en-US"/>
        </w:rPr>
        <w:t xml:space="preserve"> the plasma, and </w:t>
      </w:r>
      <w:r>
        <w:rPr>
          <w:lang w:val="en-US" w:eastAsia="en-US"/>
        </w:rPr>
        <w:t xml:space="preserve">the </w:t>
      </w:r>
      <w:r w:rsidRPr="007C7560">
        <w:rPr>
          <w:lang w:val="en-US" w:eastAsia="en-US"/>
        </w:rPr>
        <w:t xml:space="preserve">plasma torch/process containment vessel design. The pyrolysis process inherently offers high destruction efficiencies and can generally be assumed to have low exhaust gas emissions, particularly for </w:t>
      </w:r>
      <w:r w:rsidR="00887F31">
        <w:rPr>
          <w:lang w:val="en-US" w:eastAsia="en-US"/>
        </w:rPr>
        <w:t>dioxins/furans</w:t>
      </w:r>
      <w:r w:rsidRPr="007C7560">
        <w:rPr>
          <w:lang w:val="en-US" w:eastAsia="en-US"/>
        </w:rPr>
        <w:t>, although this requires process specific evaluation.</w:t>
      </w:r>
      <w:r w:rsidR="00514300">
        <w:rPr>
          <w:lang w:val="en-US" w:eastAsia="en-US"/>
        </w:rPr>
        <w:t xml:space="preserve"> </w:t>
      </w:r>
    </w:p>
    <w:p w14:paraId="525DC81E" w14:textId="73F97A77" w:rsidR="00E42B79" w:rsidRDefault="00E42B79" w:rsidP="00E42B79">
      <w:pPr>
        <w:rPr>
          <w:lang w:val="en-US" w:eastAsia="en-US"/>
        </w:rPr>
      </w:pPr>
      <w:r>
        <w:rPr>
          <w:lang w:val="en-US" w:eastAsia="en-US"/>
        </w:rPr>
        <w:t>A</w:t>
      </w:r>
      <w:r w:rsidRPr="007C7560">
        <w:rPr>
          <w:lang w:val="en-US" w:eastAsia="en-US"/>
        </w:rPr>
        <w:t xml:space="preserve"> concern raised in the literature is the </w:t>
      </w:r>
      <w:r>
        <w:rPr>
          <w:lang w:val="en-US" w:eastAsia="en-US"/>
        </w:rPr>
        <w:t>“inter</w:t>
      </w:r>
      <w:r w:rsidRPr="007C7560">
        <w:rPr>
          <w:lang w:val="en-US" w:eastAsia="en-US"/>
        </w:rPr>
        <w:t>conversion</w:t>
      </w:r>
      <w:r>
        <w:rPr>
          <w:lang w:val="en-US" w:eastAsia="en-US"/>
        </w:rPr>
        <w:t>”</w:t>
      </w:r>
      <w:r w:rsidRPr="007C7560">
        <w:rPr>
          <w:lang w:val="en-US" w:eastAsia="en-US"/>
        </w:rPr>
        <w:t xml:space="preserve"> </w:t>
      </w:r>
      <w:r>
        <w:rPr>
          <w:lang w:val="en-US" w:eastAsia="en-US"/>
        </w:rPr>
        <w:t>of</w:t>
      </w:r>
      <w:r w:rsidRPr="007C7560">
        <w:rPr>
          <w:lang w:val="en-US" w:eastAsia="en-US"/>
        </w:rPr>
        <w:t xml:space="preserve"> an ODS or HFC </w:t>
      </w:r>
      <w:r>
        <w:rPr>
          <w:lang w:val="en-US" w:eastAsia="en-US"/>
        </w:rPr>
        <w:t xml:space="preserve">to another ODS or HFC. For example, </w:t>
      </w:r>
      <w:r w:rsidRPr="007C7560">
        <w:rPr>
          <w:lang w:val="en-US" w:eastAsia="en-US"/>
        </w:rPr>
        <w:t>under some conditions, the DRE of CFC-12 (C</w:t>
      </w:r>
      <w:r>
        <w:rPr>
          <w:lang w:val="en-US" w:eastAsia="en-US"/>
        </w:rPr>
        <w:t>Cl</w:t>
      </w:r>
      <w:r w:rsidRPr="00377CC6">
        <w:rPr>
          <w:vertAlign w:val="subscript"/>
          <w:lang w:val="en-US" w:eastAsia="en-US"/>
        </w:rPr>
        <w:t>2</w:t>
      </w:r>
      <w:r>
        <w:rPr>
          <w:lang w:val="en-US" w:eastAsia="en-US"/>
        </w:rPr>
        <w:t>F</w:t>
      </w:r>
      <w:r w:rsidRPr="00377CC6">
        <w:rPr>
          <w:vertAlign w:val="subscript"/>
          <w:lang w:val="en-US" w:eastAsia="en-US"/>
        </w:rPr>
        <w:t>2</w:t>
      </w:r>
      <w:r>
        <w:rPr>
          <w:lang w:val="en-US" w:eastAsia="en-US"/>
        </w:rPr>
        <w:t>) was measured as 99.9998%</w:t>
      </w:r>
      <w:r w:rsidRPr="007C7560">
        <w:rPr>
          <w:lang w:val="en-US" w:eastAsia="en-US"/>
        </w:rPr>
        <w:t xml:space="preserve"> </w:t>
      </w:r>
      <w:r>
        <w:rPr>
          <w:lang w:val="en-US" w:eastAsia="en-US"/>
        </w:rPr>
        <w:t>although</w:t>
      </w:r>
      <w:r w:rsidRPr="007C7560">
        <w:rPr>
          <w:lang w:val="en-US" w:eastAsia="en-US"/>
        </w:rPr>
        <w:t xml:space="preserve"> this was accompanied by a conversion of 25% of the</w:t>
      </w:r>
      <w:r>
        <w:rPr>
          <w:lang w:val="en-US" w:eastAsia="en-US"/>
        </w:rPr>
        <w:t xml:space="preserve"> input CFC-12 to CFC-13 (CClF</w:t>
      </w:r>
      <w:r w:rsidRPr="00377CC6">
        <w:rPr>
          <w:vertAlign w:val="subscript"/>
          <w:lang w:val="en-US" w:eastAsia="en-US"/>
        </w:rPr>
        <w:t>3</w:t>
      </w:r>
      <w:r>
        <w:rPr>
          <w:lang w:val="en-US" w:eastAsia="en-US"/>
        </w:rPr>
        <w:t>)</w:t>
      </w:r>
      <w:r w:rsidRPr="007C7560">
        <w:rPr>
          <w:lang w:val="en-US" w:eastAsia="en-US"/>
        </w:rPr>
        <w:t xml:space="preserve">. </w:t>
      </w:r>
      <w:r>
        <w:rPr>
          <w:lang w:val="en-US" w:eastAsia="en-US"/>
        </w:rPr>
        <w:t xml:space="preserve">According to the literature, </w:t>
      </w:r>
      <w:r w:rsidRPr="007C7560">
        <w:rPr>
          <w:lang w:val="en-US" w:eastAsia="en-US"/>
        </w:rPr>
        <w:t xml:space="preserve">replacing oxygen </w:t>
      </w:r>
      <w:r>
        <w:rPr>
          <w:lang w:val="en-US" w:eastAsia="en-US"/>
        </w:rPr>
        <w:t>with</w:t>
      </w:r>
      <w:r w:rsidRPr="007C7560">
        <w:rPr>
          <w:lang w:val="en-US" w:eastAsia="en-US"/>
        </w:rPr>
        <w:t xml:space="preserve"> steam</w:t>
      </w:r>
      <w:r>
        <w:rPr>
          <w:lang w:val="en-US" w:eastAsia="en-US"/>
        </w:rPr>
        <w:t xml:space="preserve"> reduces</w:t>
      </w:r>
      <w:r w:rsidRPr="007C7560">
        <w:rPr>
          <w:lang w:val="en-US" w:eastAsia="en-US"/>
        </w:rPr>
        <w:t xml:space="preserve"> interconversion reactions to a negligible level.</w:t>
      </w:r>
      <w:r>
        <w:rPr>
          <w:lang w:val="en-US" w:eastAsia="en-US"/>
        </w:rPr>
        <w:t xml:space="preserve"> I</w:t>
      </w:r>
      <w:r w:rsidRPr="007C7560">
        <w:rPr>
          <w:lang w:val="en-US" w:eastAsia="en-US"/>
        </w:rPr>
        <w:t>nterconversion should be taken into account when determining the DRE</w:t>
      </w:r>
      <w:r>
        <w:rPr>
          <w:lang w:val="en-US" w:eastAsia="en-US"/>
        </w:rPr>
        <w:t>, according to the 2002 TFDT Report</w:t>
      </w:r>
      <w:r w:rsidRPr="007C7560">
        <w:rPr>
          <w:lang w:val="en-US" w:eastAsia="en-US"/>
        </w:rPr>
        <w:t>.</w:t>
      </w:r>
      <w:r>
        <w:rPr>
          <w:lang w:val="en-US" w:eastAsia="en-US"/>
        </w:rPr>
        <w:t xml:space="preserve"> I</w:t>
      </w:r>
      <w:r w:rsidRPr="007C7560">
        <w:rPr>
          <w:lang w:val="en-US" w:eastAsia="en-US"/>
        </w:rPr>
        <w:t xml:space="preserve">t is recommended that destruction technologies should be operated to avoid interconversions and generation of other </w:t>
      </w:r>
      <w:r>
        <w:rPr>
          <w:lang w:val="en-US" w:eastAsia="en-US"/>
        </w:rPr>
        <w:t>HFCs</w:t>
      </w:r>
      <w:r w:rsidRPr="007C7560">
        <w:rPr>
          <w:lang w:val="en-US" w:eastAsia="en-US"/>
        </w:rPr>
        <w:t>. It is further recommended that</w:t>
      </w:r>
      <w:r>
        <w:rPr>
          <w:lang w:val="en-US" w:eastAsia="en-US"/>
        </w:rPr>
        <w:t>,</w:t>
      </w:r>
      <w:r w:rsidRPr="007C7560">
        <w:rPr>
          <w:lang w:val="en-US" w:eastAsia="en-US"/>
        </w:rPr>
        <w:t xml:space="preserve"> in the absence of data, evaluation of interconversion be undertaken </w:t>
      </w:r>
      <w:r>
        <w:rPr>
          <w:lang w:val="en-US" w:eastAsia="en-US"/>
        </w:rPr>
        <w:t xml:space="preserve">on a </w:t>
      </w:r>
      <w:r w:rsidR="00475A5D">
        <w:rPr>
          <w:lang w:val="en-US" w:eastAsia="en-US"/>
        </w:rPr>
        <w:t xml:space="preserve">plasma arc </w:t>
      </w:r>
      <w:r>
        <w:rPr>
          <w:lang w:val="en-US" w:eastAsia="en-US"/>
        </w:rPr>
        <w:t xml:space="preserve">technology </w:t>
      </w:r>
      <w:r w:rsidRPr="007C7560">
        <w:rPr>
          <w:lang w:val="en-US" w:eastAsia="en-US"/>
        </w:rPr>
        <w:t>specific basis.</w:t>
      </w:r>
    </w:p>
    <w:p w14:paraId="27201E2F" w14:textId="2632256B" w:rsidR="00E42B79" w:rsidRPr="007C7560" w:rsidRDefault="00E42B79" w:rsidP="00E42B79">
      <w:pPr>
        <w:rPr>
          <w:lang w:val="en-US" w:eastAsia="en-US"/>
        </w:rPr>
      </w:pPr>
      <w:r w:rsidRPr="007C7560">
        <w:rPr>
          <w:lang w:val="en-US" w:eastAsia="en-US"/>
        </w:rPr>
        <w:t>Limitations associated with th</w:t>
      </w:r>
      <w:r w:rsidR="00BF1A30">
        <w:rPr>
          <w:lang w:val="en-US" w:eastAsia="en-US"/>
        </w:rPr>
        <w:t>is</w:t>
      </w:r>
      <w:r w:rsidRPr="007C7560">
        <w:rPr>
          <w:lang w:val="en-US" w:eastAsia="en-US"/>
        </w:rPr>
        <w:t xml:space="preserve"> technology are their relatively high energy input requirements, need for assured consumable supply</w:t>
      </w:r>
      <w:r w:rsidR="00455D31">
        <w:rPr>
          <w:lang w:val="en-US" w:eastAsia="en-US"/>
        </w:rPr>
        <w:t xml:space="preserve"> in some cases</w:t>
      </w:r>
      <w:r w:rsidRPr="007C7560">
        <w:rPr>
          <w:lang w:val="en-US" w:eastAsia="en-US"/>
        </w:rPr>
        <w:t xml:space="preserve">, the general requirement for disposal of halide air emission treatment residues, and in some cases high technical support </w:t>
      </w:r>
      <w:r>
        <w:rPr>
          <w:lang w:val="en-US" w:eastAsia="en-US"/>
        </w:rPr>
        <w:t>and maintenance requirements.</w:t>
      </w:r>
      <w:r w:rsidR="00514300">
        <w:rPr>
          <w:lang w:val="en-US" w:eastAsia="en-US"/>
        </w:rPr>
        <w:t xml:space="preserve"> </w:t>
      </w:r>
    </w:p>
    <w:p w14:paraId="76525A95" w14:textId="77777777" w:rsidR="00E42B79" w:rsidRDefault="00E42B79" w:rsidP="00275CBE">
      <w:pPr>
        <w:pStyle w:val="Heading3"/>
      </w:pPr>
      <w:bookmarkStart w:id="77" w:name="_Toc508228174"/>
      <w:bookmarkStart w:id="78" w:name="_Ref510530569"/>
      <w:bookmarkStart w:id="79" w:name="_Toc510531470"/>
      <w:bookmarkStart w:id="80" w:name="_Toc505079425"/>
      <w:r w:rsidRPr="00DC7FF4">
        <w:t>3.3.1</w:t>
      </w:r>
      <w:r w:rsidRPr="00DC7FF4">
        <w:tab/>
        <w:t>Argon Plasma Arc</w:t>
      </w:r>
      <w:bookmarkEnd w:id="77"/>
      <w:bookmarkEnd w:id="78"/>
      <w:bookmarkEnd w:id="79"/>
    </w:p>
    <w:p w14:paraId="5069FB8A" w14:textId="2AF438B7" w:rsidR="00E42B79" w:rsidRDefault="00E42B79" w:rsidP="00E42B79">
      <w:pPr>
        <w:rPr>
          <w:lang w:val="en-AU"/>
        </w:rPr>
      </w:pPr>
      <w:r>
        <w:rPr>
          <w:lang w:val="en-AU"/>
        </w:rPr>
        <w:t xml:space="preserve">This pyrolysis process mixes liquid or gaseous waste </w:t>
      </w:r>
      <w:r w:rsidRPr="00B25A47">
        <w:rPr>
          <w:lang w:val="en-AU"/>
        </w:rPr>
        <w:t xml:space="preserve">directly with </w:t>
      </w:r>
      <w:r>
        <w:rPr>
          <w:lang w:val="en-AU"/>
        </w:rPr>
        <w:t>an</w:t>
      </w:r>
      <w:r w:rsidRPr="00B25A47">
        <w:rPr>
          <w:lang w:val="en-AU"/>
        </w:rPr>
        <w:t xml:space="preserve"> argon plasma jet</w:t>
      </w:r>
      <w:r>
        <w:rPr>
          <w:lang w:val="en-AU"/>
        </w:rPr>
        <w:t xml:space="preserve"> (“in flight”) generated by an electric plasma torch</w:t>
      </w:r>
      <w:r w:rsidRPr="00B25A47">
        <w:rPr>
          <w:lang w:val="en-AU"/>
        </w:rPr>
        <w:t xml:space="preserve">. Argon </w:t>
      </w:r>
      <w:r>
        <w:rPr>
          <w:lang w:val="en-AU"/>
        </w:rPr>
        <w:t xml:space="preserve">prevents reactions with </w:t>
      </w:r>
      <w:r w:rsidRPr="00B25A47">
        <w:rPr>
          <w:lang w:val="en-AU"/>
        </w:rPr>
        <w:t>the torch components.</w:t>
      </w:r>
      <w:r>
        <w:rPr>
          <w:lang w:val="en-AU"/>
        </w:rPr>
        <w:t xml:space="preserve"> </w:t>
      </w:r>
      <w:r w:rsidRPr="00B25A47">
        <w:rPr>
          <w:lang w:val="en-AU"/>
        </w:rPr>
        <w:t xml:space="preserve">Waste is rapidly heated in the reaction chamber (a flight tube) to about </w:t>
      </w:r>
      <w:r>
        <w:rPr>
          <w:lang w:val="en-AU"/>
        </w:rPr>
        <w:t>3,000</w:t>
      </w:r>
      <w:r w:rsidRPr="00B25A47">
        <w:rPr>
          <w:lang w:val="en-AU"/>
        </w:rPr>
        <w:t>ºC</w:t>
      </w:r>
      <w:r>
        <w:rPr>
          <w:lang w:val="en-AU"/>
        </w:rPr>
        <w:t xml:space="preserve"> </w:t>
      </w:r>
      <w:r w:rsidRPr="00B25A47">
        <w:rPr>
          <w:lang w:val="en-AU"/>
        </w:rPr>
        <w:t>where pyrolysis occurs.</w:t>
      </w:r>
      <w:r w:rsidRPr="00124419">
        <w:rPr>
          <w:lang w:val="en-AU"/>
        </w:rPr>
        <w:t xml:space="preserve"> Pyrolysis is followed by rapid alkaline quenching</w:t>
      </w:r>
      <w:r>
        <w:rPr>
          <w:lang w:val="en-AU"/>
        </w:rPr>
        <w:t xml:space="preserve"> </w:t>
      </w:r>
      <w:r w:rsidRPr="00124419">
        <w:rPr>
          <w:lang w:val="en-AU"/>
        </w:rPr>
        <w:t>to less than 100ºC</w:t>
      </w:r>
      <w:r>
        <w:rPr>
          <w:lang w:val="en-AU"/>
        </w:rPr>
        <w:t xml:space="preserve">, which </w:t>
      </w:r>
      <w:r w:rsidRPr="00124419">
        <w:rPr>
          <w:lang w:val="en-AU"/>
        </w:rPr>
        <w:t>limits the</w:t>
      </w:r>
      <w:r>
        <w:rPr>
          <w:lang w:val="en-AU"/>
        </w:rPr>
        <w:t xml:space="preserve"> </w:t>
      </w:r>
      <w:r w:rsidRPr="00124419">
        <w:rPr>
          <w:lang w:val="en-AU"/>
        </w:rPr>
        <w:t xml:space="preserve">formation of </w:t>
      </w:r>
      <w:r w:rsidR="00887F31">
        <w:rPr>
          <w:lang w:val="en-AU"/>
        </w:rPr>
        <w:t>dioxins/furans</w:t>
      </w:r>
      <w:r>
        <w:rPr>
          <w:lang w:val="en-AU"/>
        </w:rPr>
        <w:t>, followed by exhaust gas passing through a caus</w:t>
      </w:r>
      <w:r w:rsidR="0001082B">
        <w:rPr>
          <w:lang w:val="en-AU"/>
        </w:rPr>
        <w:t xml:space="preserve">tic scrubber prior to release. </w:t>
      </w:r>
      <w:r>
        <w:rPr>
          <w:lang w:val="en-AU"/>
        </w:rPr>
        <w:t>A recently introduced refinement of technology is understood to involve additional off-gas treatment.</w:t>
      </w:r>
    </w:p>
    <w:p w14:paraId="0CE3CF41" w14:textId="53C0A878" w:rsidR="00E42B79" w:rsidRDefault="0001082B" w:rsidP="00E42B79">
      <w:pPr>
        <w:rPr>
          <w:lang w:val="en-AU"/>
        </w:rPr>
      </w:pPr>
      <w:r>
        <w:rPr>
          <w:lang w:val="en-AU"/>
        </w:rPr>
        <w:t>Argon plasma arc is a well-</w:t>
      </w:r>
      <w:r w:rsidR="00E42B79">
        <w:rPr>
          <w:lang w:val="en-AU"/>
        </w:rPr>
        <w:t>established technology with more than 25 years of experimental and commercial experience in the destruction of</w:t>
      </w:r>
      <w:r>
        <w:rPr>
          <w:lang w:val="en-AU"/>
        </w:rPr>
        <w:t xml:space="preserve"> CFCs, HCFCs, halons and HFCs. Worldwide it is understood that</w:t>
      </w:r>
      <w:r w:rsidR="00E42B79">
        <w:rPr>
          <w:lang w:val="en-AU"/>
        </w:rPr>
        <w:t xml:space="preserve"> 12 units are operated commercially, largely for ODS and HFC destruction, including in Australia (4 </w:t>
      </w:r>
      <w:r w:rsidR="00E42B79" w:rsidRPr="00EA261B">
        <w:rPr>
          <w:lang w:val="en-AU"/>
        </w:rPr>
        <w:t>units)</w:t>
      </w:r>
      <w:r w:rsidR="00E42B79" w:rsidRPr="00355437">
        <w:rPr>
          <w:lang w:val="en-AU"/>
        </w:rPr>
        <w:t>,</w:t>
      </w:r>
      <w:r w:rsidR="00E42B79" w:rsidRPr="00EA261B">
        <w:rPr>
          <w:lang w:val="en-AU"/>
        </w:rPr>
        <w:t xml:space="preserve"> Japan (4 units), Mex</w:t>
      </w:r>
      <w:r w:rsidR="00E42B79" w:rsidRPr="00FB50B8">
        <w:rPr>
          <w:lang w:val="en-AU"/>
        </w:rPr>
        <w:t>ico (2 units), and the United States (2 units), with reported development projects in Canada</w:t>
      </w:r>
      <w:r w:rsidR="00E42B79">
        <w:rPr>
          <w:lang w:val="en-AU"/>
        </w:rPr>
        <w:t xml:space="preserve"> and in the Russian Federation and/or Belarus associated with a GEF project. </w:t>
      </w:r>
    </w:p>
    <w:p w14:paraId="1A92963B" w14:textId="4CDA6D54" w:rsidR="00E42B79" w:rsidRDefault="00E42B79" w:rsidP="00E42B79">
      <w:pPr>
        <w:rPr>
          <w:lang w:val="en-AU"/>
        </w:rPr>
      </w:pPr>
      <w:r>
        <w:rPr>
          <w:lang w:val="en-AU"/>
        </w:rPr>
        <w:lastRenderedPageBreak/>
        <w:t xml:space="preserve">The technology was specifically identified in the submission from Australia for application to HFCs, with supporting information provided </w:t>
      </w:r>
      <w:r w:rsidR="00856201">
        <w:rPr>
          <w:lang w:val="en-AU"/>
        </w:rPr>
        <w:t xml:space="preserve">by </w:t>
      </w:r>
      <w:r>
        <w:rPr>
          <w:lang w:val="en-AU"/>
        </w:rPr>
        <w:t>two operators/technology suppliers</w:t>
      </w:r>
      <w:r w:rsidR="00856201">
        <w:rPr>
          <w:lang w:val="en-AU"/>
        </w:rPr>
        <w:t>.</w:t>
      </w:r>
      <w:r w:rsidR="00514300">
        <w:rPr>
          <w:lang w:val="en-AU"/>
        </w:rPr>
        <w:t xml:space="preserve"> </w:t>
      </w:r>
      <w:r w:rsidR="00856201">
        <w:rPr>
          <w:lang w:val="en-AU"/>
        </w:rPr>
        <w:t>A</w:t>
      </w:r>
      <w:r>
        <w:rPr>
          <w:lang w:val="en-AU"/>
        </w:rPr>
        <w:t xml:space="preserve">dditional data applicable to HFC destruction in the </w:t>
      </w:r>
      <w:r w:rsidR="00064527">
        <w:rPr>
          <w:lang w:val="en-AU"/>
        </w:rPr>
        <w:t>United States</w:t>
      </w:r>
      <w:r>
        <w:rPr>
          <w:lang w:val="en-AU"/>
        </w:rPr>
        <w:t xml:space="preserve"> us</w:t>
      </w:r>
      <w:r w:rsidR="00856201">
        <w:rPr>
          <w:lang w:val="en-AU"/>
        </w:rPr>
        <w:t>es</w:t>
      </w:r>
      <w:r>
        <w:rPr>
          <w:lang w:val="en-AU"/>
        </w:rPr>
        <w:t xml:space="preserve"> the same technology. It was also identified in Mexico’s submission as being applied to HFCs with limited supporting performance data.</w:t>
      </w:r>
      <w:r w:rsidR="00514300">
        <w:rPr>
          <w:lang w:val="en-AU"/>
        </w:rPr>
        <w:t xml:space="preserve"> </w:t>
      </w:r>
      <w:r>
        <w:rPr>
          <w:lang w:val="en-AU"/>
        </w:rPr>
        <w:t>Canada identified a refrigeration servicing company that is in the process of developing a</w:t>
      </w:r>
      <w:r w:rsidR="00B1622B">
        <w:rPr>
          <w:lang w:val="en-AU"/>
        </w:rPr>
        <w:t xml:space="preserve"> </w:t>
      </w:r>
      <w:r>
        <w:rPr>
          <w:lang w:val="en-AU"/>
        </w:rPr>
        <w:t xml:space="preserve">plant for ODS and HFC refrigerant destruction. </w:t>
      </w:r>
    </w:p>
    <w:p w14:paraId="049A0FF5" w14:textId="08B6F714" w:rsidR="00E42B79" w:rsidRPr="002F7331" w:rsidRDefault="00E31656" w:rsidP="00E42B79">
      <w:r>
        <w:rPr>
          <w:lang w:val="en-AU"/>
        </w:rPr>
        <w:t>At the time of</w:t>
      </w:r>
      <w:r w:rsidR="00E42B79" w:rsidRPr="00B30EEA">
        <w:rPr>
          <w:lang w:val="en-AU"/>
        </w:rPr>
        <w:t xml:space="preserve"> writing, </w:t>
      </w:r>
      <w:r w:rsidR="00CC035D">
        <w:rPr>
          <w:lang w:val="en-AU"/>
        </w:rPr>
        <w:t xml:space="preserve">either </w:t>
      </w:r>
      <w:r>
        <w:rPr>
          <w:lang w:val="en-AU"/>
        </w:rPr>
        <w:t>emissions data are</w:t>
      </w:r>
      <w:r w:rsidR="00E42B79">
        <w:rPr>
          <w:lang w:val="en-AU"/>
        </w:rPr>
        <w:t xml:space="preserve"> high</w:t>
      </w:r>
      <w:r>
        <w:rPr>
          <w:lang w:val="en-AU"/>
        </w:rPr>
        <w:t>er than performance criteria (for CO)</w:t>
      </w:r>
      <w:r w:rsidR="00E42B79">
        <w:rPr>
          <w:lang w:val="en-AU"/>
        </w:rPr>
        <w:t xml:space="preserve"> or</w:t>
      </w:r>
      <w:r w:rsidR="00E42B79" w:rsidRPr="00B30EEA">
        <w:rPr>
          <w:lang w:val="en-AU"/>
        </w:rPr>
        <w:t xml:space="preserve"> </w:t>
      </w:r>
      <w:r w:rsidR="00CC035D">
        <w:rPr>
          <w:lang w:val="en-AU"/>
        </w:rPr>
        <w:t xml:space="preserve">are </w:t>
      </w:r>
      <w:r w:rsidR="00E42B79" w:rsidRPr="00B30EEA">
        <w:rPr>
          <w:lang w:val="en-AU"/>
        </w:rPr>
        <w:t xml:space="preserve">presently </w:t>
      </w:r>
      <w:r w:rsidR="00E42B79">
        <w:rPr>
          <w:lang w:val="en-AU"/>
        </w:rPr>
        <w:t>un</w:t>
      </w:r>
      <w:r w:rsidR="00E42B79" w:rsidRPr="00B30EEA">
        <w:rPr>
          <w:lang w:val="en-AU"/>
        </w:rPr>
        <w:t>available to undertake a performance criteria assessment</w:t>
      </w:r>
      <w:r w:rsidR="00A27252">
        <w:rPr>
          <w:lang w:val="en-AU"/>
        </w:rPr>
        <w:t>, therefore,</w:t>
      </w:r>
      <w:r w:rsidR="00E42B79">
        <w:rPr>
          <w:lang w:val="en-AU"/>
        </w:rPr>
        <w:t xml:space="preserve"> </w:t>
      </w:r>
      <w:r w:rsidRPr="0078658C">
        <w:rPr>
          <w:b/>
          <w:u w:val="single"/>
          <w:lang w:val="en-AU"/>
        </w:rPr>
        <w:t>A</w:t>
      </w:r>
      <w:r w:rsidR="00E42B79" w:rsidRPr="0078658C">
        <w:rPr>
          <w:b/>
          <w:u w:val="single"/>
          <w:lang w:val="en-AU"/>
        </w:rPr>
        <w:t xml:space="preserve">rgon plasma arc </w:t>
      </w:r>
      <w:r w:rsidR="00E42B79" w:rsidRPr="0078658C">
        <w:rPr>
          <w:b/>
          <w:u w:val="single"/>
        </w:rPr>
        <w:t>is r</w:t>
      </w:r>
      <w:r w:rsidR="0001082B" w:rsidRPr="0078658C">
        <w:rPr>
          <w:b/>
          <w:u w:val="single"/>
        </w:rPr>
        <w:t>ecommended</w:t>
      </w:r>
      <w:r w:rsidR="0001082B">
        <w:rPr>
          <w:b/>
          <w:u w:val="single"/>
        </w:rPr>
        <w:t xml:space="preserve"> as </w:t>
      </w:r>
      <w:r w:rsidR="00E42B79" w:rsidRPr="0001082B">
        <w:rPr>
          <w:b/>
          <w:i/>
          <w:u w:val="single"/>
        </w:rPr>
        <w:t>high potential</w:t>
      </w:r>
      <w:r w:rsidR="00E42B79">
        <w:rPr>
          <w:b/>
          <w:u w:val="single"/>
        </w:rPr>
        <w:t xml:space="preserve"> </w:t>
      </w:r>
      <w:r w:rsidR="0001082B">
        <w:rPr>
          <w:b/>
          <w:u w:val="single"/>
        </w:rPr>
        <w:t>for applicability</w:t>
      </w:r>
      <w:r w:rsidR="00E42B79">
        <w:rPr>
          <w:b/>
          <w:u w:val="single"/>
        </w:rPr>
        <w:t xml:space="preserve"> </w:t>
      </w:r>
      <w:r w:rsidR="008F1045">
        <w:rPr>
          <w:b/>
          <w:u w:val="single"/>
        </w:rPr>
        <w:t xml:space="preserve">to </w:t>
      </w:r>
      <w:r w:rsidR="00E42B79">
        <w:rPr>
          <w:b/>
          <w:u w:val="single"/>
        </w:rPr>
        <w:t>HFC</w:t>
      </w:r>
      <w:r>
        <w:rPr>
          <w:b/>
          <w:u w:val="single"/>
        </w:rPr>
        <w:t>s</w:t>
      </w:r>
      <w:r w:rsidR="008F1045">
        <w:rPr>
          <w:b/>
          <w:u w:val="single"/>
        </w:rPr>
        <w:t xml:space="preserve"> destruction</w:t>
      </w:r>
      <w:r w:rsidR="00B26A48">
        <w:rPr>
          <w:b/>
          <w:u w:val="single"/>
        </w:rPr>
        <w:t>,</w:t>
      </w:r>
      <w:r w:rsidR="00E42B79">
        <w:rPr>
          <w:b/>
          <w:u w:val="single"/>
        </w:rPr>
        <w:t xml:space="preserve"> </w:t>
      </w:r>
      <w:r w:rsidR="00D73CD1">
        <w:rPr>
          <w:b/>
          <w:u w:val="single"/>
        </w:rPr>
        <w:t>including HFC-23</w:t>
      </w:r>
      <w:r w:rsidR="00E42B79">
        <w:t xml:space="preserve">. </w:t>
      </w:r>
    </w:p>
    <w:p w14:paraId="2562D829" w14:textId="77777777" w:rsidR="00E42B79" w:rsidRPr="006C0C5C" w:rsidRDefault="00E42B79" w:rsidP="00275CBE">
      <w:pPr>
        <w:pStyle w:val="Heading4"/>
      </w:pPr>
      <w:r w:rsidRPr="00DC7FF4">
        <w:t>3.3.1.1</w:t>
      </w:r>
      <w:r w:rsidRPr="00DC7FF4">
        <w:tab/>
        <w:t>Experience with HFC destruction</w:t>
      </w:r>
    </w:p>
    <w:p w14:paraId="5C0B7289" w14:textId="3AAA0A8B" w:rsidR="00E42B79" w:rsidRDefault="00E42B79" w:rsidP="00E42B79">
      <w:pPr>
        <w:rPr>
          <w:rFonts w:eastAsia="Times New Roman"/>
          <w:lang w:val="en-AU"/>
        </w:rPr>
      </w:pPr>
      <w:r>
        <w:rPr>
          <w:rFonts w:eastAsia="Times New Roman"/>
          <w:lang w:val="en-AU"/>
        </w:rPr>
        <w:t>As indicated above, the technology is understood to have application in at least three countries (Australia, Mexico and the U</w:t>
      </w:r>
      <w:r w:rsidR="00E31656">
        <w:rPr>
          <w:rFonts w:eastAsia="Times New Roman"/>
          <w:lang w:val="en-AU"/>
        </w:rPr>
        <w:t xml:space="preserve">nited </w:t>
      </w:r>
      <w:r>
        <w:rPr>
          <w:rFonts w:eastAsia="Times New Roman"/>
          <w:lang w:val="en-AU"/>
        </w:rPr>
        <w:t>S</w:t>
      </w:r>
      <w:r w:rsidR="00E31656">
        <w:rPr>
          <w:rFonts w:eastAsia="Times New Roman"/>
          <w:lang w:val="en-AU"/>
        </w:rPr>
        <w:t>tates</w:t>
      </w:r>
      <w:r>
        <w:rPr>
          <w:rFonts w:eastAsia="Times New Roman"/>
          <w:lang w:val="en-AU"/>
        </w:rPr>
        <w:t>), with Mexico and the U</w:t>
      </w:r>
      <w:r w:rsidR="00E31656">
        <w:rPr>
          <w:rFonts w:eastAsia="Times New Roman"/>
          <w:lang w:val="en-AU"/>
        </w:rPr>
        <w:t xml:space="preserve">nited </w:t>
      </w:r>
      <w:r>
        <w:rPr>
          <w:rFonts w:eastAsia="Times New Roman"/>
          <w:lang w:val="en-AU"/>
        </w:rPr>
        <w:t>S</w:t>
      </w:r>
      <w:r w:rsidR="00E31656">
        <w:rPr>
          <w:rFonts w:eastAsia="Times New Roman"/>
          <w:lang w:val="en-AU"/>
        </w:rPr>
        <w:t>tates</w:t>
      </w:r>
      <w:r>
        <w:rPr>
          <w:rFonts w:eastAsia="Times New Roman"/>
          <w:lang w:val="en-AU"/>
        </w:rPr>
        <w:t xml:space="preserve"> facilities having available performance demonstration data for comparison with the performance criteria. It may also be utilized for refrigerant destruction in Japan. The HFC destruction applications identified are HFC-134a and HFC-23 in Mexico (the latter for a CDM projec</w:t>
      </w:r>
      <w:r w:rsidR="00514300">
        <w:rPr>
          <w:rFonts w:eastAsia="Times New Roman"/>
          <w:lang w:val="en-AU"/>
        </w:rPr>
        <w:t>t</w:t>
      </w:r>
      <w:r w:rsidR="00064527">
        <w:rPr>
          <w:rFonts w:eastAsia="Times New Roman"/>
          <w:lang w:val="en-AU"/>
        </w:rPr>
        <w:t>) and HFC-23 in th</w:t>
      </w:r>
      <w:r w:rsidR="00514300">
        <w:rPr>
          <w:rFonts w:eastAsia="Times New Roman"/>
          <w:lang w:val="en-AU"/>
        </w:rPr>
        <w:t>e United States</w:t>
      </w:r>
      <w:r>
        <w:rPr>
          <w:rFonts w:eastAsia="Times New Roman"/>
          <w:lang w:val="en-AU"/>
        </w:rPr>
        <w:t>.</w:t>
      </w:r>
      <w:r w:rsidR="00514300">
        <w:rPr>
          <w:rFonts w:eastAsia="Times New Roman"/>
          <w:lang w:val="en-AU"/>
        </w:rPr>
        <w:t xml:space="preserve"> </w:t>
      </w:r>
      <w:r>
        <w:rPr>
          <w:rFonts w:eastAsia="Times New Roman"/>
          <w:lang w:val="en-AU"/>
        </w:rPr>
        <w:t>Mexico reported 26.7 tonnes of HFC-134a destroyed over a 3-month period in 2015, and</w:t>
      </w:r>
      <w:r w:rsidR="004A0FC5">
        <w:rPr>
          <w:rFonts w:eastAsia="Times New Roman"/>
          <w:lang w:val="en-AU"/>
        </w:rPr>
        <w:t xml:space="preserve">, with reference to one monitoring period </w:t>
      </w:r>
      <w:r w:rsidR="00B20B20">
        <w:rPr>
          <w:rFonts w:eastAsia="Times New Roman"/>
          <w:lang w:val="en-AU"/>
        </w:rPr>
        <w:t xml:space="preserve">for the CDM project, </w:t>
      </w:r>
      <w:r>
        <w:rPr>
          <w:rFonts w:eastAsia="Times New Roman"/>
          <w:lang w:val="en-AU"/>
        </w:rPr>
        <w:t>52.4 tonnes HFC-23 during and 3-month period in 2009</w:t>
      </w:r>
      <w:r w:rsidR="00C55FA0">
        <w:rPr>
          <w:rFonts w:eastAsia="Times New Roman"/>
          <w:lang w:val="en-AU"/>
        </w:rPr>
        <w:t>, with a reported DRE of &gt;99.9999%</w:t>
      </w:r>
      <w:r w:rsidR="00C55FA0">
        <w:rPr>
          <w:rStyle w:val="FootnoteReference"/>
          <w:rFonts w:eastAsia="Times New Roman"/>
          <w:lang w:val="en-AU"/>
        </w:rPr>
        <w:footnoteReference w:id="53"/>
      </w:r>
      <w:r>
        <w:rPr>
          <w:rFonts w:eastAsia="Times New Roman"/>
          <w:lang w:val="en-AU"/>
        </w:rPr>
        <w:t>. Australia is understood to destroy a variety of HCFC</w:t>
      </w:r>
      <w:r w:rsidR="00887F31">
        <w:rPr>
          <w:rFonts w:eastAsia="Times New Roman"/>
          <w:lang w:val="en-AU"/>
        </w:rPr>
        <w:t>/HFC</w:t>
      </w:r>
      <w:r>
        <w:rPr>
          <w:rFonts w:eastAsia="Times New Roman"/>
          <w:lang w:val="en-AU"/>
        </w:rPr>
        <w:t xml:space="preserve"> blends, which currently contain 87% HFCs.</w:t>
      </w:r>
      <w:r w:rsidR="00514300">
        <w:rPr>
          <w:rFonts w:eastAsia="Times New Roman"/>
          <w:lang w:val="en-AU"/>
        </w:rPr>
        <w:t xml:space="preserve"> </w:t>
      </w:r>
    </w:p>
    <w:p w14:paraId="3E35E336" w14:textId="77777777" w:rsidR="00E42B79" w:rsidRPr="0001082B" w:rsidRDefault="00E42B79" w:rsidP="00275CBE">
      <w:pPr>
        <w:pStyle w:val="Heading4"/>
      </w:pPr>
      <w:r w:rsidRPr="0001082B">
        <w:t>3.3.1.2</w:t>
      </w:r>
      <w:r w:rsidRPr="0001082B">
        <w:tab/>
        <w:t>Assessment of applicability to HFCs using performance criteria</w:t>
      </w:r>
    </w:p>
    <w:p w14:paraId="48130302" w14:textId="350F9E2B" w:rsidR="0001082B" w:rsidRDefault="00E42B79" w:rsidP="0001082B">
      <w:pPr>
        <w:rPr>
          <w:lang w:val="en-AU"/>
        </w:rPr>
      </w:pPr>
      <w:r w:rsidRPr="000D2BC4">
        <w:rPr>
          <w:lang w:val="en-AU"/>
        </w:rPr>
        <w:t>Performance data, while not entirely complete</w:t>
      </w:r>
      <w:r>
        <w:rPr>
          <w:lang w:val="en-AU"/>
        </w:rPr>
        <w:t>, were</w:t>
      </w:r>
      <w:r w:rsidRPr="000D2BC4">
        <w:rPr>
          <w:lang w:val="en-AU"/>
        </w:rPr>
        <w:t xml:space="preserve"> submitted for HFC destruction at facilities in Mexico and the United States</w:t>
      </w:r>
      <w:r>
        <w:rPr>
          <w:lang w:val="en-AU"/>
        </w:rPr>
        <w:t xml:space="preserve"> for the destruction of HFC-134a and HFC-23</w:t>
      </w:r>
      <w:r w:rsidRPr="000D2BC4">
        <w:rPr>
          <w:lang w:val="en-AU"/>
        </w:rPr>
        <w:t>.</w:t>
      </w:r>
      <w:r w:rsidR="00514300">
        <w:rPr>
          <w:lang w:val="en-AU"/>
        </w:rPr>
        <w:t xml:space="preserve"> </w:t>
      </w:r>
      <w:r>
        <w:rPr>
          <w:lang w:val="en-AU"/>
        </w:rPr>
        <w:t>DRE &gt; 99.</w:t>
      </w:r>
      <w:r w:rsidR="0001082B">
        <w:rPr>
          <w:lang w:val="en-AU"/>
        </w:rPr>
        <w:t xml:space="preserve">99% was </w:t>
      </w:r>
      <w:r w:rsidR="00455D31">
        <w:rPr>
          <w:lang w:val="en-AU"/>
        </w:rPr>
        <w:t xml:space="preserve">indicated </w:t>
      </w:r>
      <w:r w:rsidR="0001082B">
        <w:rPr>
          <w:lang w:val="en-AU"/>
        </w:rPr>
        <w:t xml:space="preserve">in all cases. </w:t>
      </w:r>
      <w:r w:rsidRPr="000D2BC4">
        <w:rPr>
          <w:lang w:val="en-AU"/>
        </w:rPr>
        <w:t xml:space="preserve">No </w:t>
      </w:r>
      <w:r w:rsidR="00887F31">
        <w:rPr>
          <w:lang w:val="en-AU"/>
        </w:rPr>
        <w:t>dioxin</w:t>
      </w:r>
      <w:r w:rsidR="00974994">
        <w:rPr>
          <w:lang w:val="en-AU"/>
        </w:rPr>
        <w:t>s</w:t>
      </w:r>
      <w:r w:rsidR="00887F31">
        <w:rPr>
          <w:lang w:val="en-AU"/>
        </w:rPr>
        <w:t>/furan</w:t>
      </w:r>
      <w:r w:rsidR="00974994">
        <w:rPr>
          <w:lang w:val="en-AU"/>
        </w:rPr>
        <w:t>s</w:t>
      </w:r>
      <w:r w:rsidRPr="000D2BC4">
        <w:rPr>
          <w:lang w:val="en-AU"/>
        </w:rPr>
        <w:t xml:space="preserve"> results </w:t>
      </w:r>
      <w:r w:rsidRPr="00B33ABD">
        <w:rPr>
          <w:lang w:val="en-AU"/>
        </w:rPr>
        <w:t>were</w:t>
      </w:r>
      <w:r w:rsidRPr="000D2BC4">
        <w:rPr>
          <w:lang w:val="en-AU"/>
        </w:rPr>
        <w:t xml:space="preserve"> </w:t>
      </w:r>
      <w:r w:rsidRPr="00B33ABD">
        <w:rPr>
          <w:lang w:val="en-AU"/>
        </w:rPr>
        <w:t>included</w:t>
      </w:r>
      <w:r>
        <w:rPr>
          <w:lang w:val="en-AU"/>
        </w:rPr>
        <w:t xml:space="preserve"> in any case, and </w:t>
      </w:r>
      <w:r w:rsidRPr="000D2BC4">
        <w:rPr>
          <w:lang w:val="en-AU"/>
        </w:rPr>
        <w:t xml:space="preserve">CO emissions </w:t>
      </w:r>
      <w:r>
        <w:rPr>
          <w:lang w:val="en-AU"/>
        </w:rPr>
        <w:t xml:space="preserve">were either not reported or higher than the </w:t>
      </w:r>
      <w:r w:rsidRPr="000D2BC4">
        <w:rPr>
          <w:lang w:val="en-AU"/>
        </w:rPr>
        <w:t>performance criteri</w:t>
      </w:r>
      <w:r>
        <w:rPr>
          <w:lang w:val="en-AU"/>
        </w:rPr>
        <w:t>a.</w:t>
      </w:r>
    </w:p>
    <w:p w14:paraId="345A689B" w14:textId="4A7D6831" w:rsidR="00E42B79" w:rsidRPr="006C0C5C" w:rsidRDefault="00E42B79" w:rsidP="00275CBE">
      <w:pPr>
        <w:pStyle w:val="Heading4"/>
      </w:pPr>
      <w:r w:rsidRPr="00E31656">
        <w:t>3.3.1.3</w:t>
      </w:r>
      <w:r w:rsidRPr="00E31656">
        <w:tab/>
        <w:t>Technical capability for destruction of HFCs</w:t>
      </w:r>
    </w:p>
    <w:p w14:paraId="0B6BE1EC" w14:textId="15C58EC3" w:rsidR="00E42B79" w:rsidRDefault="00E42B79" w:rsidP="00E42B79">
      <w:pPr>
        <w:rPr>
          <w:rFonts w:eastAsia="Times New Roman"/>
        </w:rPr>
      </w:pPr>
      <w:r>
        <w:rPr>
          <w:rFonts w:eastAsia="Times New Roman"/>
        </w:rPr>
        <w:t xml:space="preserve">The advertised capacities range from 70-150 kg/hr generally with the only actual data on HFCs as listed above being in the range of 60 to 90 kg/hr for HFC-23. </w:t>
      </w:r>
      <w:r w:rsidR="00B67470">
        <w:rPr>
          <w:rFonts w:eastAsia="Times New Roman"/>
        </w:rPr>
        <w:t>The actual destruction rate for the CDM project is about 25 kg/hr for HFC-23 but this is about 90% purity and contains HCFC-22</w:t>
      </w:r>
      <w:r w:rsidR="00B67470">
        <w:rPr>
          <w:rStyle w:val="FootnoteReference"/>
          <w:rFonts w:eastAsia="Times New Roman"/>
        </w:rPr>
        <w:footnoteReference w:id="54"/>
      </w:r>
      <w:r w:rsidR="00B67470">
        <w:rPr>
          <w:rFonts w:eastAsia="Times New Roman"/>
        </w:rPr>
        <w:t>.</w:t>
      </w:r>
    </w:p>
    <w:p w14:paraId="44C6C585" w14:textId="77777777" w:rsidR="00E42B79" w:rsidRPr="006C0C5C" w:rsidRDefault="00E42B79" w:rsidP="00275CBE">
      <w:pPr>
        <w:pStyle w:val="Heading4"/>
      </w:pPr>
      <w:r w:rsidRPr="006C0C5C">
        <w:t>3.</w:t>
      </w:r>
      <w:r>
        <w:t>3</w:t>
      </w:r>
      <w:r w:rsidRPr="006C0C5C">
        <w:t>.1.4</w:t>
      </w:r>
      <w:r w:rsidRPr="006C0C5C">
        <w:tab/>
        <w:t>Other considerations</w:t>
      </w:r>
    </w:p>
    <w:p w14:paraId="18944E4B" w14:textId="395A4E51" w:rsidR="00E42B79" w:rsidRDefault="00E42B79" w:rsidP="00E42B79">
      <w:pPr>
        <w:rPr>
          <w:rFonts w:eastAsia="Times New Roman"/>
        </w:rPr>
      </w:pPr>
      <w:r>
        <w:rPr>
          <w:rFonts w:eastAsia="Times New Roman"/>
        </w:rPr>
        <w:t xml:space="preserve">This technology is sized for placement at generation sources and/or at a commercial waste management service </w:t>
      </w:r>
      <w:r w:rsidR="00490DFA">
        <w:rPr>
          <w:rFonts w:eastAsia="Times New Roman"/>
        </w:rPr>
        <w:t>supplier</w:t>
      </w:r>
      <w:r>
        <w:rPr>
          <w:rFonts w:eastAsia="Times New Roman"/>
        </w:rPr>
        <w:t xml:space="preserve">’s site. Technology </w:t>
      </w:r>
      <w:r w:rsidR="00490DFA">
        <w:rPr>
          <w:rFonts w:eastAsia="Times New Roman"/>
        </w:rPr>
        <w:t>supplier</w:t>
      </w:r>
      <w:r>
        <w:rPr>
          <w:rFonts w:eastAsia="Times New Roman"/>
        </w:rPr>
        <w:t xml:space="preserve">s noted the technologies high level of automation and minimum supervision requirements, as well as safety associated with rapid shut down capability </w:t>
      </w:r>
      <w:r w:rsidR="00377CC6">
        <w:rPr>
          <w:rFonts w:eastAsia="Times New Roman"/>
        </w:rPr>
        <w:t xml:space="preserve">to avoid </w:t>
      </w:r>
      <w:r>
        <w:rPr>
          <w:rFonts w:eastAsia="Times New Roman"/>
        </w:rPr>
        <w:t>losses of ODS or HFCs. The fact that it does not rely on co-disposal offers an advantage of being dedicated to niche speciality destruction applications.</w:t>
      </w:r>
      <w:r w:rsidR="00514300">
        <w:rPr>
          <w:rFonts w:eastAsia="Times New Roman"/>
        </w:rPr>
        <w:t xml:space="preserve"> </w:t>
      </w:r>
      <w:r>
        <w:rPr>
          <w:rFonts w:eastAsia="Times New Roman"/>
        </w:rPr>
        <w:t>Interconversion to another CFC or HFC during destruction would need to be suppressed. Data available for a unit destroying CFC-12 demonstrates the elimination of interconversion reactions to CFC-13. However, no data for interconversion reactions associated with HFCs is available.</w:t>
      </w:r>
    </w:p>
    <w:p w14:paraId="0C8C57F5" w14:textId="505898FD" w:rsidR="00E42B79" w:rsidRDefault="00E42B79" w:rsidP="00E42B79">
      <w:pPr>
        <w:rPr>
          <w:rFonts w:eastAsia="Times New Roman"/>
        </w:rPr>
      </w:pPr>
      <w:r>
        <w:rPr>
          <w:rFonts w:eastAsia="Times New Roman"/>
        </w:rPr>
        <w:lastRenderedPageBreak/>
        <w:t xml:space="preserve">Supporting utility infrastructure in the form of a robust electrical power supply and steam generation capability, as well as the availability of consumables, such as argon and </w:t>
      </w:r>
      <w:r w:rsidRPr="00EE18EC">
        <w:rPr>
          <w:rFonts w:eastAsia="Times New Roman"/>
        </w:rPr>
        <w:t>caustic soda/sodium hydroxide</w:t>
      </w:r>
      <w:r>
        <w:rPr>
          <w:rFonts w:eastAsia="Times New Roman"/>
        </w:rPr>
        <w:t xml:space="preserve"> is required. Disposal of exhaust gas treatment residuals is also a consideration. The technology is also relatively sophisticated, requiring a</w:t>
      </w:r>
      <w:r w:rsidR="00CC2093">
        <w:rPr>
          <w:rFonts w:eastAsia="Times New Roman"/>
        </w:rPr>
        <w:t>ccess to</w:t>
      </w:r>
      <w:r>
        <w:rPr>
          <w:rFonts w:eastAsia="Times New Roman"/>
        </w:rPr>
        <w:t xml:space="preserve"> high level technical support. </w:t>
      </w:r>
    </w:p>
    <w:p w14:paraId="7F171B21" w14:textId="77777777" w:rsidR="00E42B79" w:rsidRDefault="00E42B79" w:rsidP="00275CBE">
      <w:pPr>
        <w:pStyle w:val="Heading3"/>
      </w:pPr>
      <w:bookmarkStart w:id="81" w:name="_Toc508228175"/>
      <w:bookmarkStart w:id="82" w:name="_Ref510530638"/>
      <w:bookmarkStart w:id="83" w:name="_Toc510531471"/>
      <w:r w:rsidRPr="00DC7FF4">
        <w:t>3.3.2</w:t>
      </w:r>
      <w:r w:rsidRPr="00DC7FF4">
        <w:tab/>
        <w:t>Inductively coupled radio frequency plasma</w:t>
      </w:r>
      <w:bookmarkEnd w:id="81"/>
      <w:bookmarkEnd w:id="82"/>
      <w:bookmarkEnd w:id="83"/>
    </w:p>
    <w:p w14:paraId="3478CBFB" w14:textId="51466090" w:rsidR="00E42B79" w:rsidRDefault="00E42B79" w:rsidP="00E42B79">
      <w:pPr>
        <w:rPr>
          <w:rFonts w:eastAsia="Times New Roman"/>
          <w:lang w:val="en-AU"/>
        </w:rPr>
      </w:pPr>
      <w:r>
        <w:rPr>
          <w:rFonts w:eastAsia="Times New Roman"/>
          <w:lang w:val="en-AU"/>
        </w:rPr>
        <w:t>This technology involves a g</w:t>
      </w:r>
      <w:r w:rsidRPr="002520AB">
        <w:rPr>
          <w:rFonts w:eastAsia="Times New Roman"/>
          <w:lang w:val="en-AU"/>
        </w:rPr>
        <w:t xml:space="preserve">aseous </w:t>
      </w:r>
      <w:r>
        <w:rPr>
          <w:rFonts w:eastAsia="Times New Roman"/>
          <w:lang w:val="en-AU"/>
        </w:rPr>
        <w:t xml:space="preserve">waste </w:t>
      </w:r>
      <w:r w:rsidRPr="002520AB">
        <w:rPr>
          <w:rFonts w:eastAsia="Times New Roman"/>
          <w:lang w:val="en-AU"/>
        </w:rPr>
        <w:t xml:space="preserve">steam </w:t>
      </w:r>
      <w:r>
        <w:rPr>
          <w:rFonts w:eastAsia="Times New Roman"/>
          <w:lang w:val="en-AU"/>
        </w:rPr>
        <w:t xml:space="preserve">being </w:t>
      </w:r>
      <w:r w:rsidRPr="002520AB">
        <w:rPr>
          <w:rFonts w:eastAsia="Times New Roman"/>
          <w:lang w:val="en-AU"/>
        </w:rPr>
        <w:t xml:space="preserve">fed through </w:t>
      </w:r>
      <w:r>
        <w:rPr>
          <w:rFonts w:eastAsia="Times New Roman"/>
          <w:lang w:val="en-AU"/>
        </w:rPr>
        <w:t>a</w:t>
      </w:r>
      <w:r w:rsidRPr="002520AB">
        <w:rPr>
          <w:rFonts w:eastAsia="Times New Roman"/>
          <w:lang w:val="en-AU"/>
        </w:rPr>
        <w:t xml:space="preserve"> plasma</w:t>
      </w:r>
      <w:r>
        <w:rPr>
          <w:rFonts w:eastAsia="Times New Roman"/>
          <w:lang w:val="en-AU"/>
        </w:rPr>
        <w:t xml:space="preserve"> </w:t>
      </w:r>
      <w:r w:rsidRPr="002520AB">
        <w:rPr>
          <w:rFonts w:eastAsia="Times New Roman"/>
          <w:lang w:val="en-AU"/>
        </w:rPr>
        <w:t xml:space="preserve">torch </w:t>
      </w:r>
      <w:r>
        <w:rPr>
          <w:rFonts w:eastAsia="Times New Roman"/>
          <w:lang w:val="en-AU"/>
        </w:rPr>
        <w:t>where</w:t>
      </w:r>
      <w:r w:rsidRPr="002520AB">
        <w:rPr>
          <w:rFonts w:eastAsia="Times New Roman"/>
          <w:lang w:val="en-AU"/>
        </w:rPr>
        <w:t xml:space="preserve"> temperatures of 10,000ºC are achieved in a 185 kW inductively</w:t>
      </w:r>
      <w:r>
        <w:rPr>
          <w:rFonts w:eastAsia="Times New Roman"/>
          <w:lang w:val="en-AU"/>
        </w:rPr>
        <w:t xml:space="preserve"> </w:t>
      </w:r>
      <w:r w:rsidRPr="002520AB">
        <w:rPr>
          <w:rFonts w:eastAsia="Times New Roman"/>
          <w:lang w:val="en-AU"/>
        </w:rPr>
        <w:t>coupled radio frequency torch. The gases enter directly into the destruction</w:t>
      </w:r>
      <w:r>
        <w:rPr>
          <w:rFonts w:eastAsia="Times New Roman"/>
          <w:lang w:val="en-AU"/>
        </w:rPr>
        <w:t xml:space="preserve"> </w:t>
      </w:r>
      <w:r w:rsidRPr="002520AB">
        <w:rPr>
          <w:rFonts w:eastAsia="Times New Roman"/>
          <w:lang w:val="en-AU"/>
        </w:rPr>
        <w:t>reactor maintained at about 2000ºC for about 2 seconds</w:t>
      </w:r>
      <w:r>
        <w:rPr>
          <w:rFonts w:eastAsia="Times New Roman"/>
          <w:lang w:val="en-AU"/>
        </w:rPr>
        <w:t xml:space="preserve"> with exhaust gases being </w:t>
      </w:r>
      <w:r w:rsidRPr="002520AB">
        <w:rPr>
          <w:rFonts w:eastAsia="Times New Roman"/>
          <w:lang w:val="en-AU"/>
        </w:rPr>
        <w:t xml:space="preserve">cooled and scrubbed with caustic solution to remove acid gases. </w:t>
      </w:r>
      <w:bookmarkStart w:id="84" w:name="_Hlk507405528"/>
      <w:r>
        <w:rPr>
          <w:rFonts w:eastAsia="Times New Roman"/>
          <w:lang w:val="en-AU"/>
        </w:rPr>
        <w:t>This technology was approved for ODS destruction following a recommendation in</w:t>
      </w:r>
      <w:r w:rsidR="00D73CD1">
        <w:rPr>
          <w:rFonts w:eastAsia="Times New Roman"/>
          <w:lang w:val="en-AU"/>
        </w:rPr>
        <w:t xml:space="preserve"> previous TFDT</w:t>
      </w:r>
      <w:r>
        <w:rPr>
          <w:rFonts w:eastAsia="Times New Roman"/>
          <w:lang w:val="en-AU"/>
        </w:rPr>
        <w:t xml:space="preserve"> </w:t>
      </w:r>
      <w:r w:rsidRPr="00590A0A">
        <w:rPr>
          <w:rFonts w:eastAsia="Times New Roman"/>
          <w:lang w:val="en-AU"/>
        </w:rPr>
        <w:t>report</w:t>
      </w:r>
      <w:r w:rsidR="00D73CD1">
        <w:rPr>
          <w:rFonts w:eastAsia="Times New Roman"/>
          <w:lang w:val="en-AU"/>
        </w:rPr>
        <w:t>s</w:t>
      </w:r>
      <w:r>
        <w:rPr>
          <w:rFonts w:eastAsia="Times New Roman"/>
          <w:lang w:val="en-AU"/>
        </w:rPr>
        <w:t xml:space="preserve">, in which a complete process description is provided. At that time, it was stated that it had been used commercially in Japan since 1995 for destruction of ODS and HFCs. </w:t>
      </w:r>
    </w:p>
    <w:p w14:paraId="2CB36D47" w14:textId="175F8AFB" w:rsidR="00D976C7" w:rsidRDefault="00E42B79" w:rsidP="00E42B79">
      <w:pPr>
        <w:rPr>
          <w:rFonts w:eastAsia="Times New Roman"/>
          <w:lang w:val="en-AU"/>
        </w:rPr>
      </w:pPr>
      <w:r>
        <w:rPr>
          <w:rFonts w:eastAsia="Times New Roman"/>
          <w:lang w:val="en-AU"/>
        </w:rPr>
        <w:t xml:space="preserve">Information submitted by Japan indicated that </w:t>
      </w:r>
      <w:r w:rsidRPr="00CA1243">
        <w:rPr>
          <w:rFonts w:eastAsia="Times New Roman"/>
          <w:lang w:val="en-AU"/>
        </w:rPr>
        <w:t xml:space="preserve">the operators </w:t>
      </w:r>
      <w:r>
        <w:rPr>
          <w:rFonts w:eastAsia="Times New Roman"/>
          <w:lang w:val="en-AU"/>
        </w:rPr>
        <w:t xml:space="preserve">that were originally understood to have used this destruction technology </w:t>
      </w:r>
      <w:r w:rsidRPr="00CA1243">
        <w:rPr>
          <w:rFonts w:eastAsia="Times New Roman"/>
          <w:lang w:val="en-AU"/>
        </w:rPr>
        <w:t>are no longer registered</w:t>
      </w:r>
      <w:r>
        <w:rPr>
          <w:rFonts w:eastAsia="Times New Roman"/>
          <w:lang w:val="en-AU"/>
        </w:rPr>
        <w:t>,</w:t>
      </w:r>
      <w:r w:rsidRPr="00CA1243">
        <w:rPr>
          <w:rFonts w:eastAsia="Times New Roman"/>
          <w:lang w:val="en-AU"/>
        </w:rPr>
        <w:t xml:space="preserve"> and at the </w:t>
      </w:r>
      <w:r>
        <w:rPr>
          <w:rFonts w:eastAsia="Times New Roman"/>
          <w:lang w:val="en-AU"/>
        </w:rPr>
        <w:t xml:space="preserve">time of writing </w:t>
      </w:r>
      <w:r w:rsidRPr="00CA1243">
        <w:rPr>
          <w:rFonts w:eastAsia="Times New Roman"/>
          <w:lang w:val="en-AU"/>
        </w:rPr>
        <w:t xml:space="preserve">no data is available </w:t>
      </w:r>
      <w:r>
        <w:rPr>
          <w:rFonts w:eastAsia="Times New Roman"/>
          <w:lang w:val="en-AU"/>
        </w:rPr>
        <w:t>for its application to HFCs in Japan.</w:t>
      </w:r>
      <w:bookmarkEnd w:id="84"/>
      <w:r w:rsidR="00514300">
        <w:rPr>
          <w:rFonts w:eastAsia="Times New Roman"/>
          <w:lang w:val="en-AU"/>
        </w:rPr>
        <w:t xml:space="preserve"> </w:t>
      </w:r>
    </w:p>
    <w:p w14:paraId="193633ED" w14:textId="523CBCE4" w:rsidR="00E42B79" w:rsidRDefault="00D976C7" w:rsidP="00E42B79">
      <w:pPr>
        <w:rPr>
          <w:lang w:val="en-US" w:eastAsia="en-US"/>
        </w:rPr>
      </w:pPr>
      <w:r w:rsidRPr="00D976C7">
        <w:rPr>
          <w:rFonts w:eastAsia="Times New Roman"/>
          <w:lang w:val="en-US"/>
        </w:rPr>
        <w:t xml:space="preserve">Due to insufficient data being available at the time of writing, </w:t>
      </w:r>
      <w:r w:rsidRPr="00F93039">
        <w:rPr>
          <w:rFonts w:eastAsia="Times New Roman"/>
          <w:b/>
          <w:u w:val="single"/>
          <w:lang w:val="en-US"/>
        </w:rPr>
        <w:t xml:space="preserve">the </w:t>
      </w:r>
      <w:r w:rsidR="00CC2093" w:rsidRPr="00F93039">
        <w:rPr>
          <w:rFonts w:eastAsia="Times New Roman"/>
          <w:b/>
          <w:u w:val="single"/>
          <w:lang w:val="en-US"/>
        </w:rPr>
        <w:t>2018 TFDT</w:t>
      </w:r>
      <w:r w:rsidRPr="00F93039">
        <w:rPr>
          <w:rFonts w:eastAsia="Times New Roman"/>
          <w:b/>
          <w:u w:val="single"/>
          <w:lang w:val="en-US"/>
        </w:rPr>
        <w:t xml:space="preserve"> is </w:t>
      </w:r>
      <w:r w:rsidRPr="00D744B2">
        <w:rPr>
          <w:rFonts w:eastAsia="Times New Roman"/>
          <w:b/>
          <w:i/>
          <w:u w:val="single"/>
          <w:lang w:val="en-US"/>
        </w:rPr>
        <w:t>unable</w:t>
      </w:r>
      <w:r w:rsidRPr="00D73CD1">
        <w:rPr>
          <w:rFonts w:eastAsia="Times New Roman"/>
          <w:b/>
          <w:i/>
          <w:u w:val="single"/>
          <w:lang w:val="en-US"/>
        </w:rPr>
        <w:t xml:space="preserve"> to assess</w:t>
      </w:r>
      <w:r w:rsidRPr="00D73CD1">
        <w:rPr>
          <w:rFonts w:eastAsia="Times New Roman"/>
          <w:b/>
          <w:u w:val="single"/>
          <w:lang w:val="en-US"/>
        </w:rPr>
        <w:t xml:space="preserve"> </w:t>
      </w:r>
      <w:r w:rsidR="00D744B2">
        <w:rPr>
          <w:rFonts w:eastAsia="Times New Roman"/>
          <w:b/>
          <w:u w:val="single"/>
          <w:lang w:val="en-US"/>
        </w:rPr>
        <w:t>I</w:t>
      </w:r>
      <w:r w:rsidR="00D744B2" w:rsidRPr="00D73CD1">
        <w:rPr>
          <w:rFonts w:eastAsia="Times New Roman"/>
          <w:b/>
          <w:u w:val="single"/>
          <w:lang w:val="en-US"/>
        </w:rPr>
        <w:t>nductively Coupled Radio Frequency Plasma</w:t>
      </w:r>
      <w:r w:rsidR="00D744B2" w:rsidRPr="00D73CD1">
        <w:rPr>
          <w:rFonts w:eastAsia="Times New Roman"/>
          <w:b/>
          <w:u w:val="single"/>
        </w:rPr>
        <w:t xml:space="preserve"> </w:t>
      </w:r>
      <w:r w:rsidRPr="00D73CD1">
        <w:rPr>
          <w:rFonts w:eastAsia="Times New Roman"/>
          <w:b/>
          <w:u w:val="single"/>
        </w:rPr>
        <w:t>for applicability for HFCs destruction</w:t>
      </w:r>
      <w:r w:rsidRPr="00D976C7">
        <w:rPr>
          <w:rFonts w:eastAsia="Times New Roman"/>
          <w:lang w:val="en-US"/>
        </w:rPr>
        <w:t>.</w:t>
      </w:r>
      <w:r w:rsidR="00E42B79" w:rsidRPr="00E87025">
        <w:rPr>
          <w:highlight w:val="yellow"/>
          <w:lang w:val="en-US" w:eastAsia="en-US"/>
        </w:rPr>
        <w:t xml:space="preserve"> </w:t>
      </w:r>
    </w:p>
    <w:p w14:paraId="040DD0A6" w14:textId="77777777" w:rsidR="00E42B79" w:rsidRPr="006C0C5C" w:rsidRDefault="00E42B79" w:rsidP="00275CBE">
      <w:pPr>
        <w:pStyle w:val="Heading4"/>
      </w:pPr>
      <w:bookmarkStart w:id="85" w:name="_Hlk506810473"/>
      <w:r w:rsidRPr="006C0C5C">
        <w:t>3.</w:t>
      </w:r>
      <w:r>
        <w:t>3</w:t>
      </w:r>
      <w:r w:rsidRPr="006C0C5C">
        <w:t>.2.1</w:t>
      </w:r>
      <w:r w:rsidRPr="006C0C5C">
        <w:tab/>
        <w:t>Experience with HFC destruction</w:t>
      </w:r>
    </w:p>
    <w:p w14:paraId="210A340B" w14:textId="77777777" w:rsidR="00E42B79" w:rsidRPr="006C0C5C" w:rsidRDefault="00E42B79" w:rsidP="00E42B79">
      <w:pPr>
        <w:rPr>
          <w:rFonts w:eastAsia="Times New Roman"/>
          <w:lang w:val="en-AU"/>
        </w:rPr>
      </w:pPr>
      <w:bookmarkStart w:id="86" w:name="_Hlk507405690"/>
      <w:r>
        <w:rPr>
          <w:rFonts w:eastAsia="Times New Roman"/>
          <w:lang w:val="en-AU"/>
        </w:rPr>
        <w:t>No current information is available on application of this technology to HFCs</w:t>
      </w:r>
      <w:bookmarkEnd w:id="86"/>
      <w:r>
        <w:rPr>
          <w:rFonts w:eastAsia="Times New Roman"/>
          <w:lang w:val="en-AU"/>
        </w:rPr>
        <w:t xml:space="preserve">, noting that it was reportedly used to destroy HFCs in Japan in 2002. </w:t>
      </w:r>
    </w:p>
    <w:p w14:paraId="1F7B4544" w14:textId="77777777" w:rsidR="00E42B79" w:rsidRPr="006C0C5C" w:rsidRDefault="00E42B79" w:rsidP="00275CBE">
      <w:pPr>
        <w:pStyle w:val="Heading4"/>
      </w:pPr>
      <w:r w:rsidRPr="006C0C5C">
        <w:t>3.</w:t>
      </w:r>
      <w:r>
        <w:t>3</w:t>
      </w:r>
      <w:r w:rsidRPr="006C0C5C">
        <w:t>.2.2</w:t>
      </w:r>
      <w:r w:rsidRPr="006C0C5C">
        <w:tab/>
        <w:t>Assessment of applicability to HFCs using performance criteria</w:t>
      </w:r>
    </w:p>
    <w:p w14:paraId="571D0F2E" w14:textId="77777777" w:rsidR="00E42B79" w:rsidRDefault="00E42B79" w:rsidP="00E42B79">
      <w:pPr>
        <w:rPr>
          <w:rFonts w:eastAsia="Times New Roman"/>
          <w:lang w:val="en-AU"/>
        </w:rPr>
      </w:pPr>
      <w:bookmarkStart w:id="87" w:name="_Hlk507405785"/>
      <w:r>
        <w:rPr>
          <w:rFonts w:eastAsia="Times New Roman"/>
          <w:lang w:val="en-AU"/>
        </w:rPr>
        <w:t xml:space="preserve">At the time of writing, no performance data for HFC destruction was available, which does not allow an assessment against </w:t>
      </w:r>
      <w:r w:rsidRPr="00440ECF">
        <w:rPr>
          <w:lang w:eastAsia="en-US"/>
        </w:rPr>
        <w:t>the</w:t>
      </w:r>
      <w:r>
        <w:rPr>
          <w:lang w:eastAsia="en-US"/>
        </w:rPr>
        <w:t xml:space="preserve"> performance criteria.</w:t>
      </w:r>
    </w:p>
    <w:bookmarkEnd w:id="87"/>
    <w:p w14:paraId="10DC2A83" w14:textId="77777777" w:rsidR="00E42B79" w:rsidRDefault="00E42B79" w:rsidP="00275CBE">
      <w:pPr>
        <w:pStyle w:val="Heading4"/>
      </w:pPr>
      <w:r w:rsidRPr="006C0C5C">
        <w:t>3.</w:t>
      </w:r>
      <w:r>
        <w:t>3</w:t>
      </w:r>
      <w:r w:rsidRPr="006C0C5C">
        <w:t>.2.3</w:t>
      </w:r>
      <w:r w:rsidRPr="006C0C5C">
        <w:tab/>
        <w:t>Technical capability for destruction of HFCs</w:t>
      </w:r>
    </w:p>
    <w:p w14:paraId="69578C0D" w14:textId="77777777" w:rsidR="00E42B79" w:rsidRDefault="00E42B79" w:rsidP="00E42B79">
      <w:pPr>
        <w:rPr>
          <w:lang w:val="en-US" w:eastAsia="en-US"/>
        </w:rPr>
      </w:pPr>
      <w:r>
        <w:rPr>
          <w:snapToGrid w:val="0"/>
        </w:rPr>
        <w:t>No current information is available that demonstrates capacities for this technology for HFC destruction. The 2002 TFDT report stated capacities in the range of 50-80 kg/hr for CFCs. This is based on the absence of any data specific to HFCs and information from Japan that facilities based on this technology are no longer registered for use</w:t>
      </w:r>
      <w:r w:rsidRPr="00996AAF">
        <w:rPr>
          <w:snapToGrid w:val="0"/>
        </w:rPr>
        <w:t xml:space="preserve">. </w:t>
      </w:r>
    </w:p>
    <w:p w14:paraId="5EA4ABDB" w14:textId="77777777" w:rsidR="00E42B79" w:rsidRPr="006C0C5C" w:rsidRDefault="00E42B79" w:rsidP="00E42B79">
      <w:pPr>
        <w:keepNext/>
        <w:widowControl w:val="0"/>
        <w:tabs>
          <w:tab w:val="left" w:pos="720"/>
        </w:tabs>
        <w:spacing w:after="60" w:line="276" w:lineRule="auto"/>
        <w:ind w:left="1440" w:hanging="720"/>
        <w:outlineLvl w:val="3"/>
        <w:rPr>
          <w:rFonts w:eastAsia="MS Mincho"/>
          <w:b/>
          <w:snapToGrid w:val="0"/>
        </w:rPr>
      </w:pPr>
      <w:r w:rsidRPr="006C0C5C">
        <w:rPr>
          <w:rFonts w:eastAsia="MS Mincho"/>
          <w:b/>
          <w:snapToGrid w:val="0"/>
        </w:rPr>
        <w:t>3.</w:t>
      </w:r>
      <w:r>
        <w:rPr>
          <w:rFonts w:eastAsia="MS Mincho"/>
          <w:b/>
          <w:snapToGrid w:val="0"/>
        </w:rPr>
        <w:t>3</w:t>
      </w:r>
      <w:r w:rsidRPr="006C0C5C">
        <w:rPr>
          <w:rFonts w:eastAsia="MS Mincho"/>
          <w:b/>
          <w:snapToGrid w:val="0"/>
        </w:rPr>
        <w:t>.2.4</w:t>
      </w:r>
      <w:r w:rsidRPr="006C0C5C">
        <w:rPr>
          <w:rFonts w:eastAsia="MS Mincho"/>
          <w:b/>
          <w:snapToGrid w:val="0"/>
        </w:rPr>
        <w:tab/>
        <w:t>Other considerations</w:t>
      </w:r>
    </w:p>
    <w:p w14:paraId="6E61E84B" w14:textId="77777777" w:rsidR="00E42B79" w:rsidRPr="006C0C5C" w:rsidRDefault="00E42B79" w:rsidP="00E42B79">
      <w:pPr>
        <w:rPr>
          <w:rFonts w:eastAsia="Times New Roman"/>
        </w:rPr>
      </w:pPr>
      <w:r>
        <w:rPr>
          <w:rFonts w:eastAsia="Times New Roman"/>
        </w:rPr>
        <w:t>No other considerations are noted.</w:t>
      </w:r>
    </w:p>
    <w:p w14:paraId="1664F6DB" w14:textId="0D0C578E" w:rsidR="00E31656" w:rsidRPr="00275CBE" w:rsidRDefault="00E31656" w:rsidP="00533CC3">
      <w:pPr>
        <w:pStyle w:val="Heading3"/>
      </w:pPr>
      <w:bookmarkStart w:id="88" w:name="_Toc505079424"/>
      <w:bookmarkStart w:id="89" w:name="_Ref510530770"/>
      <w:bookmarkStart w:id="90" w:name="_Toc510531472"/>
      <w:bookmarkEnd w:id="80"/>
      <w:bookmarkEnd w:id="85"/>
      <w:r w:rsidRPr="00A94275">
        <w:t>3.3.3</w:t>
      </w:r>
      <w:r w:rsidRPr="00A94275">
        <w:tab/>
        <w:t>Microwave Plasma</w:t>
      </w:r>
      <w:bookmarkEnd w:id="88"/>
      <w:bookmarkEnd w:id="89"/>
      <w:bookmarkEnd w:id="90"/>
    </w:p>
    <w:p w14:paraId="3B428C8E" w14:textId="074E974E" w:rsidR="00E31656" w:rsidRDefault="00E31656" w:rsidP="00E31656">
      <w:pPr>
        <w:rPr>
          <w:lang w:val="en-US"/>
        </w:rPr>
      </w:pPr>
      <w:r>
        <w:rPr>
          <w:lang w:val="en-US"/>
        </w:rPr>
        <w:t xml:space="preserve">This plasma arc process involves feeding </w:t>
      </w:r>
      <w:r w:rsidRPr="005C65E3">
        <w:rPr>
          <w:lang w:val="en-US"/>
        </w:rPr>
        <w:t>microwave energy into a</w:t>
      </w:r>
      <w:r>
        <w:rPr>
          <w:lang w:val="en-US"/>
        </w:rPr>
        <w:t xml:space="preserve"> </w:t>
      </w:r>
      <w:r w:rsidRPr="005C65E3">
        <w:rPr>
          <w:lang w:val="en-US"/>
        </w:rPr>
        <w:t>specially designed coaxial cavity to generate a thermal plasma under atmospheric</w:t>
      </w:r>
      <w:r>
        <w:rPr>
          <w:lang w:val="en-US"/>
        </w:rPr>
        <w:t xml:space="preserve"> </w:t>
      </w:r>
      <w:r w:rsidRPr="005C65E3">
        <w:rPr>
          <w:lang w:val="en-US"/>
        </w:rPr>
        <w:t>pressure. The coaxial design is claimed to promote plasma stability. Argon is</w:t>
      </w:r>
      <w:r>
        <w:rPr>
          <w:lang w:val="en-US"/>
        </w:rPr>
        <w:t xml:space="preserve"> </w:t>
      </w:r>
      <w:r w:rsidRPr="005C65E3">
        <w:rPr>
          <w:lang w:val="en-US"/>
        </w:rPr>
        <w:t>used to initiate the plasma but otherwise the process requires no gas to sustain</w:t>
      </w:r>
      <w:r>
        <w:rPr>
          <w:lang w:val="en-US"/>
        </w:rPr>
        <w:t xml:space="preserve"> </w:t>
      </w:r>
      <w:r w:rsidRPr="005C65E3">
        <w:rPr>
          <w:lang w:val="en-US"/>
        </w:rPr>
        <w:t xml:space="preserve">the plasma. A mixture of </w:t>
      </w:r>
      <w:r>
        <w:rPr>
          <w:lang w:val="en-US"/>
        </w:rPr>
        <w:t xml:space="preserve">ODS and potentially HFCs </w:t>
      </w:r>
      <w:r w:rsidRPr="005C65E3">
        <w:rPr>
          <w:lang w:val="en-US"/>
        </w:rPr>
        <w:t xml:space="preserve">with water </w:t>
      </w:r>
      <w:proofErr w:type="spellStart"/>
      <w:r w:rsidRPr="005C65E3">
        <w:rPr>
          <w:lang w:val="en-US"/>
        </w:rPr>
        <w:t>vapour</w:t>
      </w:r>
      <w:proofErr w:type="spellEnd"/>
      <w:r w:rsidRPr="005C65E3">
        <w:rPr>
          <w:lang w:val="en-US"/>
        </w:rPr>
        <w:t xml:space="preserve"> is fed to the plasma and is</w:t>
      </w:r>
      <w:r>
        <w:rPr>
          <w:lang w:val="en-US"/>
        </w:rPr>
        <w:t xml:space="preserve"> </w:t>
      </w:r>
      <w:r w:rsidRPr="005C65E3">
        <w:rPr>
          <w:lang w:val="en-US"/>
        </w:rPr>
        <w:t xml:space="preserve">broken down at temperatures exceeding 6000ºK </w:t>
      </w:r>
      <w:r>
        <w:rPr>
          <w:lang w:val="en-US"/>
        </w:rPr>
        <w:t xml:space="preserve">with the formation of </w:t>
      </w:r>
      <w:proofErr w:type="spellStart"/>
      <w:r w:rsidRPr="005C65E3">
        <w:rPr>
          <w:lang w:val="en-US"/>
        </w:rPr>
        <w:t>HCl</w:t>
      </w:r>
      <w:proofErr w:type="spellEnd"/>
      <w:r w:rsidRPr="005C65E3">
        <w:rPr>
          <w:lang w:val="en-US"/>
        </w:rPr>
        <w:t>, HF, CO and CO</w:t>
      </w:r>
      <w:r w:rsidRPr="005C65E3">
        <w:rPr>
          <w:vertAlign w:val="subscript"/>
          <w:lang w:val="en-US"/>
        </w:rPr>
        <w:t>2</w:t>
      </w:r>
      <w:r>
        <w:rPr>
          <w:lang w:val="en-US"/>
        </w:rPr>
        <w:t xml:space="preserve">, followed by scrubbing of acid gases. </w:t>
      </w:r>
      <w:r w:rsidRPr="005C65E3">
        <w:rPr>
          <w:lang w:val="en-US"/>
        </w:rPr>
        <w:t xml:space="preserve">It was approved for ODS destruction in the 2002 TEAP report in which a complete process description is provided. At that time, it was stated that it </w:t>
      </w:r>
      <w:r>
        <w:rPr>
          <w:lang w:val="en-US"/>
        </w:rPr>
        <w:t xml:space="preserve">was being </w:t>
      </w:r>
      <w:r w:rsidRPr="005C65E3">
        <w:rPr>
          <w:lang w:val="en-US"/>
        </w:rPr>
        <w:t xml:space="preserve">used commercially in Japan for destruction of </w:t>
      </w:r>
      <w:r>
        <w:rPr>
          <w:lang w:val="en-US"/>
        </w:rPr>
        <w:t xml:space="preserve">CFCs. </w:t>
      </w:r>
    </w:p>
    <w:p w14:paraId="27926986" w14:textId="77777777" w:rsidR="00D976C7" w:rsidRDefault="00E31656" w:rsidP="00E31656">
      <w:pPr>
        <w:rPr>
          <w:lang w:val="en-US"/>
        </w:rPr>
      </w:pPr>
      <w:bookmarkStart w:id="91" w:name="_Hlk507407115"/>
      <w:r w:rsidRPr="005C65E3">
        <w:rPr>
          <w:lang w:val="en-US"/>
        </w:rPr>
        <w:lastRenderedPageBreak/>
        <w:t>Information submitted by Japan indicated that the destruction operators</w:t>
      </w:r>
      <w:r>
        <w:rPr>
          <w:lang w:val="en-US"/>
        </w:rPr>
        <w:t xml:space="preserve"> that were originally</w:t>
      </w:r>
      <w:r w:rsidRPr="005C65E3">
        <w:rPr>
          <w:lang w:val="en-US"/>
        </w:rPr>
        <w:t xml:space="preserve"> understood to have used this technology are no longer registered.</w:t>
      </w:r>
      <w:r>
        <w:rPr>
          <w:lang w:val="en-US"/>
        </w:rPr>
        <w:t xml:space="preserve"> </w:t>
      </w:r>
    </w:p>
    <w:p w14:paraId="0316EC6C" w14:textId="20FCDE62" w:rsidR="00E31656" w:rsidRPr="005C65E3" w:rsidRDefault="00D976C7" w:rsidP="00E31656">
      <w:pPr>
        <w:rPr>
          <w:lang w:val="en-US"/>
        </w:rPr>
      </w:pPr>
      <w:r w:rsidRPr="00D976C7">
        <w:rPr>
          <w:rFonts w:eastAsia="Times New Roman"/>
          <w:lang w:val="en-US"/>
        </w:rPr>
        <w:t xml:space="preserve">Due to insufficient data being available at the time of writing, </w:t>
      </w:r>
      <w:r w:rsidRPr="00F93039">
        <w:rPr>
          <w:rFonts w:eastAsia="Times New Roman"/>
          <w:b/>
          <w:u w:val="single"/>
          <w:lang w:val="en-US"/>
        </w:rPr>
        <w:t xml:space="preserve">the </w:t>
      </w:r>
      <w:r w:rsidR="00CC2093" w:rsidRPr="00F93039">
        <w:rPr>
          <w:rFonts w:eastAsia="Times New Roman"/>
          <w:b/>
          <w:u w:val="single"/>
          <w:lang w:val="en-US"/>
        </w:rPr>
        <w:t>2018 TFDT</w:t>
      </w:r>
      <w:r w:rsidRPr="00F93039">
        <w:rPr>
          <w:rFonts w:eastAsia="Times New Roman"/>
          <w:b/>
          <w:u w:val="single"/>
          <w:lang w:val="en-US"/>
        </w:rPr>
        <w:t xml:space="preserve"> is </w:t>
      </w:r>
      <w:r w:rsidRPr="00D744B2">
        <w:rPr>
          <w:rFonts w:eastAsia="Times New Roman"/>
          <w:b/>
          <w:i/>
          <w:u w:val="single"/>
          <w:lang w:val="en-US"/>
        </w:rPr>
        <w:t>unable</w:t>
      </w:r>
      <w:r w:rsidRPr="000D6C1D">
        <w:rPr>
          <w:rFonts w:eastAsia="Times New Roman"/>
          <w:b/>
          <w:i/>
          <w:u w:val="single"/>
          <w:lang w:val="en-US"/>
        </w:rPr>
        <w:t xml:space="preserve"> to assess</w:t>
      </w:r>
      <w:r w:rsidRPr="000D6C1D">
        <w:rPr>
          <w:rFonts w:eastAsia="Times New Roman"/>
          <w:b/>
          <w:u w:val="single"/>
          <w:lang w:val="en-US"/>
        </w:rPr>
        <w:t xml:space="preserve"> </w:t>
      </w:r>
      <w:r w:rsidR="00D744B2">
        <w:rPr>
          <w:rFonts w:eastAsia="Times New Roman"/>
          <w:b/>
          <w:u w:val="single"/>
          <w:lang w:val="en-US"/>
        </w:rPr>
        <w:t>Microwave</w:t>
      </w:r>
      <w:r w:rsidR="00D744B2" w:rsidRPr="000D6C1D">
        <w:rPr>
          <w:rFonts w:eastAsia="Times New Roman"/>
          <w:b/>
          <w:u w:val="single"/>
          <w:lang w:val="en-US"/>
        </w:rPr>
        <w:t xml:space="preserve"> Plasma</w:t>
      </w:r>
      <w:r w:rsidR="00D744B2" w:rsidRPr="000D6C1D">
        <w:rPr>
          <w:rFonts w:eastAsia="Times New Roman"/>
          <w:b/>
          <w:u w:val="single"/>
        </w:rPr>
        <w:t xml:space="preserve"> </w:t>
      </w:r>
      <w:r w:rsidRPr="000D6C1D">
        <w:rPr>
          <w:rFonts w:eastAsia="Times New Roman"/>
          <w:b/>
          <w:u w:val="single"/>
        </w:rPr>
        <w:t>for applicability for HFCs destruction</w:t>
      </w:r>
      <w:r w:rsidRPr="00D976C7">
        <w:rPr>
          <w:rFonts w:eastAsia="Times New Roman"/>
          <w:lang w:val="en-US"/>
        </w:rPr>
        <w:t xml:space="preserve">. </w:t>
      </w:r>
    </w:p>
    <w:p w14:paraId="21788DA1" w14:textId="77777777" w:rsidR="00E31656" w:rsidRPr="006C0C5C" w:rsidRDefault="00E31656" w:rsidP="00275CBE">
      <w:pPr>
        <w:pStyle w:val="Heading4"/>
      </w:pPr>
      <w:bookmarkStart w:id="92" w:name="_Hlk506905760"/>
      <w:bookmarkEnd w:id="91"/>
      <w:r w:rsidRPr="006C0C5C">
        <w:t>3.</w:t>
      </w:r>
      <w:r>
        <w:t>3</w:t>
      </w:r>
      <w:r w:rsidRPr="006C0C5C">
        <w:t>.</w:t>
      </w:r>
      <w:r>
        <w:t>3</w:t>
      </w:r>
      <w:r w:rsidRPr="006C0C5C">
        <w:t>.1</w:t>
      </w:r>
      <w:r w:rsidRPr="006C0C5C">
        <w:tab/>
        <w:t>Experience with HFC destruction</w:t>
      </w:r>
    </w:p>
    <w:p w14:paraId="28DE1B48" w14:textId="77777777" w:rsidR="00E31656" w:rsidRDefault="00E31656" w:rsidP="00E31656">
      <w:pPr>
        <w:rPr>
          <w:lang w:val="en-AU"/>
        </w:rPr>
      </w:pPr>
      <w:bookmarkStart w:id="93" w:name="_Hlk507407303"/>
      <w:r w:rsidRPr="005C65E3">
        <w:rPr>
          <w:lang w:val="en-AU"/>
        </w:rPr>
        <w:t>No information is available on application of this technology to HFCs</w:t>
      </w:r>
      <w:r>
        <w:rPr>
          <w:lang w:val="en-AU"/>
        </w:rPr>
        <w:t>.</w:t>
      </w:r>
    </w:p>
    <w:bookmarkEnd w:id="93"/>
    <w:p w14:paraId="6BC94FB4" w14:textId="77777777" w:rsidR="00E31656" w:rsidRPr="006C0C5C" w:rsidRDefault="00E31656" w:rsidP="00275CBE">
      <w:pPr>
        <w:pStyle w:val="Heading4"/>
      </w:pPr>
      <w:r w:rsidRPr="006C0C5C">
        <w:t>3.</w:t>
      </w:r>
      <w:r>
        <w:t>3</w:t>
      </w:r>
      <w:r w:rsidRPr="006C0C5C">
        <w:t>.</w:t>
      </w:r>
      <w:r>
        <w:t>3</w:t>
      </w:r>
      <w:r w:rsidRPr="006C0C5C">
        <w:t>.2</w:t>
      </w:r>
      <w:r w:rsidRPr="006C0C5C">
        <w:tab/>
        <w:t>Assessment of applicability to HFCs using performance criteria</w:t>
      </w:r>
    </w:p>
    <w:p w14:paraId="25038F39" w14:textId="6D0F4687" w:rsidR="00E31656" w:rsidRDefault="00E31656" w:rsidP="00E31656">
      <w:pPr>
        <w:rPr>
          <w:lang w:val="en-AU"/>
        </w:rPr>
      </w:pPr>
      <w:bookmarkStart w:id="94" w:name="_Hlk507407531"/>
      <w:r w:rsidRPr="005C65E3">
        <w:rPr>
          <w:lang w:val="en-AU"/>
        </w:rPr>
        <w:t xml:space="preserve">No performance data is available </w:t>
      </w:r>
      <w:r>
        <w:rPr>
          <w:lang w:val="en-AU"/>
        </w:rPr>
        <w:t xml:space="preserve">that </w:t>
      </w:r>
      <w:r w:rsidRPr="005C65E3">
        <w:rPr>
          <w:lang w:val="en-AU"/>
        </w:rPr>
        <w:t>support</w:t>
      </w:r>
      <w:r>
        <w:rPr>
          <w:lang w:val="en-AU"/>
        </w:rPr>
        <w:t xml:space="preserve">s </w:t>
      </w:r>
      <w:r w:rsidRPr="005C65E3">
        <w:rPr>
          <w:lang w:val="en-AU"/>
        </w:rPr>
        <w:t xml:space="preserve">this technology </w:t>
      </w:r>
      <w:r>
        <w:rPr>
          <w:lang w:val="en-AU"/>
        </w:rPr>
        <w:t xml:space="preserve">meeting </w:t>
      </w:r>
      <w:r w:rsidR="004F597A">
        <w:rPr>
          <w:lang w:val="en-AU"/>
        </w:rPr>
        <w:t xml:space="preserve">the </w:t>
      </w:r>
      <w:r>
        <w:rPr>
          <w:lang w:val="en-AU"/>
        </w:rPr>
        <w:t>criteria</w:t>
      </w:r>
      <w:r w:rsidRPr="005C65E3">
        <w:rPr>
          <w:lang w:val="en-AU"/>
        </w:rPr>
        <w:t xml:space="preserve"> for HFC</w:t>
      </w:r>
      <w:r>
        <w:rPr>
          <w:lang w:val="en-AU"/>
        </w:rPr>
        <w:t xml:space="preserve"> destruction.</w:t>
      </w:r>
      <w:bookmarkEnd w:id="94"/>
    </w:p>
    <w:p w14:paraId="149A47AA" w14:textId="77777777" w:rsidR="00E31656" w:rsidRPr="006C0C5C" w:rsidRDefault="00E31656" w:rsidP="00E31656">
      <w:pPr>
        <w:keepNext/>
        <w:widowControl w:val="0"/>
        <w:tabs>
          <w:tab w:val="left" w:pos="720"/>
        </w:tabs>
        <w:spacing w:after="60" w:line="276" w:lineRule="auto"/>
        <w:ind w:left="1440" w:hanging="720"/>
        <w:outlineLvl w:val="3"/>
        <w:rPr>
          <w:rFonts w:eastAsia="MS Mincho"/>
          <w:b/>
          <w:snapToGrid w:val="0"/>
        </w:rPr>
      </w:pPr>
      <w:r w:rsidRPr="006C0C5C">
        <w:rPr>
          <w:rFonts w:eastAsia="MS Mincho"/>
          <w:b/>
          <w:snapToGrid w:val="0"/>
        </w:rPr>
        <w:t>3.</w:t>
      </w:r>
      <w:r>
        <w:rPr>
          <w:rFonts w:eastAsia="MS Mincho"/>
          <w:b/>
          <w:snapToGrid w:val="0"/>
        </w:rPr>
        <w:t>3</w:t>
      </w:r>
      <w:r w:rsidRPr="006C0C5C">
        <w:rPr>
          <w:rFonts w:eastAsia="MS Mincho"/>
          <w:b/>
          <w:snapToGrid w:val="0"/>
        </w:rPr>
        <w:t>.</w:t>
      </w:r>
      <w:r>
        <w:rPr>
          <w:rFonts w:eastAsia="MS Mincho"/>
          <w:b/>
          <w:snapToGrid w:val="0"/>
        </w:rPr>
        <w:t>3</w:t>
      </w:r>
      <w:r w:rsidRPr="006C0C5C">
        <w:rPr>
          <w:rFonts w:eastAsia="MS Mincho"/>
          <w:b/>
          <w:snapToGrid w:val="0"/>
        </w:rPr>
        <w:t>.3</w:t>
      </w:r>
      <w:r w:rsidRPr="006C0C5C">
        <w:rPr>
          <w:rFonts w:eastAsia="MS Mincho"/>
          <w:b/>
          <w:snapToGrid w:val="0"/>
        </w:rPr>
        <w:tab/>
        <w:t>Technical capability for destruction of HFCs</w:t>
      </w:r>
    </w:p>
    <w:p w14:paraId="7DBC02F2" w14:textId="77777777" w:rsidR="00E31656" w:rsidRPr="001E5501" w:rsidRDefault="00E31656" w:rsidP="00E31656">
      <w:pPr>
        <w:rPr>
          <w:snapToGrid w:val="0"/>
        </w:rPr>
      </w:pPr>
      <w:r>
        <w:rPr>
          <w:snapToGrid w:val="0"/>
        </w:rPr>
        <w:t xml:space="preserve">No current information is available respecting facility capacities for this technology. The 2002 TEAP TF report stated capacities in the range of 2 kg/hr. for CFCs. </w:t>
      </w:r>
    </w:p>
    <w:p w14:paraId="4EC7E66C" w14:textId="77777777" w:rsidR="00E31656" w:rsidRPr="006C0C5C" w:rsidRDefault="00E31656" w:rsidP="00275CBE">
      <w:pPr>
        <w:pStyle w:val="Heading4"/>
      </w:pPr>
      <w:r w:rsidRPr="006C0C5C">
        <w:t>3.</w:t>
      </w:r>
      <w:r>
        <w:t>3</w:t>
      </w:r>
      <w:r w:rsidRPr="006C0C5C">
        <w:t>.</w:t>
      </w:r>
      <w:r>
        <w:t>3</w:t>
      </w:r>
      <w:r w:rsidRPr="006C0C5C">
        <w:t>.4</w:t>
      </w:r>
      <w:r w:rsidRPr="006C0C5C">
        <w:tab/>
        <w:t>Other considerations</w:t>
      </w:r>
    </w:p>
    <w:p w14:paraId="65DFA1A3" w14:textId="77777777" w:rsidR="00E31656" w:rsidRDefault="00E31656" w:rsidP="00E31656">
      <w:r>
        <w:t>No other considerations identified.</w:t>
      </w:r>
    </w:p>
    <w:p w14:paraId="4F48D357" w14:textId="0E17C61B" w:rsidR="00E31656" w:rsidRDefault="00E31656" w:rsidP="00275CBE">
      <w:pPr>
        <w:pStyle w:val="Heading3"/>
      </w:pPr>
      <w:bookmarkStart w:id="95" w:name="_Toc508228176"/>
      <w:bookmarkStart w:id="96" w:name="_Ref510530793"/>
      <w:bookmarkStart w:id="97" w:name="_Toc510531473"/>
      <w:bookmarkEnd w:id="92"/>
      <w:r w:rsidRPr="00DC7FF4">
        <w:t>3.3.4</w:t>
      </w:r>
      <w:r w:rsidRPr="00DC7FF4">
        <w:tab/>
        <w:t>Nitrogen Plasma Arc</w:t>
      </w:r>
      <w:bookmarkEnd w:id="95"/>
      <w:bookmarkEnd w:id="96"/>
      <w:bookmarkEnd w:id="97"/>
    </w:p>
    <w:p w14:paraId="37E08460" w14:textId="66A71A15" w:rsidR="00E31656" w:rsidRDefault="00E31656" w:rsidP="00E31656">
      <w:r>
        <w:t xml:space="preserve">This process is similar to argon plasma arc except that nitrogen is used as the working gas. A thermal plasma </w:t>
      </w:r>
      <w:r w:rsidRPr="002941AB">
        <w:t xml:space="preserve">generated by a DC plasma torch operating with water-cooled electrodes </w:t>
      </w:r>
      <w:r>
        <w:t xml:space="preserve">decomposes ODS and HFCs. Liquefied gases can be fed directly from their pressurized storage into the reactor, while liquids are first transferred to a pressure vessel and transferred with compressed air to an evaporator before being fed to the reactor. Gases from the plasma are fed to an oxidation tube in which ODS and HFCs are first reacted with steam to be decomposed into CO, HF and </w:t>
      </w:r>
      <w:proofErr w:type="spellStart"/>
      <w:r>
        <w:t>HCl</w:t>
      </w:r>
      <w:proofErr w:type="spellEnd"/>
      <w:r>
        <w:t>. Air is introduced into the bottom of the tube to oxidize CO to CO</w:t>
      </w:r>
      <w:r>
        <w:rPr>
          <w:sz w:val="16"/>
          <w:szCs w:val="16"/>
        </w:rPr>
        <w:t>2</w:t>
      </w:r>
      <w:r>
        <w:t xml:space="preserve">. The temperature at the reactor nozzle is estimated to be in the range from 1400ºK to 2500ºK depending on the amount of steam appropriately supplied for desirable destruction. The reaction gas mixture is immediately quenched in a scrubber followed by absorption of acid gases using calcium hydroxide in water. </w:t>
      </w:r>
    </w:p>
    <w:p w14:paraId="7D6A1604" w14:textId="77777777" w:rsidR="00430F70" w:rsidRDefault="00E31656" w:rsidP="00E31656">
      <w:r w:rsidRPr="00C42D01">
        <w:t xml:space="preserve">Information submitted by Japan indicated that the destruction operators </w:t>
      </w:r>
      <w:r>
        <w:t xml:space="preserve">that were </w:t>
      </w:r>
      <w:r w:rsidRPr="00C42D01">
        <w:t>understood to have used this technology are no longer registered in Japan.</w:t>
      </w:r>
      <w:r>
        <w:t xml:space="preserve"> The technology is used for HFC-23 destruction in China</w:t>
      </w:r>
      <w:r w:rsidR="00430F70">
        <w:t>.</w:t>
      </w:r>
      <w:r w:rsidR="00430F70" w:rsidRPr="00430F70">
        <w:t xml:space="preserve"> </w:t>
      </w:r>
    </w:p>
    <w:p w14:paraId="2108AD20" w14:textId="10D393E0" w:rsidR="00E31656" w:rsidRPr="0078658C" w:rsidRDefault="00430F70" w:rsidP="00E31656">
      <w:pPr>
        <w:rPr>
          <w:b/>
          <w:u w:val="single"/>
        </w:rPr>
      </w:pPr>
      <w:r>
        <w:t xml:space="preserve">Information available at the writing of this report indicated that reported particulate and HF emissions are above the performance criteria, therefore, </w:t>
      </w:r>
      <w:r w:rsidR="00D976C7" w:rsidRPr="0078658C">
        <w:rPr>
          <w:b/>
          <w:u w:val="single"/>
        </w:rPr>
        <w:t>Nitrogen Plasma Arc</w:t>
      </w:r>
      <w:r w:rsidR="00E31656" w:rsidRPr="0078658C">
        <w:rPr>
          <w:b/>
          <w:u w:val="single"/>
        </w:rPr>
        <w:t xml:space="preserve"> is recommended as </w:t>
      </w:r>
      <w:r w:rsidR="00E31656" w:rsidRPr="0078658C">
        <w:rPr>
          <w:b/>
          <w:i/>
          <w:u w:val="single"/>
        </w:rPr>
        <w:t>high potential</w:t>
      </w:r>
      <w:r w:rsidR="00D976C7" w:rsidRPr="0078658C">
        <w:rPr>
          <w:b/>
          <w:u w:val="single"/>
        </w:rPr>
        <w:t xml:space="preserve"> for applicability </w:t>
      </w:r>
      <w:r w:rsidR="008F1045">
        <w:rPr>
          <w:b/>
          <w:u w:val="single"/>
        </w:rPr>
        <w:t>to</w:t>
      </w:r>
      <w:r w:rsidR="008F1045" w:rsidRPr="0078658C">
        <w:rPr>
          <w:b/>
          <w:u w:val="single"/>
        </w:rPr>
        <w:t xml:space="preserve"> </w:t>
      </w:r>
      <w:r w:rsidR="00D976C7" w:rsidRPr="0078658C">
        <w:rPr>
          <w:b/>
          <w:u w:val="single"/>
        </w:rPr>
        <w:t>HFCs destruction</w:t>
      </w:r>
      <w:r w:rsidR="00B26A48" w:rsidRPr="0078658C">
        <w:rPr>
          <w:b/>
          <w:u w:val="single"/>
        </w:rPr>
        <w:t>, including HFC-23</w:t>
      </w:r>
      <w:r w:rsidR="00E31656" w:rsidRPr="0078658C">
        <w:rPr>
          <w:b/>
          <w:u w:val="single"/>
        </w:rPr>
        <w:t xml:space="preserve">. </w:t>
      </w:r>
    </w:p>
    <w:p w14:paraId="1ACFEBFC" w14:textId="6891126D" w:rsidR="00E31656" w:rsidRPr="0013188C" w:rsidRDefault="00E31656" w:rsidP="00275CBE">
      <w:pPr>
        <w:pStyle w:val="Heading4"/>
      </w:pPr>
      <w:bookmarkStart w:id="98" w:name="_Hlk506908527"/>
      <w:bookmarkStart w:id="99" w:name="_Toc505079426"/>
      <w:r w:rsidRPr="0013188C">
        <w:t>3.3.4.1</w:t>
      </w:r>
      <w:r w:rsidRPr="0013188C">
        <w:tab/>
        <w:t>Experience with HFC destruction</w:t>
      </w:r>
    </w:p>
    <w:p w14:paraId="359CDFD7" w14:textId="72AE95CC" w:rsidR="00E31656" w:rsidRDefault="00E31656" w:rsidP="00E31656">
      <w:pPr>
        <w:rPr>
          <w:rFonts w:eastAsia="Times New Roman"/>
          <w:lang w:val="en-AU"/>
        </w:rPr>
      </w:pPr>
      <w:r>
        <w:rPr>
          <w:rFonts w:eastAsia="Times New Roman"/>
          <w:lang w:val="en-AU"/>
        </w:rPr>
        <w:t xml:space="preserve">The technology is utilized </w:t>
      </w:r>
      <w:r w:rsidR="00B44409">
        <w:rPr>
          <w:rFonts w:eastAsia="Times New Roman"/>
          <w:lang w:val="en-AU"/>
        </w:rPr>
        <w:t xml:space="preserve">in China </w:t>
      </w:r>
      <w:r>
        <w:rPr>
          <w:rFonts w:eastAsia="Times New Roman"/>
          <w:lang w:val="en-AU"/>
        </w:rPr>
        <w:t>at HCFC-22 production facilities for the destruction of HFC-23</w:t>
      </w:r>
      <w:r w:rsidR="00B20B20">
        <w:rPr>
          <w:rFonts w:eastAsia="Times New Roman"/>
          <w:lang w:val="en-AU"/>
        </w:rPr>
        <w:t xml:space="preserve"> and emissions and DRE data is available on the CDM project website</w:t>
      </w:r>
      <w:r>
        <w:rPr>
          <w:rFonts w:eastAsia="Times New Roman"/>
          <w:lang w:val="en-AU"/>
        </w:rPr>
        <w:t>. Representative amounts of HFC-23 destroyed at this plant over approximately 3</w:t>
      </w:r>
      <w:r w:rsidR="00CC035D">
        <w:rPr>
          <w:rFonts w:eastAsia="Times New Roman"/>
          <w:lang w:val="en-AU"/>
        </w:rPr>
        <w:t>-</w:t>
      </w:r>
      <w:r>
        <w:rPr>
          <w:rFonts w:eastAsia="Times New Roman"/>
          <w:lang w:val="en-AU"/>
        </w:rPr>
        <w:t xml:space="preserve">month periods in 2008 and 2009 were 52.62 </w:t>
      </w:r>
      <w:r w:rsidR="00004CE4">
        <w:rPr>
          <w:rFonts w:eastAsia="Times New Roman"/>
          <w:lang w:val="en-AU"/>
        </w:rPr>
        <w:t xml:space="preserve">tonnes </w:t>
      </w:r>
      <w:r>
        <w:rPr>
          <w:rFonts w:eastAsia="Times New Roman"/>
          <w:lang w:val="en-AU"/>
        </w:rPr>
        <w:t xml:space="preserve">and 42.45 </w:t>
      </w:r>
      <w:r w:rsidR="00004CE4">
        <w:rPr>
          <w:rFonts w:eastAsia="Times New Roman"/>
          <w:lang w:val="en-AU"/>
        </w:rPr>
        <w:t xml:space="preserve">tonnes </w:t>
      </w:r>
      <w:r>
        <w:rPr>
          <w:rFonts w:eastAsia="Times New Roman"/>
          <w:lang w:val="en-AU"/>
        </w:rPr>
        <w:t>respectively.</w:t>
      </w:r>
      <w:r w:rsidR="00514300">
        <w:rPr>
          <w:rFonts w:eastAsia="Times New Roman"/>
          <w:lang w:val="en-AU"/>
        </w:rPr>
        <w:t xml:space="preserve"> </w:t>
      </w:r>
      <w:r w:rsidRPr="00AB4A28">
        <w:rPr>
          <w:rFonts w:eastAsia="Times New Roman"/>
          <w:lang w:val="en-AU"/>
        </w:rPr>
        <w:t xml:space="preserve"> </w:t>
      </w:r>
      <w:r w:rsidRPr="00C42D01">
        <w:rPr>
          <w:rFonts w:eastAsia="Times New Roman"/>
          <w:lang w:val="en-AU"/>
        </w:rPr>
        <w:t xml:space="preserve">No </w:t>
      </w:r>
      <w:r>
        <w:rPr>
          <w:rFonts w:eastAsia="Times New Roman"/>
          <w:lang w:val="en-AU"/>
        </w:rPr>
        <w:t xml:space="preserve">current </w:t>
      </w:r>
      <w:r w:rsidRPr="00C42D01">
        <w:rPr>
          <w:rFonts w:eastAsia="Times New Roman"/>
          <w:lang w:val="en-AU"/>
        </w:rPr>
        <w:t xml:space="preserve">information is available on application of this technology to HFCs </w:t>
      </w:r>
      <w:r>
        <w:rPr>
          <w:rFonts w:eastAsia="Times New Roman"/>
          <w:lang w:val="en-AU"/>
        </w:rPr>
        <w:t xml:space="preserve">in Japan historically noting the 2002 </w:t>
      </w:r>
      <w:r w:rsidR="00004CE4">
        <w:rPr>
          <w:rFonts w:eastAsia="Times New Roman"/>
          <w:lang w:val="en-AU"/>
        </w:rPr>
        <w:t>TFDT</w:t>
      </w:r>
      <w:r>
        <w:rPr>
          <w:rFonts w:eastAsia="Times New Roman"/>
          <w:lang w:val="en-AU"/>
        </w:rPr>
        <w:t xml:space="preserve"> report indicates it has been applied to HFCs in Japan. </w:t>
      </w:r>
    </w:p>
    <w:p w14:paraId="5E4404E9" w14:textId="77777777" w:rsidR="00E31656" w:rsidRPr="006C0C5C" w:rsidRDefault="00E31656" w:rsidP="00275CBE">
      <w:pPr>
        <w:pStyle w:val="Heading4"/>
      </w:pPr>
      <w:r w:rsidRPr="006C0C5C">
        <w:lastRenderedPageBreak/>
        <w:t>3.</w:t>
      </w:r>
      <w:r>
        <w:t>3</w:t>
      </w:r>
      <w:r w:rsidRPr="006C0C5C">
        <w:t>.</w:t>
      </w:r>
      <w:r>
        <w:t>4</w:t>
      </w:r>
      <w:r w:rsidRPr="006C0C5C">
        <w:t>.2</w:t>
      </w:r>
      <w:r w:rsidRPr="006C0C5C">
        <w:tab/>
        <w:t>Assessment of applicability to HFCs using performance criteria</w:t>
      </w:r>
    </w:p>
    <w:p w14:paraId="02E9CC04" w14:textId="7BC934B1" w:rsidR="00F839A9" w:rsidRDefault="00E31656" w:rsidP="00E31656">
      <w:pPr>
        <w:rPr>
          <w:rFonts w:eastAsia="Times New Roman"/>
          <w:lang w:val="en-AU"/>
        </w:rPr>
      </w:pPr>
      <w:r>
        <w:rPr>
          <w:rFonts w:eastAsia="Times New Roman"/>
          <w:lang w:val="en-AU"/>
        </w:rPr>
        <w:t>Performance data on the application at the above facility in China is available through periodic CDM project documents and monitoring report. Emission performance data for two monitoring periods and a recent test program on HFC-23</w:t>
      </w:r>
      <w:r w:rsidR="00B44409">
        <w:rPr>
          <w:rFonts w:eastAsia="Times New Roman"/>
          <w:lang w:val="en-AU"/>
        </w:rPr>
        <w:t xml:space="preserve"> are available</w:t>
      </w:r>
      <w:r w:rsidR="00B5697C">
        <w:rPr>
          <w:rFonts w:eastAsia="Times New Roman"/>
          <w:lang w:val="en-AU"/>
        </w:rPr>
        <w:t>.</w:t>
      </w:r>
      <w:r>
        <w:rPr>
          <w:rFonts w:eastAsia="Times New Roman"/>
          <w:lang w:val="en-AU"/>
        </w:rPr>
        <w:t xml:space="preserve"> The </w:t>
      </w:r>
      <w:r w:rsidR="004209D4">
        <w:rPr>
          <w:rFonts w:eastAsia="Times New Roman"/>
          <w:lang w:val="en-AU"/>
        </w:rPr>
        <w:t xml:space="preserve">CDM project design document </w:t>
      </w:r>
      <w:r>
        <w:rPr>
          <w:rFonts w:eastAsia="Times New Roman"/>
          <w:lang w:val="en-AU"/>
        </w:rPr>
        <w:t>indicate</w:t>
      </w:r>
      <w:r w:rsidR="004209D4">
        <w:rPr>
          <w:rFonts w:eastAsia="Times New Roman"/>
          <w:lang w:val="en-AU"/>
        </w:rPr>
        <w:t>s</w:t>
      </w:r>
      <w:r>
        <w:rPr>
          <w:rFonts w:eastAsia="Times New Roman"/>
          <w:lang w:val="en-AU"/>
        </w:rPr>
        <w:t xml:space="preserve"> that the design DRE </w:t>
      </w:r>
      <w:r w:rsidR="0097400E">
        <w:rPr>
          <w:rFonts w:eastAsia="Times New Roman"/>
          <w:lang w:val="en-AU"/>
        </w:rPr>
        <w:t xml:space="preserve">is </w:t>
      </w:r>
      <w:r w:rsidR="004209D4">
        <w:rPr>
          <w:rFonts w:eastAsia="Times New Roman"/>
          <w:lang w:val="en-AU"/>
        </w:rPr>
        <w:t xml:space="preserve">greater than </w:t>
      </w:r>
      <w:r>
        <w:rPr>
          <w:rFonts w:eastAsia="Times New Roman"/>
          <w:lang w:val="en-AU"/>
        </w:rPr>
        <w:t>99.99%</w:t>
      </w:r>
      <w:r w:rsidR="004209D4">
        <w:rPr>
          <w:rStyle w:val="FootnoteReference"/>
          <w:rFonts w:eastAsia="Times New Roman"/>
          <w:lang w:val="en-AU"/>
        </w:rPr>
        <w:footnoteReference w:id="55"/>
      </w:r>
      <w:r w:rsidR="004209D4">
        <w:rPr>
          <w:rFonts w:eastAsia="Times New Roman"/>
          <w:lang w:val="en-AU"/>
        </w:rPr>
        <w:t>.</w:t>
      </w:r>
      <w:r w:rsidR="00514300">
        <w:rPr>
          <w:rFonts w:eastAsia="Times New Roman"/>
          <w:lang w:val="en-AU"/>
        </w:rPr>
        <w:t xml:space="preserve"> </w:t>
      </w:r>
      <w:r w:rsidR="006A110F">
        <w:rPr>
          <w:rFonts w:eastAsia="Times New Roman"/>
          <w:lang w:val="en-AU"/>
        </w:rPr>
        <w:t>Two monitoring reports were selected</w:t>
      </w:r>
      <w:r w:rsidR="00F839A9">
        <w:rPr>
          <w:rStyle w:val="FootnoteReference"/>
          <w:rFonts w:eastAsia="Times New Roman"/>
          <w:lang w:val="en-AU"/>
        </w:rPr>
        <w:footnoteReference w:id="56"/>
      </w:r>
      <w:r w:rsidR="006A110F">
        <w:rPr>
          <w:rFonts w:eastAsia="Times New Roman"/>
          <w:lang w:val="en-AU"/>
        </w:rPr>
        <w:t xml:space="preserve"> and these provide data for all relevant emissions apart from particulates.</w:t>
      </w:r>
      <w:r w:rsidR="00514300">
        <w:rPr>
          <w:rFonts w:eastAsia="Times New Roman"/>
          <w:lang w:val="en-AU"/>
        </w:rPr>
        <w:t xml:space="preserve"> </w:t>
      </w:r>
      <w:r w:rsidR="00BE10C6">
        <w:rPr>
          <w:rFonts w:eastAsia="Times New Roman"/>
          <w:lang w:val="en-AU"/>
        </w:rPr>
        <w:t>The emissions data</w:t>
      </w:r>
      <w:r w:rsidR="00CD6F61">
        <w:rPr>
          <w:rFonts w:eastAsia="Times New Roman"/>
          <w:lang w:val="en-AU"/>
        </w:rPr>
        <w:t xml:space="preserve"> for HF and particulates are reported as higher than the performance criteria. Emissions</w:t>
      </w:r>
      <w:r w:rsidR="00BE10C6">
        <w:rPr>
          <w:rFonts w:eastAsia="Times New Roman"/>
          <w:lang w:val="en-AU"/>
        </w:rPr>
        <w:t xml:space="preserve"> </w:t>
      </w:r>
      <w:r w:rsidR="00183904">
        <w:rPr>
          <w:rFonts w:eastAsia="Times New Roman"/>
          <w:lang w:val="en-AU"/>
        </w:rPr>
        <w:t xml:space="preserve">for other pollutants </w:t>
      </w:r>
      <w:r w:rsidR="00CD6F61">
        <w:rPr>
          <w:rFonts w:eastAsia="Times New Roman"/>
          <w:lang w:val="en-AU"/>
        </w:rPr>
        <w:t>meet</w:t>
      </w:r>
      <w:r w:rsidR="00BE10C6">
        <w:rPr>
          <w:rFonts w:eastAsia="Times New Roman"/>
          <w:lang w:val="en-AU"/>
        </w:rPr>
        <w:t xml:space="preserve"> the </w:t>
      </w:r>
      <w:r w:rsidR="00183904">
        <w:rPr>
          <w:rFonts w:eastAsia="Times New Roman"/>
          <w:lang w:val="en-AU"/>
        </w:rPr>
        <w:t xml:space="preserve">performance </w:t>
      </w:r>
      <w:r w:rsidR="00BE10C6">
        <w:rPr>
          <w:rFonts w:eastAsia="Times New Roman"/>
          <w:lang w:val="en-AU"/>
        </w:rPr>
        <w:t>criteria.</w:t>
      </w:r>
      <w:r w:rsidR="00BE10C6" w:rsidRPr="00BE10C6">
        <w:rPr>
          <w:rFonts w:eastAsia="Times New Roman"/>
          <w:lang w:val="en-AU"/>
        </w:rPr>
        <w:t xml:space="preserve"> </w:t>
      </w:r>
      <w:r w:rsidR="00F839A9">
        <w:rPr>
          <w:rFonts w:eastAsia="Times New Roman"/>
          <w:lang w:val="en-AU"/>
        </w:rPr>
        <w:t>Based on the monitoring reports</w:t>
      </w:r>
      <w:r w:rsidR="00CC035D">
        <w:rPr>
          <w:rFonts w:eastAsia="Times New Roman"/>
          <w:lang w:val="en-AU"/>
        </w:rPr>
        <w:t>,</w:t>
      </w:r>
      <w:r w:rsidR="00F839A9">
        <w:rPr>
          <w:rFonts w:eastAsia="Times New Roman"/>
          <w:lang w:val="en-AU"/>
        </w:rPr>
        <w:t xml:space="preserve"> the DRE appears to be &gt;99.99%.</w:t>
      </w:r>
      <w:r w:rsidR="00F839A9">
        <w:rPr>
          <w:rStyle w:val="FootnoteReference"/>
          <w:rFonts w:eastAsia="Times New Roman"/>
          <w:lang w:val="en-AU"/>
        </w:rPr>
        <w:footnoteReference w:id="57"/>
      </w:r>
    </w:p>
    <w:p w14:paraId="48712448" w14:textId="77777777" w:rsidR="00E31656" w:rsidRPr="006C0C5C" w:rsidRDefault="00E31656" w:rsidP="00275CBE">
      <w:pPr>
        <w:pStyle w:val="Heading4"/>
      </w:pPr>
      <w:r w:rsidRPr="006C0C5C">
        <w:t>3.</w:t>
      </w:r>
      <w:r>
        <w:t>3</w:t>
      </w:r>
      <w:r w:rsidRPr="006C0C5C">
        <w:t>.</w:t>
      </w:r>
      <w:r>
        <w:t>4</w:t>
      </w:r>
      <w:r w:rsidRPr="006C0C5C">
        <w:t>.3</w:t>
      </w:r>
      <w:r w:rsidRPr="006C0C5C">
        <w:tab/>
        <w:t>Technical capability for destruction of HFCs</w:t>
      </w:r>
    </w:p>
    <w:p w14:paraId="3789A903" w14:textId="180A6EB3" w:rsidR="00E31656" w:rsidRDefault="00E31656" w:rsidP="00E31656">
      <w:pPr>
        <w:rPr>
          <w:rFonts w:eastAsia="Times New Roman"/>
        </w:rPr>
      </w:pPr>
      <w:r>
        <w:rPr>
          <w:rFonts w:eastAsia="Times New Roman"/>
        </w:rPr>
        <w:t>The 2002 TEAP TF report indicated a capacity of 10 kg</w:t>
      </w:r>
      <w:r w:rsidR="00004CE4">
        <w:rPr>
          <w:rFonts w:eastAsia="Times New Roman"/>
        </w:rPr>
        <w:t>/</w:t>
      </w:r>
      <w:r>
        <w:rPr>
          <w:rFonts w:eastAsia="Times New Roman"/>
        </w:rPr>
        <w:t>hr for ODS</w:t>
      </w:r>
      <w:r w:rsidR="00CC035D">
        <w:rPr>
          <w:rFonts w:eastAsia="Times New Roman"/>
        </w:rPr>
        <w:t xml:space="preserve"> destruction</w:t>
      </w:r>
      <w:r>
        <w:rPr>
          <w:rFonts w:eastAsia="Times New Roman"/>
        </w:rPr>
        <w:t xml:space="preserve">. </w:t>
      </w:r>
      <w:r w:rsidR="00DE1373">
        <w:rPr>
          <w:rFonts w:eastAsia="Times New Roman"/>
        </w:rPr>
        <w:t>The monitoring reports for the CDM project in China indicate a capacity for HFC-23 destruction of about 20kg/hr.</w:t>
      </w:r>
      <w:r w:rsidR="00514300">
        <w:rPr>
          <w:rFonts w:eastAsia="Times New Roman"/>
        </w:rPr>
        <w:t xml:space="preserve"> </w:t>
      </w:r>
    </w:p>
    <w:p w14:paraId="37259D2D" w14:textId="77777777" w:rsidR="00E31656" w:rsidRPr="006C0C5C" w:rsidRDefault="00E31656" w:rsidP="00275CBE">
      <w:pPr>
        <w:pStyle w:val="Heading4"/>
      </w:pPr>
      <w:r w:rsidRPr="006C0C5C">
        <w:t>3.</w:t>
      </w:r>
      <w:r>
        <w:t>3</w:t>
      </w:r>
      <w:r w:rsidRPr="006C0C5C">
        <w:t>.</w:t>
      </w:r>
      <w:r>
        <w:t>4</w:t>
      </w:r>
      <w:r w:rsidRPr="006C0C5C">
        <w:t>.4</w:t>
      </w:r>
      <w:r w:rsidRPr="006C0C5C">
        <w:tab/>
        <w:t>Other considerations</w:t>
      </w:r>
    </w:p>
    <w:p w14:paraId="390B8CF5" w14:textId="77777777" w:rsidR="00E31656" w:rsidRDefault="00E31656" w:rsidP="00E31656">
      <w:pPr>
        <w:rPr>
          <w:rFonts w:eastAsia="Times New Roman"/>
        </w:rPr>
      </w:pPr>
      <w:r>
        <w:rPr>
          <w:rFonts w:eastAsia="Times New Roman"/>
        </w:rPr>
        <w:t>No other considerations are identified.</w:t>
      </w:r>
    </w:p>
    <w:p w14:paraId="0B2B6308" w14:textId="395AD50F" w:rsidR="00E31656" w:rsidRPr="006C0C5C" w:rsidRDefault="00E31656" w:rsidP="00275CBE">
      <w:pPr>
        <w:pStyle w:val="Heading3"/>
      </w:pPr>
      <w:bookmarkStart w:id="101" w:name="_Toc508228177"/>
      <w:bookmarkStart w:id="102" w:name="_Ref510530813"/>
      <w:bookmarkStart w:id="103" w:name="_Toc510531474"/>
      <w:bookmarkEnd w:id="98"/>
      <w:r w:rsidRPr="00DC7FF4">
        <w:t>3.3.5</w:t>
      </w:r>
      <w:r w:rsidRPr="00DC7FF4">
        <w:tab/>
        <w:t>Portable Plasma Arc</w:t>
      </w:r>
      <w:bookmarkEnd w:id="99"/>
      <w:bookmarkEnd w:id="101"/>
      <w:bookmarkEnd w:id="102"/>
      <w:bookmarkEnd w:id="103"/>
    </w:p>
    <w:p w14:paraId="1A82DD16" w14:textId="4F944755" w:rsidR="00E31656" w:rsidRDefault="00E31656" w:rsidP="00E31656">
      <w:pPr>
        <w:rPr>
          <w:rFonts w:eastAsia="Times New Roman"/>
          <w:lang w:val="en-AU"/>
        </w:rPr>
      </w:pPr>
      <w:r>
        <w:rPr>
          <w:rFonts w:eastAsia="Times New Roman"/>
          <w:lang w:val="en-AU"/>
        </w:rPr>
        <w:t xml:space="preserve">This category of plasma arc technology was introduced in the 2011 </w:t>
      </w:r>
      <w:r w:rsidR="00004CE4">
        <w:rPr>
          <w:rFonts w:eastAsia="Times New Roman"/>
          <w:lang w:val="en-AU"/>
        </w:rPr>
        <w:t>TFDT</w:t>
      </w:r>
      <w:r>
        <w:rPr>
          <w:rFonts w:eastAsia="Times New Roman"/>
          <w:lang w:val="en-AU"/>
        </w:rPr>
        <w:t xml:space="preserve"> report as an approved for ODS destruction and applied specifically to a small-scale unit (&lt;2 kg/hr)</w:t>
      </w:r>
      <w:r w:rsidR="00004CE4">
        <w:rPr>
          <w:rFonts w:eastAsia="Times New Roman"/>
          <w:lang w:val="en-AU"/>
        </w:rPr>
        <w:t>,</w:t>
      </w:r>
      <w:r>
        <w:rPr>
          <w:rFonts w:eastAsia="Times New Roman"/>
          <w:lang w:val="en-AU"/>
        </w:rPr>
        <w:t xml:space="preserve"> marketed by </w:t>
      </w:r>
      <w:r w:rsidR="00004CE4">
        <w:rPr>
          <w:rFonts w:eastAsia="Times New Roman"/>
          <w:lang w:val="en-AU"/>
        </w:rPr>
        <w:t>a company in Japan</w:t>
      </w:r>
      <w:r>
        <w:rPr>
          <w:rFonts w:eastAsia="Times New Roman"/>
          <w:lang w:val="en-AU"/>
        </w:rPr>
        <w:t>.</w:t>
      </w:r>
      <w:r w:rsidR="00514300">
        <w:rPr>
          <w:rFonts w:eastAsia="Times New Roman"/>
          <w:lang w:val="en-AU"/>
        </w:rPr>
        <w:t xml:space="preserve"> </w:t>
      </w:r>
      <w:r>
        <w:rPr>
          <w:rFonts w:eastAsia="Times New Roman"/>
          <w:lang w:val="en-AU"/>
        </w:rPr>
        <w:t>This process appears to be a variant of nitrogen plasma arc involving a DC based plasma torch and simple caustic scrubber for exhaust gases. A more detailed description of the process is not available, presumably for proprietary reasons.</w:t>
      </w:r>
      <w:r w:rsidR="00514300">
        <w:rPr>
          <w:rFonts w:eastAsia="Times New Roman"/>
          <w:lang w:val="en-AU"/>
        </w:rPr>
        <w:t xml:space="preserve"> </w:t>
      </w:r>
      <w:r>
        <w:rPr>
          <w:rFonts w:eastAsia="Times New Roman"/>
          <w:lang w:val="en-AU"/>
        </w:rPr>
        <w:t xml:space="preserve"> </w:t>
      </w:r>
    </w:p>
    <w:p w14:paraId="29684ACB" w14:textId="77777777" w:rsidR="00E31656" w:rsidRDefault="00E31656" w:rsidP="00E31656">
      <w:pPr>
        <w:rPr>
          <w:rFonts w:eastAsia="Times New Roman"/>
          <w:lang w:val="en-AU"/>
        </w:rPr>
      </w:pPr>
      <w:r>
        <w:rPr>
          <w:rFonts w:eastAsia="Times New Roman"/>
          <w:lang w:val="en-AU"/>
        </w:rPr>
        <w:t xml:space="preserve">In its current submission, Japan identifies this as a technology in use for HFC destruction and supplied some supporting performance data assumed to be applicable to HFCs. </w:t>
      </w:r>
    </w:p>
    <w:p w14:paraId="210A1142" w14:textId="1E454BD9" w:rsidR="00E31656" w:rsidRDefault="00B0482F" w:rsidP="00E31656">
      <w:pPr>
        <w:rPr>
          <w:rFonts w:eastAsia="Times New Roman"/>
          <w:lang w:val="en-AU"/>
        </w:rPr>
      </w:pPr>
      <w:r>
        <w:t>D</w:t>
      </w:r>
      <w:proofErr w:type="spellStart"/>
      <w:r w:rsidR="00430F70">
        <w:rPr>
          <w:rFonts w:eastAsia="Times New Roman"/>
          <w:lang w:val="en-AU"/>
        </w:rPr>
        <w:t>ata</w:t>
      </w:r>
      <w:proofErr w:type="spellEnd"/>
      <w:r w:rsidR="00430F70">
        <w:rPr>
          <w:rFonts w:eastAsia="Times New Roman"/>
          <w:lang w:val="en-AU"/>
        </w:rPr>
        <w:t xml:space="preserve"> w</w:t>
      </w:r>
      <w:r>
        <w:rPr>
          <w:rFonts w:eastAsia="Times New Roman"/>
          <w:lang w:val="en-AU"/>
        </w:rPr>
        <w:t>ere</w:t>
      </w:r>
      <w:r w:rsidR="00430F70">
        <w:rPr>
          <w:rFonts w:eastAsia="Times New Roman"/>
          <w:lang w:val="en-AU"/>
        </w:rPr>
        <w:t xml:space="preserve"> not available for </w:t>
      </w:r>
      <w:proofErr w:type="spellStart"/>
      <w:r w:rsidR="00430F70">
        <w:rPr>
          <w:rFonts w:eastAsia="Times New Roman"/>
          <w:lang w:val="en-AU"/>
        </w:rPr>
        <w:t>HCl</w:t>
      </w:r>
      <w:proofErr w:type="spellEnd"/>
      <w:r w:rsidR="00430F70">
        <w:rPr>
          <w:rFonts w:eastAsia="Times New Roman"/>
          <w:lang w:val="en-AU"/>
        </w:rPr>
        <w:t xml:space="preserve"> and dioxins/furans emissions at the time of writing of this report</w:t>
      </w:r>
      <w:r>
        <w:rPr>
          <w:rFonts w:eastAsia="Times New Roman"/>
          <w:lang w:val="en-AU"/>
        </w:rPr>
        <w:t>.</w:t>
      </w:r>
      <w:r w:rsidR="00430F70">
        <w:rPr>
          <w:rFonts w:eastAsia="Times New Roman"/>
          <w:lang w:val="en-AU"/>
        </w:rPr>
        <w:t xml:space="preserve"> </w:t>
      </w:r>
      <w:r w:rsidR="00004CE4" w:rsidRPr="0078658C">
        <w:rPr>
          <w:b/>
          <w:u w:val="single"/>
        </w:rPr>
        <w:t>Portable Plasma Arc</w:t>
      </w:r>
      <w:r w:rsidR="00E31656" w:rsidRPr="0078658C">
        <w:rPr>
          <w:b/>
          <w:u w:val="single"/>
        </w:rPr>
        <w:t xml:space="preserve"> is recommended</w:t>
      </w:r>
      <w:r w:rsidR="00E31656">
        <w:rPr>
          <w:b/>
          <w:u w:val="single"/>
        </w:rPr>
        <w:t xml:space="preserve"> as </w:t>
      </w:r>
      <w:r w:rsidR="00E31656" w:rsidRPr="00B5697C">
        <w:rPr>
          <w:b/>
          <w:i/>
          <w:u w:val="single"/>
        </w:rPr>
        <w:t xml:space="preserve">high </w:t>
      </w:r>
      <w:r w:rsidR="00E31656" w:rsidRPr="00CC035D">
        <w:rPr>
          <w:b/>
          <w:i/>
          <w:u w:val="single"/>
        </w:rPr>
        <w:t>potential</w:t>
      </w:r>
      <w:r w:rsidR="00E31656" w:rsidRPr="00E90B45">
        <w:rPr>
          <w:b/>
          <w:u w:val="single"/>
        </w:rPr>
        <w:t xml:space="preserve"> </w:t>
      </w:r>
      <w:r w:rsidR="00004CE4" w:rsidRPr="00E90B45">
        <w:rPr>
          <w:b/>
          <w:u w:val="single"/>
        </w:rPr>
        <w:t xml:space="preserve">for </w:t>
      </w:r>
      <w:r w:rsidR="00401323">
        <w:rPr>
          <w:b/>
          <w:u w:val="single"/>
        </w:rPr>
        <w:t xml:space="preserve">applicability to </w:t>
      </w:r>
      <w:r w:rsidR="00004CE4" w:rsidRPr="00E90B45">
        <w:rPr>
          <w:b/>
          <w:u w:val="single"/>
        </w:rPr>
        <w:t>HFCs destruction</w:t>
      </w:r>
      <w:r w:rsidR="00B26A48">
        <w:rPr>
          <w:b/>
          <w:u w:val="single"/>
        </w:rPr>
        <w:t>,</w:t>
      </w:r>
      <w:r w:rsidR="00762DFE">
        <w:rPr>
          <w:b/>
          <w:u w:val="single"/>
        </w:rPr>
        <w:t xml:space="preserve"> including HFC-23</w:t>
      </w:r>
      <w:r w:rsidR="00004CE4">
        <w:t xml:space="preserve">. </w:t>
      </w:r>
    </w:p>
    <w:p w14:paraId="5EFA1C3A" w14:textId="77777777" w:rsidR="00E31656" w:rsidRPr="006C0C5C" w:rsidRDefault="00E31656" w:rsidP="00E31656">
      <w:pPr>
        <w:keepNext/>
        <w:widowControl w:val="0"/>
        <w:tabs>
          <w:tab w:val="left" w:pos="720"/>
        </w:tabs>
        <w:spacing w:after="60" w:line="276" w:lineRule="auto"/>
        <w:ind w:left="1440" w:hanging="720"/>
        <w:outlineLvl w:val="3"/>
        <w:rPr>
          <w:rFonts w:eastAsia="MS Mincho"/>
          <w:b/>
          <w:snapToGrid w:val="0"/>
        </w:rPr>
      </w:pPr>
      <w:bookmarkStart w:id="104" w:name="_Hlk506978796"/>
      <w:r w:rsidRPr="006C0C5C">
        <w:rPr>
          <w:rFonts w:eastAsia="MS Mincho"/>
          <w:b/>
          <w:snapToGrid w:val="0"/>
        </w:rPr>
        <w:t>3.</w:t>
      </w:r>
      <w:r>
        <w:rPr>
          <w:rFonts w:eastAsia="MS Mincho"/>
          <w:b/>
          <w:snapToGrid w:val="0"/>
        </w:rPr>
        <w:t>3.5</w:t>
      </w:r>
      <w:r w:rsidRPr="006C0C5C">
        <w:rPr>
          <w:rFonts w:eastAsia="MS Mincho"/>
          <w:b/>
          <w:snapToGrid w:val="0"/>
        </w:rPr>
        <w:t>.1</w:t>
      </w:r>
      <w:r w:rsidRPr="006C0C5C">
        <w:rPr>
          <w:rFonts w:eastAsia="MS Mincho"/>
          <w:b/>
          <w:snapToGrid w:val="0"/>
        </w:rPr>
        <w:tab/>
        <w:t>Experience with HFC destruction</w:t>
      </w:r>
    </w:p>
    <w:p w14:paraId="3C19D51B" w14:textId="2934602B" w:rsidR="00E31656" w:rsidRPr="00EA1F29" w:rsidRDefault="00E31656" w:rsidP="00EA1F29">
      <w:pPr>
        <w:rPr>
          <w:lang w:val="en-AU"/>
        </w:rPr>
      </w:pPr>
      <w:r w:rsidRPr="00EA1F29">
        <w:rPr>
          <w:lang w:val="en-AU"/>
        </w:rPr>
        <w:t>The technology is marketed as capable of destruction for refrigerant</w:t>
      </w:r>
      <w:r w:rsidR="00B5697C" w:rsidRPr="00584E0D">
        <w:rPr>
          <w:lang w:val="en-AU"/>
        </w:rPr>
        <w:t xml:space="preserve"> including HFCs</w:t>
      </w:r>
      <w:r w:rsidR="00DC7FF4" w:rsidRPr="00584E0D">
        <w:rPr>
          <w:lang w:val="en-AU"/>
        </w:rPr>
        <w:t xml:space="preserve">. </w:t>
      </w:r>
      <w:r w:rsidRPr="00584E0D">
        <w:rPr>
          <w:lang w:val="en-AU"/>
        </w:rPr>
        <w:t xml:space="preserve">Data reported is assumed to apply to HFCs although the specific HFC to which it applies was not identified. </w:t>
      </w:r>
      <w:r w:rsidR="00FD58B4" w:rsidRPr="00584E0D">
        <w:rPr>
          <w:lang w:val="en-AU"/>
        </w:rPr>
        <w:t xml:space="preserve">Japan reported destruction of </w:t>
      </w:r>
      <w:r w:rsidR="00FD58B4" w:rsidRPr="00AE7C9D">
        <w:rPr>
          <w:szCs w:val="22"/>
        </w:rPr>
        <w:t>CFC-12, HCFC-22, HFC-134a, R-410A, and R-407C by this technology.</w:t>
      </w:r>
    </w:p>
    <w:p w14:paraId="46114633" w14:textId="089113AA" w:rsidR="00E31656" w:rsidRDefault="00E31656" w:rsidP="00E31656">
      <w:pPr>
        <w:rPr>
          <w:rFonts w:eastAsia="Times New Roman"/>
          <w:lang w:val="en-AU"/>
        </w:rPr>
      </w:pPr>
      <w:r>
        <w:rPr>
          <w:rFonts w:eastAsia="Times New Roman"/>
          <w:lang w:val="en-AU"/>
        </w:rPr>
        <w:lastRenderedPageBreak/>
        <w:t xml:space="preserve">There is </w:t>
      </w:r>
      <w:r w:rsidR="00B0482F">
        <w:rPr>
          <w:rFonts w:eastAsia="Times New Roman"/>
          <w:lang w:val="en-AU"/>
        </w:rPr>
        <w:t>at least one</w:t>
      </w:r>
      <w:r>
        <w:rPr>
          <w:rFonts w:eastAsia="Times New Roman"/>
          <w:lang w:val="en-AU"/>
        </w:rPr>
        <w:t xml:space="preserve"> MLF ODS destruction demonstration project related to this technology and it has been utilized for demonstration purposes in several countries although no information is available on its sustained use.</w:t>
      </w:r>
    </w:p>
    <w:p w14:paraId="1FBEE0C1" w14:textId="77777777" w:rsidR="00E31656" w:rsidRPr="006C0C5C" w:rsidRDefault="00E31656" w:rsidP="00E31656">
      <w:pPr>
        <w:keepNext/>
        <w:widowControl w:val="0"/>
        <w:tabs>
          <w:tab w:val="left" w:pos="720"/>
        </w:tabs>
        <w:spacing w:after="60" w:line="276" w:lineRule="auto"/>
        <w:ind w:left="1440" w:hanging="720"/>
        <w:outlineLvl w:val="3"/>
        <w:rPr>
          <w:rFonts w:eastAsia="MS Mincho"/>
          <w:b/>
          <w:snapToGrid w:val="0"/>
        </w:rPr>
      </w:pPr>
      <w:r w:rsidRPr="006C0C5C">
        <w:rPr>
          <w:rFonts w:eastAsia="MS Mincho"/>
          <w:b/>
          <w:snapToGrid w:val="0"/>
        </w:rPr>
        <w:t>3.</w:t>
      </w:r>
      <w:r>
        <w:rPr>
          <w:rFonts w:eastAsia="MS Mincho"/>
          <w:b/>
          <w:snapToGrid w:val="0"/>
        </w:rPr>
        <w:t>3</w:t>
      </w:r>
      <w:r w:rsidRPr="006C0C5C">
        <w:rPr>
          <w:rFonts w:eastAsia="MS Mincho"/>
          <w:b/>
          <w:snapToGrid w:val="0"/>
        </w:rPr>
        <w:t>.</w:t>
      </w:r>
      <w:r>
        <w:rPr>
          <w:rFonts w:eastAsia="MS Mincho"/>
          <w:b/>
          <w:snapToGrid w:val="0"/>
        </w:rPr>
        <w:t>5</w:t>
      </w:r>
      <w:r w:rsidRPr="006C0C5C">
        <w:rPr>
          <w:rFonts w:eastAsia="MS Mincho"/>
          <w:b/>
          <w:snapToGrid w:val="0"/>
        </w:rPr>
        <w:t>.2</w:t>
      </w:r>
      <w:r w:rsidRPr="006C0C5C">
        <w:rPr>
          <w:rFonts w:eastAsia="MS Mincho"/>
          <w:b/>
          <w:snapToGrid w:val="0"/>
        </w:rPr>
        <w:tab/>
        <w:t>Assessment of applicability to HFCs using performance criteria</w:t>
      </w:r>
    </w:p>
    <w:p w14:paraId="78C117DD" w14:textId="36373801" w:rsidR="00E31656" w:rsidRDefault="00E31656" w:rsidP="00E31656">
      <w:pPr>
        <w:rPr>
          <w:rFonts w:eastAsia="Times New Roman"/>
          <w:lang w:val="en-AU"/>
        </w:rPr>
      </w:pPr>
      <w:r>
        <w:rPr>
          <w:rFonts w:eastAsia="Times New Roman"/>
          <w:lang w:val="en-AU"/>
        </w:rPr>
        <w:t>Performance data made available by Japan on an unidentified HFC operating at 1,500</w:t>
      </w:r>
      <w:r w:rsidR="00004CE4" w:rsidRPr="00582FAD">
        <w:rPr>
          <w:rFonts w:eastAsia="Times New Roman"/>
          <w:lang w:val="en-AU"/>
        </w:rPr>
        <w:t>º</w:t>
      </w:r>
      <w:r>
        <w:rPr>
          <w:rFonts w:eastAsia="Times New Roman"/>
          <w:lang w:val="en-AU"/>
        </w:rPr>
        <w:t>C and 0.13 second residence time</w:t>
      </w:r>
      <w:r w:rsidR="00651DFE">
        <w:rPr>
          <w:rFonts w:eastAsia="Times New Roman"/>
          <w:lang w:val="en-AU"/>
        </w:rPr>
        <w:t>.</w:t>
      </w:r>
      <w:r>
        <w:rPr>
          <w:rFonts w:eastAsia="Times New Roman"/>
          <w:lang w:val="en-AU"/>
        </w:rPr>
        <w:t xml:space="preserve"> </w:t>
      </w:r>
      <w:r w:rsidR="00651DFE">
        <w:rPr>
          <w:rFonts w:eastAsia="Times New Roman"/>
          <w:lang w:val="en-AU"/>
        </w:rPr>
        <w:t>T</w:t>
      </w:r>
      <w:r>
        <w:rPr>
          <w:rFonts w:eastAsia="Times New Roman"/>
          <w:lang w:val="en-AU"/>
        </w:rPr>
        <w:t>he DRE meet</w:t>
      </w:r>
      <w:r w:rsidR="00475A5D">
        <w:rPr>
          <w:rFonts w:eastAsia="Times New Roman"/>
          <w:lang w:val="en-AU"/>
        </w:rPr>
        <w:t>s</w:t>
      </w:r>
      <w:r>
        <w:rPr>
          <w:rFonts w:eastAsia="Times New Roman"/>
          <w:lang w:val="en-AU"/>
        </w:rPr>
        <w:t xml:space="preserve"> </w:t>
      </w:r>
      <w:r w:rsidR="00004CE4">
        <w:rPr>
          <w:rFonts w:eastAsia="Times New Roman"/>
          <w:lang w:val="en-AU"/>
        </w:rPr>
        <w:t xml:space="preserve">the performance </w:t>
      </w:r>
      <w:r>
        <w:rPr>
          <w:rFonts w:eastAsia="Times New Roman"/>
          <w:lang w:val="en-AU"/>
        </w:rPr>
        <w:t xml:space="preserve">criteria. However, data is not available for </w:t>
      </w:r>
      <w:proofErr w:type="spellStart"/>
      <w:r>
        <w:rPr>
          <w:rFonts w:eastAsia="Times New Roman"/>
          <w:lang w:val="en-AU"/>
        </w:rPr>
        <w:t>HCl</w:t>
      </w:r>
      <w:proofErr w:type="spellEnd"/>
      <w:r>
        <w:rPr>
          <w:rFonts w:eastAsia="Times New Roman"/>
          <w:lang w:val="en-AU"/>
        </w:rPr>
        <w:t xml:space="preserve"> and </w:t>
      </w:r>
      <w:r w:rsidR="009C07AB">
        <w:rPr>
          <w:rFonts w:eastAsia="Times New Roman"/>
          <w:lang w:val="en-AU"/>
        </w:rPr>
        <w:t>dioxins</w:t>
      </w:r>
      <w:r w:rsidR="00974994">
        <w:rPr>
          <w:rFonts w:eastAsia="Times New Roman"/>
          <w:lang w:val="en-AU"/>
        </w:rPr>
        <w:t>/</w:t>
      </w:r>
      <w:r w:rsidR="009C07AB">
        <w:rPr>
          <w:rFonts w:eastAsia="Times New Roman"/>
          <w:lang w:val="en-AU"/>
        </w:rPr>
        <w:t>furans</w:t>
      </w:r>
      <w:r w:rsidR="00004CE4">
        <w:rPr>
          <w:rFonts w:eastAsia="Times New Roman"/>
          <w:lang w:val="en-AU"/>
        </w:rPr>
        <w:t xml:space="preserve"> emissions</w:t>
      </w:r>
      <w:r>
        <w:rPr>
          <w:rFonts w:eastAsia="Times New Roman"/>
          <w:lang w:val="en-AU"/>
        </w:rPr>
        <w:t>.</w:t>
      </w:r>
    </w:p>
    <w:p w14:paraId="1170BA30" w14:textId="77777777" w:rsidR="00E31656" w:rsidRPr="006C0C5C" w:rsidRDefault="00E31656" w:rsidP="00E31656">
      <w:pPr>
        <w:keepNext/>
        <w:widowControl w:val="0"/>
        <w:tabs>
          <w:tab w:val="left" w:pos="720"/>
        </w:tabs>
        <w:spacing w:after="60" w:line="276" w:lineRule="auto"/>
        <w:ind w:left="1440" w:hanging="720"/>
        <w:outlineLvl w:val="3"/>
        <w:rPr>
          <w:rFonts w:eastAsia="MS Mincho"/>
          <w:b/>
          <w:snapToGrid w:val="0"/>
        </w:rPr>
      </w:pPr>
      <w:r w:rsidRPr="006C0C5C">
        <w:rPr>
          <w:rFonts w:eastAsia="MS Mincho"/>
          <w:b/>
          <w:snapToGrid w:val="0"/>
        </w:rPr>
        <w:t>3.</w:t>
      </w:r>
      <w:r>
        <w:rPr>
          <w:rFonts w:eastAsia="MS Mincho"/>
          <w:b/>
          <w:snapToGrid w:val="0"/>
        </w:rPr>
        <w:t>3</w:t>
      </w:r>
      <w:r w:rsidRPr="006C0C5C">
        <w:rPr>
          <w:rFonts w:eastAsia="MS Mincho"/>
          <w:b/>
          <w:snapToGrid w:val="0"/>
        </w:rPr>
        <w:t>.</w:t>
      </w:r>
      <w:r>
        <w:rPr>
          <w:rFonts w:eastAsia="MS Mincho"/>
          <w:b/>
          <w:snapToGrid w:val="0"/>
        </w:rPr>
        <w:t>5</w:t>
      </w:r>
      <w:r w:rsidRPr="006C0C5C">
        <w:rPr>
          <w:rFonts w:eastAsia="MS Mincho"/>
          <w:b/>
          <w:snapToGrid w:val="0"/>
        </w:rPr>
        <w:t>.3</w:t>
      </w:r>
      <w:r w:rsidRPr="006C0C5C">
        <w:rPr>
          <w:rFonts w:eastAsia="MS Mincho"/>
          <w:b/>
          <w:snapToGrid w:val="0"/>
        </w:rPr>
        <w:tab/>
        <w:t>Technical capability for destruction of HFCs</w:t>
      </w:r>
    </w:p>
    <w:p w14:paraId="2CA382D4" w14:textId="4C868D0C" w:rsidR="00E31656" w:rsidRDefault="00E31656" w:rsidP="00E31656">
      <w:pPr>
        <w:rPr>
          <w:rFonts w:eastAsia="Times New Roman"/>
        </w:rPr>
      </w:pPr>
      <w:r>
        <w:rPr>
          <w:rFonts w:eastAsia="Times New Roman"/>
        </w:rPr>
        <w:t>The portable unit is specifically intended for application at the source of end of life ODS and HFC refrigerants</w:t>
      </w:r>
      <w:r w:rsidR="00004CE4">
        <w:rPr>
          <w:rFonts w:eastAsia="Times New Roman"/>
        </w:rPr>
        <w:t>,</w:t>
      </w:r>
      <w:r>
        <w:rPr>
          <w:rFonts w:eastAsia="Times New Roman"/>
        </w:rPr>
        <w:t xml:space="preserve"> generated at locations like refrigeration servicing and reclaim centres.</w:t>
      </w:r>
      <w:r w:rsidR="00514300">
        <w:rPr>
          <w:rFonts w:eastAsia="Times New Roman"/>
        </w:rPr>
        <w:t xml:space="preserve"> </w:t>
      </w:r>
      <w:r w:rsidR="00004CE4">
        <w:rPr>
          <w:rFonts w:eastAsia="Times New Roman"/>
        </w:rPr>
        <w:t>Given the setting,</w:t>
      </w:r>
      <w:r>
        <w:rPr>
          <w:rFonts w:eastAsia="Times New Roman"/>
        </w:rPr>
        <w:t xml:space="preserve"> capacities are low (&lt;2kg/hr) and tailored to anticipated periodic </w:t>
      </w:r>
      <w:r w:rsidR="00004CE4">
        <w:rPr>
          <w:rFonts w:eastAsia="Times New Roman"/>
        </w:rPr>
        <w:t xml:space="preserve">and </w:t>
      </w:r>
      <w:r>
        <w:rPr>
          <w:rFonts w:eastAsia="Times New Roman"/>
        </w:rPr>
        <w:t>relatively low generation rates.</w:t>
      </w:r>
    </w:p>
    <w:p w14:paraId="17DECC1F" w14:textId="500B80A3" w:rsidR="00E31656" w:rsidRPr="006C0C5C" w:rsidRDefault="00E31656" w:rsidP="00E31656">
      <w:pPr>
        <w:keepNext/>
        <w:widowControl w:val="0"/>
        <w:tabs>
          <w:tab w:val="left" w:pos="720"/>
        </w:tabs>
        <w:spacing w:after="60" w:line="276" w:lineRule="auto"/>
        <w:ind w:left="1440" w:hanging="720"/>
        <w:outlineLvl w:val="3"/>
        <w:rPr>
          <w:rFonts w:eastAsia="MS Mincho"/>
          <w:b/>
          <w:snapToGrid w:val="0"/>
        </w:rPr>
      </w:pPr>
      <w:r w:rsidRPr="006C0C5C">
        <w:rPr>
          <w:rFonts w:eastAsia="MS Mincho"/>
          <w:b/>
          <w:snapToGrid w:val="0"/>
        </w:rPr>
        <w:t>3.</w:t>
      </w:r>
      <w:r w:rsidR="00B2547A">
        <w:rPr>
          <w:rFonts w:eastAsia="MS Mincho"/>
          <w:b/>
          <w:snapToGrid w:val="0"/>
        </w:rPr>
        <w:t>3</w:t>
      </w:r>
      <w:r w:rsidRPr="006C0C5C">
        <w:rPr>
          <w:rFonts w:eastAsia="MS Mincho"/>
          <w:b/>
          <w:snapToGrid w:val="0"/>
        </w:rPr>
        <w:t>.</w:t>
      </w:r>
      <w:r>
        <w:rPr>
          <w:rFonts w:eastAsia="MS Mincho"/>
          <w:b/>
          <w:snapToGrid w:val="0"/>
        </w:rPr>
        <w:t>5</w:t>
      </w:r>
      <w:r w:rsidRPr="006C0C5C">
        <w:rPr>
          <w:rFonts w:eastAsia="MS Mincho"/>
          <w:b/>
          <w:snapToGrid w:val="0"/>
        </w:rPr>
        <w:t>.4</w:t>
      </w:r>
      <w:r w:rsidRPr="006C0C5C">
        <w:rPr>
          <w:rFonts w:eastAsia="MS Mincho"/>
          <w:b/>
          <w:snapToGrid w:val="0"/>
        </w:rPr>
        <w:tab/>
        <w:t>Other considerations</w:t>
      </w:r>
    </w:p>
    <w:p w14:paraId="36C64D68" w14:textId="060C210D" w:rsidR="00E31656" w:rsidRPr="001E78FA" w:rsidRDefault="006546DE" w:rsidP="00E31656">
      <w:pPr>
        <w:rPr>
          <w:lang w:val="en-US" w:eastAsia="en-US"/>
        </w:rPr>
      </w:pPr>
      <w:r>
        <w:rPr>
          <w:rFonts w:eastAsia="Times New Roman"/>
        </w:rPr>
        <w:t xml:space="preserve">In a discussion with Japan and the supplier, it was </w:t>
      </w:r>
      <w:r w:rsidR="00E31656">
        <w:rPr>
          <w:rFonts w:eastAsia="Times New Roman"/>
        </w:rPr>
        <w:t>recommend</w:t>
      </w:r>
      <w:r>
        <w:rPr>
          <w:rFonts w:eastAsia="Times New Roman"/>
        </w:rPr>
        <w:t>ed</w:t>
      </w:r>
      <w:r w:rsidR="00E31656">
        <w:rPr>
          <w:rFonts w:eastAsia="Times New Roman"/>
        </w:rPr>
        <w:t xml:space="preserve"> that </w:t>
      </w:r>
      <w:r>
        <w:rPr>
          <w:rFonts w:eastAsia="Times New Roman"/>
        </w:rPr>
        <w:t xml:space="preserve">this technology be included </w:t>
      </w:r>
      <w:r w:rsidR="00E31656">
        <w:rPr>
          <w:rFonts w:eastAsia="Times New Roman"/>
        </w:rPr>
        <w:t>under the category of Nitrogen Plasma Arc above.</w:t>
      </w:r>
      <w:r w:rsidR="00514300">
        <w:rPr>
          <w:rFonts w:eastAsia="Times New Roman"/>
        </w:rPr>
        <w:t xml:space="preserve"> </w:t>
      </w:r>
      <w:bookmarkEnd w:id="104"/>
    </w:p>
    <w:p w14:paraId="1957B8B1" w14:textId="30A4A7CF" w:rsidR="001E78FA" w:rsidRDefault="001E78FA" w:rsidP="00275CBE">
      <w:pPr>
        <w:pStyle w:val="Heading2"/>
      </w:pPr>
      <w:bookmarkStart w:id="105" w:name="_Toc510531475"/>
      <w:r w:rsidRPr="00F334C9">
        <w:t>3.4</w:t>
      </w:r>
      <w:r w:rsidRPr="00F334C9">
        <w:tab/>
      </w:r>
      <w:r w:rsidR="008361B4">
        <w:t>Conversion (or n</w:t>
      </w:r>
      <w:r w:rsidRPr="00F334C9">
        <w:t>on-incineration</w:t>
      </w:r>
      <w:r w:rsidR="008361B4">
        <w:t>)</w:t>
      </w:r>
      <w:r w:rsidRPr="00F334C9">
        <w:t xml:space="preserve"> technologies</w:t>
      </w:r>
      <w:bookmarkEnd w:id="105"/>
    </w:p>
    <w:p w14:paraId="2DD7908A" w14:textId="14F017F7" w:rsidR="00901B08" w:rsidRPr="00901B08" w:rsidRDefault="007C7560" w:rsidP="00901B08">
      <w:pPr>
        <w:rPr>
          <w:lang w:val="en-US" w:eastAsia="en-US"/>
        </w:rPr>
      </w:pPr>
      <w:r>
        <w:rPr>
          <w:lang w:val="en-US" w:eastAsia="en-US"/>
        </w:rPr>
        <w:t xml:space="preserve">As a general category of technology, </w:t>
      </w:r>
      <w:r w:rsidR="00CA6026">
        <w:rPr>
          <w:lang w:val="en-US" w:eastAsia="en-US"/>
        </w:rPr>
        <w:t xml:space="preserve">conversion (or </w:t>
      </w:r>
      <w:r>
        <w:rPr>
          <w:lang w:val="en-US" w:eastAsia="en-US"/>
        </w:rPr>
        <w:t>non-incineration</w:t>
      </w:r>
      <w:r w:rsidR="00CA6026">
        <w:rPr>
          <w:lang w:val="en-US" w:eastAsia="en-US"/>
        </w:rPr>
        <w:t>)</w:t>
      </w:r>
      <w:r>
        <w:rPr>
          <w:lang w:val="en-US" w:eastAsia="en-US"/>
        </w:rPr>
        <w:t xml:space="preserve"> technologies are those that primarily rely </w:t>
      </w:r>
      <w:r w:rsidR="006D007B">
        <w:rPr>
          <w:lang w:val="en-US" w:eastAsia="en-US"/>
        </w:rPr>
        <w:t xml:space="preserve">on </w:t>
      </w:r>
      <w:r w:rsidR="001A42A0">
        <w:rPr>
          <w:lang w:val="en-US" w:eastAsia="en-US"/>
        </w:rPr>
        <w:t xml:space="preserve">chemical transformation </w:t>
      </w:r>
      <w:r w:rsidR="00A46EC5">
        <w:rPr>
          <w:lang w:val="en-US" w:eastAsia="en-US"/>
        </w:rPr>
        <w:t>converting halocarbons</w:t>
      </w:r>
      <w:r w:rsidR="00C81599">
        <w:rPr>
          <w:lang w:val="en-US" w:eastAsia="en-US"/>
        </w:rPr>
        <w:t xml:space="preserve"> sometimes</w:t>
      </w:r>
      <w:r w:rsidR="00A46EC5">
        <w:rPr>
          <w:lang w:val="en-US" w:eastAsia="en-US"/>
        </w:rPr>
        <w:t xml:space="preserve"> to other saleable products (e.g. acids, vinyl monomers etc.).</w:t>
      </w:r>
      <w:r w:rsidR="005A6F5A">
        <w:rPr>
          <w:lang w:val="en-US" w:eastAsia="en-US"/>
        </w:rPr>
        <w:t>.</w:t>
      </w:r>
    </w:p>
    <w:p w14:paraId="55551479" w14:textId="77777777" w:rsidR="001E78FA" w:rsidRDefault="0035159B" w:rsidP="00275CBE">
      <w:pPr>
        <w:pStyle w:val="Heading3"/>
      </w:pPr>
      <w:bookmarkStart w:id="106" w:name="_Ref510530850"/>
      <w:bookmarkStart w:id="107" w:name="_Toc510531476"/>
      <w:r w:rsidRPr="00F334C9">
        <w:t>3.4.1</w:t>
      </w:r>
      <w:r w:rsidRPr="00F334C9">
        <w:tab/>
      </w:r>
      <w:r w:rsidR="001E78FA" w:rsidRPr="00F334C9">
        <w:t>Chemical Reaction with H</w:t>
      </w:r>
      <w:r w:rsidR="001E78FA" w:rsidRPr="00F334C9">
        <w:rPr>
          <w:vertAlign w:val="subscript"/>
        </w:rPr>
        <w:t>2</w:t>
      </w:r>
      <w:r w:rsidR="001E78FA" w:rsidRPr="00F334C9">
        <w:t xml:space="preserve"> and CO</w:t>
      </w:r>
      <w:r w:rsidR="001E78FA" w:rsidRPr="00F334C9">
        <w:rPr>
          <w:vertAlign w:val="subscript"/>
        </w:rPr>
        <w:t>2</w:t>
      </w:r>
      <w:bookmarkEnd w:id="106"/>
      <w:bookmarkEnd w:id="107"/>
    </w:p>
    <w:p w14:paraId="7F3ED069" w14:textId="76447D4C" w:rsidR="003640FA" w:rsidRPr="003640FA" w:rsidRDefault="003640FA" w:rsidP="003640FA">
      <w:pPr>
        <w:rPr>
          <w:lang w:val="en-US" w:eastAsia="en-US"/>
        </w:rPr>
      </w:pPr>
      <w:r w:rsidRPr="003640FA">
        <w:rPr>
          <w:lang w:val="en-US" w:eastAsia="en-US"/>
        </w:rPr>
        <w:t xml:space="preserve">Thermal reaction of fluorocarbons with hydrogen and carbon dioxide results in an irreversible transformation to hydrogen halides </w:t>
      </w:r>
      <w:r>
        <w:rPr>
          <w:lang w:val="en-US" w:eastAsia="en-US"/>
        </w:rPr>
        <w:t>(e.g. hydro</w:t>
      </w:r>
      <w:r w:rsidRPr="003640FA">
        <w:rPr>
          <w:lang w:val="en-US" w:eastAsia="en-US"/>
        </w:rPr>
        <w:t xml:space="preserve">chloric acid </w:t>
      </w:r>
      <w:r>
        <w:rPr>
          <w:lang w:val="en-US" w:eastAsia="en-US"/>
        </w:rPr>
        <w:t>(</w:t>
      </w:r>
      <w:proofErr w:type="spellStart"/>
      <w:r w:rsidRPr="003640FA">
        <w:rPr>
          <w:lang w:val="en-US" w:eastAsia="en-US"/>
        </w:rPr>
        <w:t>HCl</w:t>
      </w:r>
      <w:proofErr w:type="spellEnd"/>
      <w:r>
        <w:rPr>
          <w:lang w:val="en-US" w:eastAsia="en-US"/>
        </w:rPr>
        <w:t>)</w:t>
      </w:r>
      <w:r w:rsidRPr="003640FA">
        <w:rPr>
          <w:lang w:val="en-US" w:eastAsia="en-US"/>
        </w:rPr>
        <w:t xml:space="preserve"> and hydrofluoric acid </w:t>
      </w:r>
      <w:r>
        <w:rPr>
          <w:lang w:val="en-US" w:eastAsia="en-US"/>
        </w:rPr>
        <w:t>(HF)</w:t>
      </w:r>
      <w:r w:rsidRPr="003640FA">
        <w:rPr>
          <w:lang w:val="en-US" w:eastAsia="en-US"/>
        </w:rPr>
        <w:t xml:space="preserve">) </w:t>
      </w:r>
      <w:r>
        <w:rPr>
          <w:lang w:val="en-US" w:eastAsia="en-US"/>
        </w:rPr>
        <w:t xml:space="preserve">and/or halide salts. </w:t>
      </w:r>
      <w:r w:rsidRPr="003640FA">
        <w:rPr>
          <w:lang w:val="en-US" w:eastAsia="en-US"/>
        </w:rPr>
        <w:t>The destruction process is intended to produce and collect saleable bi-products (</w:t>
      </w:r>
      <w:proofErr w:type="spellStart"/>
      <w:r w:rsidRPr="003640FA">
        <w:rPr>
          <w:lang w:val="en-US" w:eastAsia="en-US"/>
        </w:rPr>
        <w:t>HCl</w:t>
      </w:r>
      <w:proofErr w:type="spellEnd"/>
      <w:r w:rsidRPr="003640FA">
        <w:rPr>
          <w:lang w:val="en-US" w:eastAsia="en-US"/>
        </w:rPr>
        <w:t xml:space="preserve"> and HF); minimizing </w:t>
      </w:r>
      <w:proofErr w:type="spellStart"/>
      <w:r w:rsidRPr="003640FA">
        <w:rPr>
          <w:lang w:val="en-US" w:eastAsia="en-US"/>
        </w:rPr>
        <w:t>HCl</w:t>
      </w:r>
      <w:proofErr w:type="spellEnd"/>
      <w:r w:rsidRPr="003640FA">
        <w:rPr>
          <w:lang w:val="en-US" w:eastAsia="en-US"/>
        </w:rPr>
        <w:t xml:space="preserve">, HF, and CO levels in the stack </w:t>
      </w:r>
      <w:r w:rsidR="00475A5D">
        <w:rPr>
          <w:lang w:val="en-US" w:eastAsia="en-US"/>
        </w:rPr>
        <w:t xml:space="preserve">(exhaust) </w:t>
      </w:r>
      <w:r w:rsidRPr="003640FA">
        <w:rPr>
          <w:lang w:val="en-US" w:eastAsia="en-US"/>
        </w:rPr>
        <w:t>gases.</w:t>
      </w:r>
      <w:r w:rsidR="00514300">
        <w:rPr>
          <w:lang w:val="en-US" w:eastAsia="en-US"/>
        </w:rPr>
        <w:t xml:space="preserve"> </w:t>
      </w:r>
    </w:p>
    <w:p w14:paraId="3230EE9D" w14:textId="19504A21" w:rsidR="003640FA" w:rsidRPr="00C81599" w:rsidRDefault="003640FA" w:rsidP="003640FA">
      <w:pPr>
        <w:rPr>
          <w:lang w:val="en-US" w:eastAsia="en-US"/>
        </w:rPr>
      </w:pPr>
      <w:r w:rsidRPr="00C81599">
        <w:rPr>
          <w:lang w:val="en-US" w:eastAsia="en-US"/>
        </w:rPr>
        <w:t xml:space="preserve">Conversion data for a number of CFCs, HCFCs, and HFCs (including HFC-23) were provided by the technology </w:t>
      </w:r>
      <w:r w:rsidR="00D06B19">
        <w:rPr>
          <w:lang w:val="en-US" w:eastAsia="en-US"/>
        </w:rPr>
        <w:t>supplier</w:t>
      </w:r>
      <w:r w:rsidRPr="00C81599">
        <w:rPr>
          <w:lang w:val="en-US" w:eastAsia="en-US"/>
        </w:rPr>
        <w:t>.</w:t>
      </w:r>
    </w:p>
    <w:p w14:paraId="3BFF4C4F" w14:textId="3602374A" w:rsidR="00953878" w:rsidRPr="00C81599" w:rsidRDefault="00B40390" w:rsidP="00953878">
      <w:pPr>
        <w:rPr>
          <w:lang w:val="en-US" w:eastAsia="en-US"/>
        </w:rPr>
      </w:pPr>
      <w:r>
        <w:t xml:space="preserve">In the absence of emissions data demonstrating it meets the performance criteria for </w:t>
      </w:r>
      <w:r w:rsidR="00383B7D" w:rsidRPr="00C81599">
        <w:rPr>
          <w:lang w:val="en-US" w:eastAsia="en-US"/>
        </w:rPr>
        <w:t>particulate</w:t>
      </w:r>
      <w:r w:rsidR="00821E67">
        <w:rPr>
          <w:lang w:val="en-US" w:eastAsia="en-US"/>
        </w:rPr>
        <w:t>s</w:t>
      </w:r>
      <w:r w:rsidR="00383B7D" w:rsidRPr="00C81599">
        <w:rPr>
          <w:lang w:val="en-US" w:eastAsia="en-US"/>
        </w:rPr>
        <w:t xml:space="preserve"> and dioxins</w:t>
      </w:r>
      <w:r w:rsidR="00C81599">
        <w:rPr>
          <w:lang w:val="en-US" w:eastAsia="en-US"/>
        </w:rPr>
        <w:t>/</w:t>
      </w:r>
      <w:r w:rsidR="00383B7D" w:rsidRPr="00C81599">
        <w:rPr>
          <w:lang w:val="en-US" w:eastAsia="en-US"/>
        </w:rPr>
        <w:t>furans</w:t>
      </w:r>
      <w:r w:rsidR="00430F70" w:rsidRPr="00C81599">
        <w:rPr>
          <w:lang w:val="en-US" w:eastAsia="en-US"/>
        </w:rPr>
        <w:t xml:space="preserve">, </w:t>
      </w:r>
      <w:r w:rsidR="00EF631A" w:rsidRPr="00C81599">
        <w:rPr>
          <w:b/>
          <w:u w:val="single"/>
          <w:lang w:val="en-US" w:eastAsia="en-US"/>
        </w:rPr>
        <w:t>Chemical Reaction with H</w:t>
      </w:r>
      <w:r w:rsidR="00EF631A" w:rsidRPr="00C81599">
        <w:rPr>
          <w:b/>
          <w:u w:val="single"/>
          <w:vertAlign w:val="subscript"/>
          <w:lang w:val="en-US" w:eastAsia="en-US"/>
        </w:rPr>
        <w:t>2</w:t>
      </w:r>
      <w:r w:rsidR="00EF631A" w:rsidRPr="00C81599">
        <w:rPr>
          <w:b/>
          <w:u w:val="single"/>
          <w:lang w:val="en-US" w:eastAsia="en-US"/>
        </w:rPr>
        <w:t xml:space="preserve"> and CO</w:t>
      </w:r>
      <w:r w:rsidR="00EF631A" w:rsidRPr="00C81599">
        <w:rPr>
          <w:b/>
          <w:u w:val="single"/>
          <w:vertAlign w:val="subscript"/>
          <w:lang w:val="en-US" w:eastAsia="en-US"/>
        </w:rPr>
        <w:t>2</w:t>
      </w:r>
      <w:r w:rsidR="00EF631A" w:rsidRPr="00C81599">
        <w:rPr>
          <w:b/>
          <w:u w:val="single"/>
          <w:lang w:val="en-US" w:eastAsia="en-US"/>
        </w:rPr>
        <w:t xml:space="preserve"> </w:t>
      </w:r>
      <w:r w:rsidR="0008359A" w:rsidRPr="00C81599">
        <w:rPr>
          <w:b/>
          <w:u w:val="single"/>
        </w:rPr>
        <w:t xml:space="preserve">is recommended as </w:t>
      </w:r>
      <w:r w:rsidR="0008359A" w:rsidRPr="00C81599">
        <w:rPr>
          <w:b/>
          <w:i/>
          <w:u w:val="single"/>
        </w:rPr>
        <w:t>high potential</w:t>
      </w:r>
      <w:r w:rsidR="0008359A" w:rsidRPr="00C81599">
        <w:rPr>
          <w:b/>
          <w:u w:val="single"/>
        </w:rPr>
        <w:t xml:space="preserve"> for applicability to HFCs destruction</w:t>
      </w:r>
      <w:r w:rsidR="00347B0A" w:rsidRPr="00C81599">
        <w:rPr>
          <w:b/>
          <w:u w:val="single"/>
        </w:rPr>
        <w:t>,</w:t>
      </w:r>
      <w:r w:rsidR="0008359A" w:rsidRPr="00C81599">
        <w:rPr>
          <w:b/>
          <w:u w:val="single"/>
        </w:rPr>
        <w:t xml:space="preserve"> including HFC-23. </w:t>
      </w:r>
    </w:p>
    <w:p w14:paraId="26D8B462" w14:textId="77777777" w:rsidR="00EF631A" w:rsidRPr="00C81599" w:rsidRDefault="00EF631A" w:rsidP="00275CBE">
      <w:pPr>
        <w:pStyle w:val="Heading4"/>
      </w:pPr>
      <w:r w:rsidRPr="00C81599">
        <w:t>3.4.1.1</w:t>
      </w:r>
      <w:r w:rsidRPr="00C81599">
        <w:tab/>
        <w:t>Experience with HFC destruction</w:t>
      </w:r>
    </w:p>
    <w:p w14:paraId="628CEAD1" w14:textId="13DC48E4" w:rsidR="00EF631A" w:rsidRPr="00C81599" w:rsidRDefault="00EF631A" w:rsidP="00EF631A">
      <w:pPr>
        <w:rPr>
          <w:lang w:val="en-AU"/>
        </w:rPr>
      </w:pPr>
      <w:r w:rsidRPr="00C81599">
        <w:rPr>
          <w:lang w:val="en-AU"/>
        </w:rPr>
        <w:t xml:space="preserve">The technology </w:t>
      </w:r>
      <w:r w:rsidR="00490DFA">
        <w:rPr>
          <w:lang w:val="en-AU"/>
        </w:rPr>
        <w:t>supplier</w:t>
      </w:r>
      <w:r w:rsidRPr="00C81599">
        <w:rPr>
          <w:lang w:val="en-AU"/>
        </w:rPr>
        <w:t xml:space="preserve"> furnished data showing conversion of a number of HFCs, HCFCs, CFCs, and hydrocarbons, including HFC-23 and other HFCs.</w:t>
      </w:r>
    </w:p>
    <w:p w14:paraId="53193E40" w14:textId="75BBDB9D" w:rsidR="00EF631A" w:rsidRPr="00C81599" w:rsidRDefault="00EF631A" w:rsidP="00275CBE">
      <w:pPr>
        <w:pStyle w:val="Heading4"/>
      </w:pPr>
      <w:r w:rsidRPr="00C81599">
        <w:t>3.4.1.2</w:t>
      </w:r>
      <w:r w:rsidRPr="00C81599">
        <w:tab/>
        <w:t>Assessment of applicability to HFCs using performance criteria</w:t>
      </w:r>
    </w:p>
    <w:p w14:paraId="09D6AF79" w14:textId="45503536" w:rsidR="00B2547A" w:rsidRDefault="00EF631A" w:rsidP="006D0FEA">
      <w:r w:rsidRPr="00C81599">
        <w:t xml:space="preserve">The technology </w:t>
      </w:r>
      <w:r w:rsidR="00D06B19">
        <w:t>owner</w:t>
      </w:r>
      <w:r w:rsidR="00B40390" w:rsidRPr="00C81599">
        <w:t xml:space="preserve"> </w:t>
      </w:r>
      <w:r w:rsidRPr="00C81599">
        <w:t xml:space="preserve">has provided test data for </w:t>
      </w:r>
      <w:r w:rsidR="007C3131" w:rsidRPr="00C81599">
        <w:t xml:space="preserve">the conversion of </w:t>
      </w:r>
      <w:r w:rsidRPr="00C81599">
        <w:t>a number of CFCs, HCFCs, and HFCs. The data shows that the process meets the performance criteria</w:t>
      </w:r>
      <w:r w:rsidR="00383B7D" w:rsidRPr="00C81599">
        <w:t xml:space="preserve"> for HF, </w:t>
      </w:r>
      <w:proofErr w:type="spellStart"/>
      <w:r w:rsidR="00383B7D" w:rsidRPr="00C81599">
        <w:t>HCl</w:t>
      </w:r>
      <w:proofErr w:type="spellEnd"/>
      <w:r w:rsidR="00383B7D" w:rsidRPr="00C81599">
        <w:t>, and CO emissions</w:t>
      </w:r>
      <w:r w:rsidR="00C81599">
        <w:t>.</w:t>
      </w:r>
      <w:r w:rsidRPr="00C81599">
        <w:t xml:space="preserve"> </w:t>
      </w:r>
      <w:r w:rsidR="0008359A" w:rsidRPr="00C81599">
        <w:t xml:space="preserve">The technology </w:t>
      </w:r>
      <w:r w:rsidR="00D06B19">
        <w:t>owner</w:t>
      </w:r>
      <w:r w:rsidR="00B40390" w:rsidRPr="00C81599">
        <w:t xml:space="preserve"> </w:t>
      </w:r>
      <w:r w:rsidRPr="00C81599">
        <w:t xml:space="preserve">reports that the DRE is 99.99% or greater and that </w:t>
      </w:r>
      <w:r w:rsidR="0008359A" w:rsidRPr="00C81599">
        <w:t xml:space="preserve">reported </w:t>
      </w:r>
      <w:r w:rsidRPr="00C81599">
        <w:t>emissions are</w:t>
      </w:r>
      <w:r w:rsidR="0008359A" w:rsidRPr="00C81599">
        <w:t xml:space="preserve"> below the </w:t>
      </w:r>
      <w:r w:rsidR="00582FAD" w:rsidRPr="00C81599">
        <w:t xml:space="preserve">TEAP </w:t>
      </w:r>
      <w:r w:rsidR="00D744B2" w:rsidRPr="00C81599">
        <w:t xml:space="preserve">performance </w:t>
      </w:r>
      <w:r w:rsidR="0008359A" w:rsidRPr="00C81599">
        <w:t xml:space="preserve">criteria; however, not all </w:t>
      </w:r>
      <w:r w:rsidR="00582FAD" w:rsidRPr="00C81599">
        <w:t>requested emissions data was provided</w:t>
      </w:r>
      <w:r w:rsidR="0078658C" w:rsidRPr="00C81599">
        <w:t>.</w:t>
      </w:r>
      <w:r w:rsidR="00BD3AC1" w:rsidRPr="00B2547A">
        <w:tab/>
      </w:r>
    </w:p>
    <w:p w14:paraId="2885792E" w14:textId="42E51543" w:rsidR="00BD3AC1" w:rsidRPr="00B2547A" w:rsidRDefault="00B2547A" w:rsidP="00275CBE">
      <w:pPr>
        <w:pStyle w:val="Heading4"/>
        <w:rPr>
          <w:rFonts w:eastAsia="SimSun"/>
          <w:snapToGrid/>
          <w:color w:val="000000"/>
          <w:sz w:val="22"/>
        </w:rPr>
      </w:pPr>
      <w:r w:rsidRPr="00B2547A">
        <w:rPr>
          <w:rFonts w:eastAsia="SimSun"/>
          <w:snapToGrid/>
          <w:color w:val="000000"/>
          <w:sz w:val="22"/>
        </w:rPr>
        <w:lastRenderedPageBreak/>
        <w:t>3.4.1.3</w:t>
      </w:r>
      <w:r>
        <w:rPr>
          <w:rFonts w:eastAsia="SimSun"/>
          <w:snapToGrid/>
          <w:color w:val="000000"/>
          <w:sz w:val="22"/>
        </w:rPr>
        <w:t xml:space="preserve"> </w:t>
      </w:r>
      <w:r w:rsidR="00BD3AC1" w:rsidRPr="00B2547A">
        <w:t>Technical capability for destruction of HFCs</w:t>
      </w:r>
    </w:p>
    <w:p w14:paraId="7FD70E95" w14:textId="4E7BF6D8" w:rsidR="00BD3AC1" w:rsidRPr="00BD3AC1" w:rsidRDefault="00BD3AC1" w:rsidP="00BD3AC1">
      <w:pPr>
        <w:rPr>
          <w:lang w:val="en-US" w:eastAsia="en-US"/>
        </w:rPr>
      </w:pPr>
      <w:r w:rsidRPr="00BD3AC1">
        <w:rPr>
          <w:lang w:val="en-US" w:eastAsia="en-US"/>
        </w:rPr>
        <w:t xml:space="preserve">Although the process was described </w:t>
      </w:r>
      <w:r w:rsidR="008C3782">
        <w:rPr>
          <w:lang w:val="en-US" w:eastAsia="en-US"/>
        </w:rPr>
        <w:t>in 2011 as semi-commercial,</w:t>
      </w:r>
      <w:r w:rsidR="002F40FF">
        <w:rPr>
          <w:lang w:val="en-US" w:eastAsia="en-US"/>
        </w:rPr>
        <w:t xml:space="preserve"> </w:t>
      </w:r>
      <w:r w:rsidR="00B40390">
        <w:rPr>
          <w:lang w:val="en-US" w:eastAsia="en-US"/>
        </w:rPr>
        <w:t xml:space="preserve">the </w:t>
      </w:r>
      <w:r w:rsidR="002F40FF">
        <w:rPr>
          <w:lang w:val="en-US" w:eastAsia="en-US"/>
        </w:rPr>
        <w:t xml:space="preserve">technology </w:t>
      </w:r>
      <w:r w:rsidR="00B40390">
        <w:rPr>
          <w:lang w:val="en-US" w:eastAsia="en-US"/>
        </w:rPr>
        <w:t>supplier</w:t>
      </w:r>
      <w:r w:rsidR="00B40390" w:rsidRPr="00BD3AC1">
        <w:rPr>
          <w:lang w:val="en-US" w:eastAsia="en-US"/>
        </w:rPr>
        <w:t xml:space="preserve"> </w:t>
      </w:r>
      <w:r w:rsidRPr="00BD3AC1">
        <w:rPr>
          <w:lang w:val="en-US" w:eastAsia="en-US"/>
        </w:rPr>
        <w:t xml:space="preserve">reported to the </w:t>
      </w:r>
      <w:r w:rsidR="008C3782">
        <w:rPr>
          <w:lang w:val="en-US" w:eastAsia="en-US"/>
        </w:rPr>
        <w:t>2018 TFDT</w:t>
      </w:r>
      <w:r w:rsidRPr="00BD3AC1">
        <w:rPr>
          <w:lang w:val="en-US" w:eastAsia="en-US"/>
        </w:rPr>
        <w:t xml:space="preserve"> that </w:t>
      </w:r>
      <w:r w:rsidR="008C3782">
        <w:rPr>
          <w:lang w:val="en-US" w:eastAsia="en-US"/>
        </w:rPr>
        <w:t>it</w:t>
      </w:r>
      <w:r w:rsidRPr="00BD3AC1">
        <w:rPr>
          <w:lang w:val="en-US" w:eastAsia="en-US"/>
        </w:rPr>
        <w:t xml:space="preserve"> intend</w:t>
      </w:r>
      <w:r w:rsidR="008C3782">
        <w:rPr>
          <w:lang w:val="en-US" w:eastAsia="en-US"/>
        </w:rPr>
        <w:t>s</w:t>
      </w:r>
      <w:r w:rsidRPr="00BD3AC1">
        <w:rPr>
          <w:lang w:val="en-US" w:eastAsia="en-US"/>
        </w:rPr>
        <w:t xml:space="preserve"> to have fully commercial operations utilizing this process in late 2018 or early 2019. A demonstration project was approved by the Executive Committee in 2017 with UNDP as the implementing agency.</w:t>
      </w:r>
      <w:r w:rsidR="00514300">
        <w:rPr>
          <w:lang w:val="en-US" w:eastAsia="en-US"/>
        </w:rPr>
        <w:t xml:space="preserve"> </w:t>
      </w:r>
    </w:p>
    <w:p w14:paraId="1F26E4B8" w14:textId="6A5D4B9B" w:rsidR="00BD3AC1" w:rsidRPr="008C3782" w:rsidRDefault="00BD3AC1" w:rsidP="00BD3AC1">
      <w:pPr>
        <w:rPr>
          <w:lang w:val="en-US" w:eastAsia="en-US"/>
        </w:rPr>
      </w:pPr>
      <w:r w:rsidRPr="00BD3AC1">
        <w:rPr>
          <w:lang w:val="en-US" w:eastAsia="en-US"/>
        </w:rPr>
        <w:t>This technology has reportedly been tested at a throughput rate of 7kg/hr.</w:t>
      </w:r>
      <w:r w:rsidR="00514300">
        <w:rPr>
          <w:lang w:val="en-US" w:eastAsia="en-US"/>
        </w:rPr>
        <w:t xml:space="preserve"> </w:t>
      </w:r>
    </w:p>
    <w:p w14:paraId="32213346" w14:textId="77777777" w:rsidR="00BD3AC1" w:rsidRPr="00BD3AC1" w:rsidRDefault="00BD3AC1" w:rsidP="00275CBE">
      <w:pPr>
        <w:pStyle w:val="Heading4"/>
      </w:pPr>
      <w:r w:rsidRPr="00BD3AC1">
        <w:t>3.4.1.4</w:t>
      </w:r>
      <w:r w:rsidRPr="00BD3AC1">
        <w:tab/>
        <w:t>Other considerations</w:t>
      </w:r>
    </w:p>
    <w:p w14:paraId="2D8648F8" w14:textId="5393326C" w:rsidR="004323D7" w:rsidRPr="008C3782" w:rsidRDefault="002F40FF" w:rsidP="00953878">
      <w:pPr>
        <w:rPr>
          <w:lang w:eastAsia="en-US"/>
        </w:rPr>
      </w:pPr>
      <w:r>
        <w:rPr>
          <w:lang w:val="en-US" w:eastAsia="en-US"/>
        </w:rPr>
        <w:t>Technology owner</w:t>
      </w:r>
      <w:r w:rsidR="00BD3AC1" w:rsidRPr="00BD3AC1">
        <w:rPr>
          <w:lang w:val="en-US" w:eastAsia="en-US"/>
        </w:rPr>
        <w:t xml:space="preserve"> reports that the conversion unit is a self</w:t>
      </w:r>
      <w:r w:rsidR="008C3782">
        <w:rPr>
          <w:lang w:val="en-US" w:eastAsia="en-US"/>
        </w:rPr>
        <w:t>-contained system and</w:t>
      </w:r>
      <w:r w:rsidR="00BD3AC1" w:rsidRPr="00BD3AC1">
        <w:rPr>
          <w:lang w:val="en-US" w:eastAsia="en-US"/>
        </w:rPr>
        <w:t xml:space="preserve"> no caustic </w:t>
      </w:r>
      <w:r w:rsidR="00B40390">
        <w:rPr>
          <w:lang w:val="en-US" w:eastAsia="en-US"/>
        </w:rPr>
        <w:t xml:space="preserve">is </w:t>
      </w:r>
      <w:r w:rsidR="00BD3AC1" w:rsidRPr="00BD3AC1">
        <w:rPr>
          <w:lang w:val="en-US" w:eastAsia="en-US"/>
        </w:rPr>
        <w:t xml:space="preserve">needed for neutralization for HF and </w:t>
      </w:r>
      <w:proofErr w:type="spellStart"/>
      <w:r w:rsidR="00BD3AC1" w:rsidRPr="00BD3AC1">
        <w:rPr>
          <w:lang w:val="en-US" w:eastAsia="en-US"/>
        </w:rPr>
        <w:t>HCl</w:t>
      </w:r>
      <w:proofErr w:type="spellEnd"/>
      <w:r w:rsidR="008C3782">
        <w:rPr>
          <w:lang w:val="en-US" w:eastAsia="en-US"/>
        </w:rPr>
        <w:t>, which</w:t>
      </w:r>
      <w:r w:rsidR="00BD3AC1" w:rsidRPr="00BD3AC1">
        <w:rPr>
          <w:lang w:val="en-US" w:eastAsia="en-US"/>
        </w:rPr>
        <w:t xml:space="preserve"> are collected and sold</w:t>
      </w:r>
      <w:r w:rsidR="00553175">
        <w:rPr>
          <w:rStyle w:val="FootnoteReference"/>
          <w:lang w:val="en-US" w:eastAsia="en-US"/>
        </w:rPr>
        <w:footnoteReference w:id="58"/>
      </w:r>
      <w:r w:rsidR="00BD3AC1" w:rsidRPr="00BD3AC1">
        <w:rPr>
          <w:lang w:val="en-US" w:eastAsia="en-US"/>
        </w:rPr>
        <w:t xml:space="preserve"> </w:t>
      </w:r>
      <w:r w:rsidR="004323D7">
        <w:rPr>
          <w:lang w:val="en-US" w:eastAsia="en-US"/>
        </w:rPr>
        <w:t>.</w:t>
      </w:r>
      <w:r w:rsidR="00514300">
        <w:rPr>
          <w:lang w:val="en-US" w:eastAsia="en-US"/>
        </w:rPr>
        <w:t xml:space="preserve"> </w:t>
      </w:r>
    </w:p>
    <w:p w14:paraId="4C1F512F" w14:textId="77777777" w:rsidR="001E78FA" w:rsidRDefault="0035159B" w:rsidP="00275CBE">
      <w:pPr>
        <w:pStyle w:val="Heading3"/>
      </w:pPr>
      <w:bookmarkStart w:id="108" w:name="_Ref510530886"/>
      <w:bookmarkStart w:id="109" w:name="_Toc510531477"/>
      <w:r w:rsidRPr="00E0209A">
        <w:t>3.4.2</w:t>
      </w:r>
      <w:r w:rsidRPr="00E0209A">
        <w:tab/>
      </w:r>
      <w:r w:rsidR="001E78FA" w:rsidRPr="00E0209A">
        <w:t>Gas Phase Catalytic De-halogenation</w:t>
      </w:r>
      <w:bookmarkEnd w:id="108"/>
      <w:bookmarkEnd w:id="109"/>
    </w:p>
    <w:p w14:paraId="6D37B8E7" w14:textId="197DC637" w:rsidR="008C3782" w:rsidRPr="008C3782" w:rsidRDefault="008C3782" w:rsidP="008C3782">
      <w:pPr>
        <w:rPr>
          <w:lang w:val="en-US" w:eastAsia="en-US"/>
        </w:rPr>
      </w:pPr>
      <w:r w:rsidRPr="008C3782">
        <w:rPr>
          <w:lang w:val="en-US" w:eastAsia="en-US"/>
        </w:rPr>
        <w:t>The gas phase catalytic de-halogenation process destroys CFCs over a proprietary metal oxide catalyst at 400ºC</w:t>
      </w:r>
      <w:r>
        <w:rPr>
          <w:lang w:val="en-US" w:eastAsia="en-US"/>
        </w:rPr>
        <w:t>,</w:t>
      </w:r>
      <w:r w:rsidRPr="008C3782">
        <w:rPr>
          <w:lang w:val="en-US" w:eastAsia="en-US"/>
        </w:rPr>
        <w:t xml:space="preserve"> at atmospheric pressure. The </w:t>
      </w:r>
      <w:proofErr w:type="spellStart"/>
      <w:r w:rsidRPr="008C3782">
        <w:rPr>
          <w:lang w:val="en-US" w:eastAsia="en-US"/>
        </w:rPr>
        <w:t>HCl</w:t>
      </w:r>
      <w:proofErr w:type="spellEnd"/>
      <w:r w:rsidRPr="008C3782">
        <w:rPr>
          <w:lang w:val="en-US" w:eastAsia="en-US"/>
        </w:rPr>
        <w:t xml:space="preserve"> and HF produced are absorbed in a lime solution.</w:t>
      </w:r>
    </w:p>
    <w:p w14:paraId="227AA611" w14:textId="23D603B8" w:rsidR="001E4C71" w:rsidRPr="00584E0D" w:rsidRDefault="008C3782" w:rsidP="008C3782">
      <w:pPr>
        <w:rPr>
          <w:color w:val="212121"/>
          <w:shd w:val="clear" w:color="auto" w:fill="FFFFFF"/>
        </w:rPr>
      </w:pPr>
      <w:r w:rsidRPr="00584E0D">
        <w:rPr>
          <w:lang w:val="en-US" w:eastAsia="en-US"/>
        </w:rPr>
        <w:t>Japan provided the following data related to HFC destruction following a request for information. The data is not from the same system for which data was provided in earlier reports</w:t>
      </w:r>
      <w:r w:rsidR="001D66F5" w:rsidRPr="00584E0D">
        <w:rPr>
          <w:lang w:val="en-US" w:eastAsia="en-US"/>
        </w:rPr>
        <w:t xml:space="preserve"> referencing </w:t>
      </w:r>
      <w:r w:rsidR="001D66F5" w:rsidRPr="00584E0D">
        <w:rPr>
          <w:color w:val="212121"/>
          <w:shd w:val="clear" w:color="auto" w:fill="FFFFFF"/>
        </w:rPr>
        <w:t xml:space="preserve">its previous application </w:t>
      </w:r>
      <w:r w:rsidRPr="00584E0D">
        <w:rPr>
          <w:color w:val="212121"/>
          <w:shd w:val="clear" w:color="auto" w:fill="FFFFFF"/>
        </w:rPr>
        <w:t xml:space="preserve">to ODS in </w:t>
      </w:r>
      <w:r w:rsidR="00762DFE" w:rsidRPr="00584E0D">
        <w:rPr>
          <w:color w:val="212121"/>
          <w:shd w:val="clear" w:color="auto" w:fill="FFFFFF"/>
        </w:rPr>
        <w:t>the 2002 TFDT report</w:t>
      </w:r>
      <w:r w:rsidRPr="00C049B5">
        <w:rPr>
          <w:color w:val="212121"/>
          <w:shd w:val="clear" w:color="auto" w:fill="FFFFFF"/>
        </w:rPr>
        <w:t>. However</w:t>
      </w:r>
      <w:r w:rsidRPr="001D2563">
        <w:rPr>
          <w:color w:val="212121"/>
          <w:shd w:val="clear" w:color="auto" w:fill="FFFFFF"/>
        </w:rPr>
        <w:t>, it appears to be a similar process falling into this general category</w:t>
      </w:r>
      <w:r w:rsidR="005A652B" w:rsidRPr="001D2563">
        <w:rPr>
          <w:color w:val="212121"/>
          <w:shd w:val="clear" w:color="auto" w:fill="FFFFFF"/>
        </w:rPr>
        <w:t>.</w:t>
      </w:r>
      <w:r w:rsidR="00514300">
        <w:rPr>
          <w:color w:val="212121"/>
          <w:shd w:val="clear" w:color="auto" w:fill="FFFFFF"/>
        </w:rPr>
        <w:t xml:space="preserve"> </w:t>
      </w:r>
      <w:r w:rsidR="005A652B" w:rsidRPr="001D2563">
        <w:rPr>
          <w:color w:val="212121"/>
          <w:shd w:val="clear" w:color="auto" w:fill="FFFFFF"/>
        </w:rPr>
        <w:t>Japan reported that</w:t>
      </w:r>
      <w:r w:rsidR="005A652B" w:rsidRPr="006C2C13">
        <w:rPr>
          <w:szCs w:val="22"/>
        </w:rPr>
        <w:t xml:space="preserve"> CFCs</w:t>
      </w:r>
      <w:r w:rsidR="00815BE3" w:rsidRPr="006C2C13">
        <w:rPr>
          <w:szCs w:val="22"/>
        </w:rPr>
        <w:t>,</w:t>
      </w:r>
      <w:r w:rsidR="007B30E2">
        <w:rPr>
          <w:szCs w:val="22"/>
        </w:rPr>
        <w:t xml:space="preserve"> </w:t>
      </w:r>
      <w:r w:rsidR="005A652B" w:rsidRPr="006C2C13">
        <w:rPr>
          <w:szCs w:val="22"/>
        </w:rPr>
        <w:t>HCFCs and HFCs were destroyed by this process</w:t>
      </w:r>
      <w:r w:rsidR="00815BE3" w:rsidRPr="006C2C13">
        <w:rPr>
          <w:szCs w:val="22"/>
        </w:rPr>
        <w:t>,</w:t>
      </w:r>
      <w:r w:rsidR="005A652B" w:rsidRPr="006C2C13">
        <w:rPr>
          <w:szCs w:val="22"/>
        </w:rPr>
        <w:t xml:space="preserve"> including </w:t>
      </w:r>
      <w:r w:rsidR="00815BE3" w:rsidRPr="006C2C13">
        <w:rPr>
          <w:szCs w:val="22"/>
        </w:rPr>
        <w:t>HFC-</w:t>
      </w:r>
      <w:r w:rsidR="005A652B" w:rsidRPr="006C2C13">
        <w:rPr>
          <w:szCs w:val="22"/>
        </w:rPr>
        <w:t xml:space="preserve">134a, </w:t>
      </w:r>
      <w:r w:rsidR="00815BE3" w:rsidRPr="006C2C13">
        <w:rPr>
          <w:szCs w:val="22"/>
        </w:rPr>
        <w:t>HFC-</w:t>
      </w:r>
      <w:r w:rsidR="005A652B" w:rsidRPr="006C2C13">
        <w:rPr>
          <w:szCs w:val="22"/>
        </w:rPr>
        <w:t xml:space="preserve">245fa, </w:t>
      </w:r>
      <w:r w:rsidR="00815BE3" w:rsidRPr="006C2C13">
        <w:rPr>
          <w:szCs w:val="22"/>
        </w:rPr>
        <w:t>R-</w:t>
      </w:r>
      <w:r w:rsidR="005A652B" w:rsidRPr="006C2C13">
        <w:rPr>
          <w:szCs w:val="22"/>
        </w:rPr>
        <w:t xml:space="preserve">404A, </w:t>
      </w:r>
      <w:r w:rsidR="00815BE3" w:rsidRPr="006C2C13">
        <w:rPr>
          <w:szCs w:val="22"/>
        </w:rPr>
        <w:t>R-</w:t>
      </w:r>
      <w:r w:rsidR="005A652B" w:rsidRPr="006C2C13">
        <w:rPr>
          <w:szCs w:val="22"/>
        </w:rPr>
        <w:t xml:space="preserve">407C, </w:t>
      </w:r>
      <w:r w:rsidR="00815BE3" w:rsidRPr="006C2C13">
        <w:rPr>
          <w:szCs w:val="22"/>
        </w:rPr>
        <w:t>R-</w:t>
      </w:r>
      <w:r w:rsidR="005A652B" w:rsidRPr="006C2C13">
        <w:rPr>
          <w:szCs w:val="22"/>
        </w:rPr>
        <w:t xml:space="preserve">407D, </w:t>
      </w:r>
      <w:r w:rsidR="00815BE3" w:rsidRPr="006C2C13">
        <w:rPr>
          <w:szCs w:val="22"/>
        </w:rPr>
        <w:t>R-</w:t>
      </w:r>
      <w:r w:rsidR="005A652B" w:rsidRPr="006C2C13">
        <w:rPr>
          <w:szCs w:val="22"/>
        </w:rPr>
        <w:t xml:space="preserve">407E, </w:t>
      </w:r>
      <w:r w:rsidR="00815BE3" w:rsidRPr="006C2C13">
        <w:rPr>
          <w:szCs w:val="22"/>
        </w:rPr>
        <w:t>R-</w:t>
      </w:r>
      <w:r w:rsidR="005A652B" w:rsidRPr="006C2C13">
        <w:rPr>
          <w:szCs w:val="22"/>
        </w:rPr>
        <w:t xml:space="preserve">410A, </w:t>
      </w:r>
      <w:r w:rsidR="00815BE3" w:rsidRPr="006C2C13">
        <w:rPr>
          <w:szCs w:val="22"/>
        </w:rPr>
        <w:t>R-R-</w:t>
      </w:r>
      <w:r w:rsidR="005A652B" w:rsidRPr="006C2C13">
        <w:rPr>
          <w:szCs w:val="22"/>
        </w:rPr>
        <w:t xml:space="preserve">507A, </w:t>
      </w:r>
      <w:r w:rsidR="00815BE3" w:rsidRPr="006C2C13">
        <w:rPr>
          <w:szCs w:val="22"/>
        </w:rPr>
        <w:t>R-</w:t>
      </w:r>
      <w:r w:rsidR="005A652B" w:rsidRPr="006C2C13">
        <w:rPr>
          <w:szCs w:val="22"/>
        </w:rPr>
        <w:t xml:space="preserve">417A and </w:t>
      </w:r>
      <w:r w:rsidR="00815BE3" w:rsidRPr="006C2C13">
        <w:rPr>
          <w:szCs w:val="22"/>
        </w:rPr>
        <w:t>R-</w:t>
      </w:r>
      <w:r w:rsidR="005A652B" w:rsidRPr="006C2C13">
        <w:rPr>
          <w:szCs w:val="22"/>
        </w:rPr>
        <w:t>508A.</w:t>
      </w:r>
      <w:r w:rsidR="006D007B" w:rsidRPr="00584E0D">
        <w:rPr>
          <w:rFonts w:eastAsia="Times New Roman"/>
          <w:lang w:val="en-US"/>
        </w:rPr>
        <w:t xml:space="preserve"> HFC destruction data was provided by Japan</w:t>
      </w:r>
      <w:r w:rsidR="00815BE3" w:rsidRPr="00584E0D">
        <w:rPr>
          <w:rFonts w:eastAsia="Times New Roman"/>
          <w:lang w:val="en-US"/>
        </w:rPr>
        <w:t>.</w:t>
      </w:r>
    </w:p>
    <w:p w14:paraId="38EE8940" w14:textId="3C44035F" w:rsidR="00494DC4" w:rsidRPr="0078658C" w:rsidRDefault="00692544" w:rsidP="00494DC4">
      <w:pPr>
        <w:rPr>
          <w:b/>
          <w:u w:val="single"/>
          <w:lang w:val="en-US" w:eastAsia="en-US"/>
        </w:rPr>
      </w:pPr>
      <w:r w:rsidRPr="00B40390">
        <w:rPr>
          <w:lang w:val="en-AU"/>
        </w:rPr>
        <w:t>No dioxin</w:t>
      </w:r>
      <w:r w:rsidR="00974994">
        <w:rPr>
          <w:lang w:val="en-AU"/>
        </w:rPr>
        <w:t>s</w:t>
      </w:r>
      <w:r w:rsidRPr="00B40390">
        <w:rPr>
          <w:lang w:val="en-AU"/>
        </w:rPr>
        <w:t>/furan</w:t>
      </w:r>
      <w:r w:rsidR="00974994">
        <w:rPr>
          <w:lang w:val="en-AU"/>
        </w:rPr>
        <w:t>s</w:t>
      </w:r>
      <w:r w:rsidRPr="00B40390">
        <w:rPr>
          <w:lang w:val="en-AU"/>
        </w:rPr>
        <w:t xml:space="preserve"> emissions data </w:t>
      </w:r>
      <w:r w:rsidR="00C47A55" w:rsidRPr="00B40390">
        <w:rPr>
          <w:lang w:val="en-AU"/>
        </w:rPr>
        <w:t xml:space="preserve">for HFCs destruction </w:t>
      </w:r>
      <w:r w:rsidRPr="00B40390">
        <w:rPr>
          <w:lang w:val="en-AU"/>
        </w:rPr>
        <w:t xml:space="preserve">were available to the 2018 TFDT at the time of writing. </w:t>
      </w:r>
      <w:r w:rsidR="00D744B2" w:rsidRPr="00B40390">
        <w:rPr>
          <w:lang w:val="en-AU"/>
        </w:rPr>
        <w:t>T</w:t>
      </w:r>
      <w:r w:rsidRPr="00B40390">
        <w:rPr>
          <w:lang w:val="en-AU"/>
        </w:rPr>
        <w:t>he 2002 TFDT report noted that the TFDT believed that the dioxin</w:t>
      </w:r>
      <w:r w:rsidR="00974994">
        <w:rPr>
          <w:lang w:val="en-AU"/>
        </w:rPr>
        <w:t>s</w:t>
      </w:r>
      <w:r w:rsidRPr="00B40390">
        <w:rPr>
          <w:lang w:val="en-AU"/>
        </w:rPr>
        <w:t>/furan</w:t>
      </w:r>
      <w:r w:rsidR="00974994">
        <w:rPr>
          <w:lang w:val="en-AU"/>
        </w:rPr>
        <w:t>s</w:t>
      </w:r>
      <w:r w:rsidRPr="00B40390">
        <w:rPr>
          <w:lang w:val="en-AU"/>
        </w:rPr>
        <w:t xml:space="preserve"> emissions would be comparable to those from rotary kilns</w:t>
      </w:r>
      <w:r w:rsidR="00D744B2" w:rsidRPr="00B40390">
        <w:rPr>
          <w:lang w:val="en-AU"/>
        </w:rPr>
        <w:t xml:space="preserve">, although also had no </w:t>
      </w:r>
      <w:r w:rsidR="00C47A55" w:rsidRPr="00B40390">
        <w:rPr>
          <w:lang w:val="en-AU"/>
        </w:rPr>
        <w:t xml:space="preserve">actual emissions </w:t>
      </w:r>
      <w:r w:rsidR="00D744B2" w:rsidRPr="00B40390">
        <w:rPr>
          <w:lang w:val="en-AU"/>
        </w:rPr>
        <w:t>data</w:t>
      </w:r>
      <w:r w:rsidR="00C47A55" w:rsidRPr="00B40390">
        <w:rPr>
          <w:lang w:val="en-AU"/>
        </w:rPr>
        <w:t xml:space="preserve"> available</w:t>
      </w:r>
      <w:r w:rsidRPr="00B40390">
        <w:rPr>
          <w:lang w:val="en-AU"/>
        </w:rPr>
        <w:t>.</w:t>
      </w:r>
      <w:r w:rsidR="006642C3" w:rsidRPr="00B40390">
        <w:rPr>
          <w:lang w:val="en-AU"/>
        </w:rPr>
        <w:t xml:space="preserve"> </w:t>
      </w:r>
      <w:r w:rsidR="006D007B" w:rsidRPr="00B40390">
        <w:rPr>
          <w:b/>
          <w:u w:val="single"/>
        </w:rPr>
        <w:t xml:space="preserve">Gas Phase Catalytic De-halogenation </w:t>
      </w:r>
      <w:r w:rsidR="00494DC4" w:rsidRPr="00B40390">
        <w:rPr>
          <w:b/>
          <w:u w:val="single"/>
        </w:rPr>
        <w:t xml:space="preserve">is recommended </w:t>
      </w:r>
      <w:r w:rsidR="009273AE" w:rsidRPr="00B40390">
        <w:rPr>
          <w:b/>
          <w:i/>
          <w:u w:val="single"/>
        </w:rPr>
        <w:t xml:space="preserve">as </w:t>
      </w:r>
      <w:r w:rsidR="00F14177" w:rsidRPr="00B40390">
        <w:rPr>
          <w:b/>
          <w:i/>
          <w:u w:val="single"/>
        </w:rPr>
        <w:t>high potential</w:t>
      </w:r>
      <w:r w:rsidR="00B37E5A" w:rsidRPr="00B40390">
        <w:rPr>
          <w:b/>
          <w:u w:val="single"/>
        </w:rPr>
        <w:t xml:space="preserve"> for applicability to HFCs</w:t>
      </w:r>
      <w:r w:rsidR="00494DC4" w:rsidRPr="00B40390">
        <w:rPr>
          <w:b/>
          <w:u w:val="single"/>
        </w:rPr>
        <w:t xml:space="preserve"> destruction</w:t>
      </w:r>
      <w:r w:rsidR="00B26A48" w:rsidRPr="00B40390">
        <w:rPr>
          <w:b/>
          <w:u w:val="single"/>
        </w:rPr>
        <w:t>,</w:t>
      </w:r>
      <w:r w:rsidR="000932E9" w:rsidRPr="00B40390">
        <w:rPr>
          <w:b/>
          <w:u w:val="single"/>
        </w:rPr>
        <w:t xml:space="preserve"> including HFC-23</w:t>
      </w:r>
      <w:r w:rsidR="00494DC4" w:rsidRPr="00B40390">
        <w:rPr>
          <w:b/>
          <w:u w:val="single"/>
        </w:rPr>
        <w:t>.</w:t>
      </w:r>
      <w:r w:rsidR="00494DC4" w:rsidRPr="0078658C">
        <w:rPr>
          <w:b/>
          <w:u w:val="single"/>
        </w:rPr>
        <w:t xml:space="preserve"> </w:t>
      </w:r>
    </w:p>
    <w:p w14:paraId="6983EBAD" w14:textId="77777777" w:rsidR="008C3782" w:rsidRDefault="008C3782" w:rsidP="00275CBE">
      <w:pPr>
        <w:pStyle w:val="Heading4"/>
      </w:pPr>
      <w:r>
        <w:t>3.4.2.1</w:t>
      </w:r>
      <w:r>
        <w:tab/>
        <w:t>Experience with HFC destruction</w:t>
      </w:r>
    </w:p>
    <w:p w14:paraId="04F52BD6" w14:textId="18149FA2" w:rsidR="008C3782" w:rsidRPr="00584E0D" w:rsidRDefault="005A652B" w:rsidP="008C3782">
      <w:pPr>
        <w:rPr>
          <w:lang w:val="en-AU"/>
        </w:rPr>
      </w:pPr>
      <w:r w:rsidRPr="00584E0D">
        <w:rPr>
          <w:lang w:val="en-AU"/>
        </w:rPr>
        <w:t>Approximately 10 metric tons per year have been destroyed by this process annually</w:t>
      </w:r>
      <w:r w:rsidR="00815BE3" w:rsidRPr="00584E0D">
        <w:rPr>
          <w:lang w:val="en-AU"/>
        </w:rPr>
        <w:t>,</w:t>
      </w:r>
      <w:r w:rsidRPr="00584E0D">
        <w:rPr>
          <w:lang w:val="en-AU"/>
        </w:rPr>
        <w:t xml:space="preserve"> including</w:t>
      </w:r>
      <w:r w:rsidRPr="006C2C13">
        <w:rPr>
          <w:szCs w:val="22"/>
        </w:rPr>
        <w:t xml:space="preserve"> </w:t>
      </w:r>
      <w:r w:rsidR="003B0866" w:rsidRPr="006C2C13">
        <w:rPr>
          <w:szCs w:val="22"/>
        </w:rPr>
        <w:t>HFC-</w:t>
      </w:r>
      <w:r w:rsidRPr="006C2C13">
        <w:rPr>
          <w:szCs w:val="22"/>
        </w:rPr>
        <w:t xml:space="preserve">134a, </w:t>
      </w:r>
      <w:r w:rsidR="003B0866" w:rsidRPr="006C2C13">
        <w:rPr>
          <w:szCs w:val="22"/>
        </w:rPr>
        <w:t>HF</w:t>
      </w:r>
      <w:r w:rsidR="00815BE3" w:rsidRPr="006C2C13">
        <w:rPr>
          <w:szCs w:val="22"/>
        </w:rPr>
        <w:t>C</w:t>
      </w:r>
      <w:r w:rsidR="003B0866" w:rsidRPr="006C2C13">
        <w:rPr>
          <w:szCs w:val="22"/>
        </w:rPr>
        <w:t>-</w:t>
      </w:r>
      <w:r w:rsidRPr="006C2C13">
        <w:rPr>
          <w:szCs w:val="22"/>
        </w:rPr>
        <w:t xml:space="preserve">245fa, </w:t>
      </w:r>
      <w:r w:rsidR="003B0866" w:rsidRPr="006C2C13">
        <w:rPr>
          <w:szCs w:val="22"/>
        </w:rPr>
        <w:t>R-</w:t>
      </w:r>
      <w:r w:rsidRPr="006C2C13">
        <w:rPr>
          <w:szCs w:val="22"/>
        </w:rPr>
        <w:t xml:space="preserve">404A, </w:t>
      </w:r>
      <w:r w:rsidR="003B0866" w:rsidRPr="006C2C13">
        <w:rPr>
          <w:szCs w:val="22"/>
        </w:rPr>
        <w:t>R-</w:t>
      </w:r>
      <w:r w:rsidRPr="006C2C13">
        <w:rPr>
          <w:szCs w:val="22"/>
        </w:rPr>
        <w:t xml:space="preserve">407C, </w:t>
      </w:r>
      <w:r w:rsidR="003B0866" w:rsidRPr="006C2C13">
        <w:rPr>
          <w:szCs w:val="22"/>
        </w:rPr>
        <w:t>R-</w:t>
      </w:r>
      <w:r w:rsidRPr="006C2C13">
        <w:rPr>
          <w:szCs w:val="22"/>
        </w:rPr>
        <w:t xml:space="preserve">407D, </w:t>
      </w:r>
      <w:r w:rsidR="003B0866" w:rsidRPr="006C2C13">
        <w:rPr>
          <w:szCs w:val="22"/>
        </w:rPr>
        <w:t>R-</w:t>
      </w:r>
      <w:r w:rsidRPr="006C2C13">
        <w:rPr>
          <w:szCs w:val="22"/>
        </w:rPr>
        <w:t xml:space="preserve">407E, </w:t>
      </w:r>
      <w:r w:rsidR="003B0866" w:rsidRPr="006C2C13">
        <w:rPr>
          <w:szCs w:val="22"/>
        </w:rPr>
        <w:t>R-</w:t>
      </w:r>
      <w:r w:rsidRPr="006C2C13">
        <w:rPr>
          <w:szCs w:val="22"/>
        </w:rPr>
        <w:t xml:space="preserve">410A, </w:t>
      </w:r>
      <w:r w:rsidR="003B0866" w:rsidRPr="006C2C13">
        <w:rPr>
          <w:szCs w:val="22"/>
        </w:rPr>
        <w:t>R-</w:t>
      </w:r>
      <w:r w:rsidRPr="006C2C13">
        <w:rPr>
          <w:szCs w:val="22"/>
        </w:rPr>
        <w:t xml:space="preserve">507A, </w:t>
      </w:r>
      <w:r w:rsidR="003B0866" w:rsidRPr="006C2C13">
        <w:rPr>
          <w:szCs w:val="22"/>
        </w:rPr>
        <w:t>R-</w:t>
      </w:r>
      <w:r w:rsidRPr="006C2C13">
        <w:rPr>
          <w:szCs w:val="22"/>
        </w:rPr>
        <w:t xml:space="preserve">417A and </w:t>
      </w:r>
      <w:r w:rsidR="003B0866" w:rsidRPr="006C2C13">
        <w:rPr>
          <w:szCs w:val="22"/>
        </w:rPr>
        <w:t>R-</w:t>
      </w:r>
      <w:r w:rsidRPr="006C2C13">
        <w:rPr>
          <w:szCs w:val="22"/>
        </w:rPr>
        <w:t>508A</w:t>
      </w:r>
      <w:r w:rsidR="008C3782" w:rsidRPr="00584E0D">
        <w:rPr>
          <w:lang w:val="en-AU"/>
        </w:rPr>
        <w:t>.</w:t>
      </w:r>
      <w:r w:rsidR="00514300">
        <w:rPr>
          <w:lang w:val="en-AU"/>
        </w:rPr>
        <w:t xml:space="preserve"> </w:t>
      </w:r>
    </w:p>
    <w:p w14:paraId="4C9F5801" w14:textId="77777777" w:rsidR="008C3782" w:rsidRPr="00A422FE" w:rsidRDefault="008C3782" w:rsidP="00275CBE">
      <w:pPr>
        <w:pStyle w:val="Heading4"/>
      </w:pPr>
      <w:r w:rsidRPr="00A422FE">
        <w:t>3.4.2.2</w:t>
      </w:r>
      <w:r w:rsidRPr="00A422FE">
        <w:tab/>
        <w:t>Assessment of applicability to HFCs using performance criteria</w:t>
      </w:r>
    </w:p>
    <w:p w14:paraId="43FBA411" w14:textId="500730AA" w:rsidR="00815BE3" w:rsidRPr="00815BE3" w:rsidRDefault="008C3782" w:rsidP="006C2C13">
      <w:pPr>
        <w:rPr>
          <w:lang w:val="en-AU" w:eastAsia="en-US"/>
        </w:rPr>
      </w:pPr>
      <w:r w:rsidRPr="00406A32">
        <w:rPr>
          <w:lang w:val="en-US" w:eastAsia="en-US"/>
        </w:rPr>
        <w:t>The DRE reported is 99.99%. A flue gas volume of 73.2 Nm</w:t>
      </w:r>
      <w:r w:rsidRPr="001E4C71">
        <w:rPr>
          <w:vertAlign w:val="superscript"/>
          <w:lang w:val="en-US" w:eastAsia="en-US"/>
        </w:rPr>
        <w:t>3</w:t>
      </w:r>
      <w:r w:rsidRPr="00406A32">
        <w:rPr>
          <w:lang w:val="en-US" w:eastAsia="en-US"/>
        </w:rPr>
        <w:t>/h was estimated for a system destroying 4 kg/h</w:t>
      </w:r>
      <w:r w:rsidR="001E4C71" w:rsidRPr="00406A32">
        <w:rPr>
          <w:lang w:val="en-US" w:eastAsia="en-US"/>
        </w:rPr>
        <w:t>, with</w:t>
      </w:r>
      <w:r w:rsidRPr="00406A32">
        <w:rPr>
          <w:lang w:val="en-US" w:eastAsia="en-US"/>
        </w:rPr>
        <w:t xml:space="preserve"> </w:t>
      </w:r>
      <w:r w:rsidR="005A1CED">
        <w:rPr>
          <w:lang w:val="en-US" w:eastAsia="en-US"/>
        </w:rPr>
        <w:t xml:space="preserve">emissions below the </w:t>
      </w:r>
      <w:r w:rsidR="00347B0A">
        <w:rPr>
          <w:lang w:val="en-US" w:eastAsia="en-US"/>
        </w:rPr>
        <w:t>performance</w:t>
      </w:r>
      <w:r w:rsidR="005A1CED">
        <w:rPr>
          <w:lang w:val="en-US" w:eastAsia="en-US"/>
        </w:rPr>
        <w:t xml:space="preserve"> criteria except that i</w:t>
      </w:r>
      <w:r w:rsidRPr="00406A32">
        <w:rPr>
          <w:lang w:val="en-US" w:eastAsia="en-US"/>
        </w:rPr>
        <w:t xml:space="preserve">t is noted that no </w:t>
      </w:r>
      <w:r w:rsidR="00AA4F62">
        <w:rPr>
          <w:lang w:val="en-US" w:eastAsia="en-US"/>
        </w:rPr>
        <w:t xml:space="preserve">dioxins/furans </w:t>
      </w:r>
      <w:r w:rsidRPr="00406A32">
        <w:rPr>
          <w:lang w:val="en-US" w:eastAsia="en-US"/>
        </w:rPr>
        <w:t>emission data is available</w:t>
      </w:r>
      <w:r w:rsidR="00815BE3" w:rsidRPr="00815BE3">
        <w:rPr>
          <w:lang w:val="en-AU" w:eastAsia="en-US"/>
        </w:rPr>
        <w:t>.</w:t>
      </w:r>
      <w:r w:rsidR="00762DFE">
        <w:rPr>
          <w:rStyle w:val="FootnoteReference"/>
          <w:rFonts w:ascii="TimesNewRomanPSMT" w:hAnsi="TimesNewRomanPSMT" w:cs="TimesNewRomanPSMT"/>
          <w:color w:val="auto"/>
          <w:szCs w:val="22"/>
          <w:lang w:val="en-AU" w:eastAsia="en-US"/>
        </w:rPr>
        <w:footnoteReference w:id="59"/>
      </w:r>
      <w:r w:rsidR="00815BE3" w:rsidRPr="00815BE3">
        <w:rPr>
          <w:lang w:val="en-AU" w:eastAsia="en-US"/>
        </w:rPr>
        <w:t xml:space="preserve"> </w:t>
      </w:r>
    </w:p>
    <w:p w14:paraId="6E74820F" w14:textId="77777777" w:rsidR="008C3782" w:rsidRDefault="008C3782" w:rsidP="00275CBE">
      <w:pPr>
        <w:pStyle w:val="Heading4"/>
      </w:pPr>
      <w:r>
        <w:lastRenderedPageBreak/>
        <w:t>3.4.2.3</w:t>
      </w:r>
      <w:r>
        <w:tab/>
        <w:t>Technical capability for destruction of HFCs</w:t>
      </w:r>
    </w:p>
    <w:p w14:paraId="06AE66D9" w14:textId="19F6B975" w:rsidR="008C3782" w:rsidRPr="003F1AF4" w:rsidRDefault="008C3782" w:rsidP="008C3782">
      <w:r w:rsidRPr="004C7C03">
        <w:rPr>
          <w:lang w:eastAsia="en-US"/>
        </w:rPr>
        <w:t xml:space="preserve">At the time of writing, the technical capability relating to destruction of HFCs has not </w:t>
      </w:r>
      <w:r w:rsidRPr="004C7C03">
        <w:t>been reported.</w:t>
      </w:r>
      <w:r w:rsidRPr="003F1AF4">
        <w:t xml:space="preserve"> </w:t>
      </w:r>
      <w:r w:rsidR="00CF6AAA">
        <w:t xml:space="preserve">The 2002 TFDT reported that the </w:t>
      </w:r>
      <w:r w:rsidR="00CF6AAA">
        <w:rPr>
          <w:lang w:val="en-AU"/>
        </w:rPr>
        <w:t>process had</w:t>
      </w:r>
      <w:r w:rsidR="00CF6AAA" w:rsidRPr="00CF6AAA">
        <w:rPr>
          <w:lang w:val="en-AU"/>
        </w:rPr>
        <w:t xml:space="preserve"> been demonstrated to successfully destroy </w:t>
      </w:r>
      <w:r w:rsidR="00CF6AAA">
        <w:rPr>
          <w:lang w:val="en-AU"/>
        </w:rPr>
        <w:t>CFCs, PFCs, and PCBs at capacit</w:t>
      </w:r>
      <w:r w:rsidR="003C04AF">
        <w:rPr>
          <w:lang w:val="en-AU"/>
        </w:rPr>
        <w:t>y</w:t>
      </w:r>
      <w:r w:rsidR="00CF6AAA">
        <w:rPr>
          <w:lang w:val="en-AU"/>
        </w:rPr>
        <w:t xml:space="preserve"> </w:t>
      </w:r>
      <w:r w:rsidR="003C04AF">
        <w:rPr>
          <w:lang w:val="en-AU"/>
        </w:rPr>
        <w:t>of</w:t>
      </w:r>
      <w:r w:rsidR="003C04AF" w:rsidRPr="00CF6AAA">
        <w:rPr>
          <w:lang w:val="en-AU"/>
        </w:rPr>
        <w:t xml:space="preserve"> </w:t>
      </w:r>
      <w:r w:rsidR="00CF6AAA" w:rsidRPr="00CF6AAA">
        <w:rPr>
          <w:lang w:val="en-AU"/>
        </w:rPr>
        <w:t xml:space="preserve">1 kg/h. </w:t>
      </w:r>
    </w:p>
    <w:p w14:paraId="6BAC4DCC" w14:textId="77777777" w:rsidR="008C3782" w:rsidRDefault="008C3782" w:rsidP="00275CBE">
      <w:pPr>
        <w:pStyle w:val="Heading4"/>
      </w:pPr>
      <w:r>
        <w:t>3.4.2.4</w:t>
      </w:r>
      <w:r>
        <w:tab/>
        <w:t>Other considerations</w:t>
      </w:r>
    </w:p>
    <w:p w14:paraId="4C318970" w14:textId="4A455FEB" w:rsidR="008C3782" w:rsidRPr="001E4C71" w:rsidRDefault="001E4C71" w:rsidP="003F1AF4">
      <w:pPr>
        <w:autoSpaceDE w:val="0"/>
        <w:autoSpaceDN w:val="0"/>
        <w:adjustRightInd w:val="0"/>
        <w:rPr>
          <w:szCs w:val="22"/>
          <w:lang w:eastAsia="en-US"/>
        </w:rPr>
      </w:pPr>
      <w:r w:rsidRPr="00406A32">
        <w:t>At the time of</w:t>
      </w:r>
      <w:r w:rsidR="008C3782" w:rsidRPr="00406A32">
        <w:t xml:space="preserve"> writing, no other considerations were specifically</w:t>
      </w:r>
      <w:r w:rsidR="008C3782" w:rsidRPr="00406A32">
        <w:rPr>
          <w:rFonts w:ascii="TimesNewRomanPS-ItalicMT" w:hAnsi="TimesNewRomanPS-ItalicMT" w:cs="TimesNewRomanPS-ItalicMT"/>
          <w:iCs/>
          <w:color w:val="auto"/>
          <w:szCs w:val="22"/>
          <w:lang w:val="en-US" w:eastAsia="en-US"/>
        </w:rPr>
        <w:t xml:space="preserve"> reported for this process. </w:t>
      </w:r>
    </w:p>
    <w:p w14:paraId="37ED2C73" w14:textId="77777777" w:rsidR="001E78FA" w:rsidRPr="00FB50B8" w:rsidRDefault="0035159B" w:rsidP="00275CBE">
      <w:pPr>
        <w:pStyle w:val="Heading3"/>
      </w:pPr>
      <w:bookmarkStart w:id="110" w:name="_Ref510530916"/>
      <w:bookmarkStart w:id="111" w:name="_Toc510531478"/>
      <w:r w:rsidRPr="00FB50B8">
        <w:t>3.4.3</w:t>
      </w:r>
      <w:r w:rsidRPr="00FB50B8">
        <w:tab/>
      </w:r>
      <w:r w:rsidR="001E78FA" w:rsidRPr="00FB50B8">
        <w:t>Superheated steam reactor</w:t>
      </w:r>
      <w:bookmarkEnd w:id="110"/>
      <w:bookmarkEnd w:id="111"/>
    </w:p>
    <w:p w14:paraId="0DA2CDEA" w14:textId="2B51A544" w:rsidR="003F1AF4" w:rsidRPr="00355437" w:rsidRDefault="003F1AF4" w:rsidP="003F1AF4">
      <w:pPr>
        <w:rPr>
          <w:lang w:val="en-AU" w:eastAsia="en-US"/>
        </w:rPr>
      </w:pPr>
      <w:r w:rsidRPr="00293F93">
        <w:rPr>
          <w:lang w:val="en-US" w:eastAsia="en-US"/>
        </w:rPr>
        <w:t xml:space="preserve">In the super-heated steam reactor process, decomposition of halocarbons takes place in the gaseous phase at elevated temperatures. </w:t>
      </w:r>
      <w:r w:rsidRPr="00355437">
        <w:rPr>
          <w:lang w:val="en-US" w:eastAsia="en-US"/>
        </w:rPr>
        <w:t xml:space="preserve">Halocarbons, steam, and air are first mixed and then preheated to around 500 ºC, before being fed into a tubular-type reactor, whose wall is electrically heated at 850-1000 ºC. The decomposition, mainly by hydration, produces HF, </w:t>
      </w:r>
      <w:proofErr w:type="spellStart"/>
      <w:r w:rsidRPr="00355437">
        <w:rPr>
          <w:lang w:val="en-US" w:eastAsia="en-US"/>
        </w:rPr>
        <w:t>HCl</w:t>
      </w:r>
      <w:proofErr w:type="spellEnd"/>
      <w:r w:rsidRPr="00355437">
        <w:rPr>
          <w:lang w:val="en-US" w:eastAsia="en-US"/>
        </w:rPr>
        <w:t>, and CO</w:t>
      </w:r>
      <w:r w:rsidRPr="00355437">
        <w:rPr>
          <w:vertAlign w:val="subscript"/>
          <w:lang w:val="en-US" w:eastAsia="en-US"/>
        </w:rPr>
        <w:t>2</w:t>
      </w:r>
      <w:r w:rsidRPr="00355437">
        <w:rPr>
          <w:lang w:val="en-US" w:eastAsia="en-US"/>
        </w:rPr>
        <w:t>. The exhaust gas is led to a scrubber cooler where the exhaust is quenched by washing with a Ca(OH)</w:t>
      </w:r>
      <w:r w:rsidRPr="00355437">
        <w:rPr>
          <w:vertAlign w:val="subscript"/>
          <w:lang w:val="en-US" w:eastAsia="en-US"/>
        </w:rPr>
        <w:t>2</w:t>
      </w:r>
      <w:r w:rsidRPr="00355437">
        <w:rPr>
          <w:lang w:val="en-US" w:eastAsia="en-US"/>
        </w:rPr>
        <w:t xml:space="preserve"> solution and the acids are neutralized. As a result of the quenching of the exhaust, the concentrations of </w:t>
      </w:r>
      <w:r w:rsidR="00DF62EA">
        <w:rPr>
          <w:lang w:val="en-US" w:eastAsia="en-US"/>
        </w:rPr>
        <w:t>dioxins/furans</w:t>
      </w:r>
      <w:r w:rsidRPr="00355437">
        <w:rPr>
          <w:lang w:val="en-US" w:eastAsia="en-US"/>
        </w:rPr>
        <w:t xml:space="preserve"> are minimized.</w:t>
      </w:r>
      <w:r w:rsidRPr="00355437">
        <w:rPr>
          <w:lang w:val="en-AU" w:eastAsia="en-US"/>
        </w:rPr>
        <w:t xml:space="preserve"> </w:t>
      </w:r>
      <w:r w:rsidRPr="00355437">
        <w:rPr>
          <w:lang w:val="en-US" w:eastAsia="en-US"/>
        </w:rPr>
        <w:t xml:space="preserve">This technology may be viewed by some as a thermal oxidation technology. </w:t>
      </w:r>
      <w:r w:rsidRPr="00355437">
        <w:rPr>
          <w:lang w:val="en-AU" w:eastAsia="en-US"/>
        </w:rPr>
        <w:t xml:space="preserve">Additional information was provided by the Japanese government and a technology </w:t>
      </w:r>
      <w:r w:rsidR="00406A32" w:rsidRPr="00355437">
        <w:rPr>
          <w:lang w:val="en-AU" w:eastAsia="en-US"/>
        </w:rPr>
        <w:t>owner.</w:t>
      </w:r>
      <w:r w:rsidR="00514300">
        <w:rPr>
          <w:lang w:val="en-AU" w:eastAsia="en-US"/>
        </w:rPr>
        <w:t xml:space="preserve"> </w:t>
      </w:r>
    </w:p>
    <w:p w14:paraId="0CBE7201" w14:textId="240A5063" w:rsidR="005A1CED" w:rsidRPr="002F7331" w:rsidRDefault="00B40390" w:rsidP="005A1CED">
      <w:r>
        <w:t>In the absence of emissions data demonstrating it meets the performance criteria for particulates</w:t>
      </w:r>
      <w:r w:rsidR="00F14177">
        <w:rPr>
          <w:lang w:val="en-US" w:eastAsia="en-US"/>
        </w:rPr>
        <w:t xml:space="preserve">, </w:t>
      </w:r>
      <w:r w:rsidR="003F1AF4" w:rsidRPr="00861938">
        <w:rPr>
          <w:b/>
          <w:u w:val="single"/>
          <w:lang w:val="en-US" w:eastAsia="en-US"/>
        </w:rPr>
        <w:t xml:space="preserve">Superheated Steam Reactor </w:t>
      </w:r>
      <w:r w:rsidR="005A1CED" w:rsidRPr="00861938">
        <w:rPr>
          <w:b/>
          <w:u w:val="single"/>
        </w:rPr>
        <w:t>is recommended</w:t>
      </w:r>
      <w:r w:rsidR="005A1CED" w:rsidRPr="00FB50B8">
        <w:rPr>
          <w:b/>
          <w:u w:val="single"/>
        </w:rPr>
        <w:t xml:space="preserve"> </w:t>
      </w:r>
      <w:r w:rsidR="00903B63">
        <w:rPr>
          <w:b/>
          <w:i/>
          <w:u w:val="single"/>
        </w:rPr>
        <w:t xml:space="preserve">for </w:t>
      </w:r>
      <w:r w:rsidR="00F14177">
        <w:rPr>
          <w:b/>
          <w:i/>
          <w:u w:val="single"/>
        </w:rPr>
        <w:t>high potential</w:t>
      </w:r>
      <w:r w:rsidR="005A1CED" w:rsidRPr="00FB50B8">
        <w:rPr>
          <w:b/>
          <w:u w:val="single"/>
        </w:rPr>
        <w:t xml:space="preserve"> for applicability to HFC</w:t>
      </w:r>
      <w:r w:rsidR="00401323">
        <w:rPr>
          <w:b/>
          <w:u w:val="single"/>
        </w:rPr>
        <w:t>s</w:t>
      </w:r>
      <w:r w:rsidR="005A1CED" w:rsidRPr="00FB50B8">
        <w:rPr>
          <w:b/>
          <w:u w:val="single"/>
        </w:rPr>
        <w:t xml:space="preserve"> destruction</w:t>
      </w:r>
      <w:r w:rsidR="00B26A48">
        <w:rPr>
          <w:b/>
          <w:u w:val="single"/>
        </w:rPr>
        <w:t>,</w:t>
      </w:r>
      <w:r w:rsidR="00796E39" w:rsidRPr="00FB50B8">
        <w:rPr>
          <w:b/>
          <w:u w:val="single"/>
        </w:rPr>
        <w:t xml:space="preserve"> including HFC-23</w:t>
      </w:r>
      <w:r w:rsidR="005A1CED" w:rsidRPr="00FB50B8">
        <w:rPr>
          <w:b/>
          <w:u w:val="single"/>
        </w:rPr>
        <w:t>.</w:t>
      </w:r>
      <w:r w:rsidR="00514300">
        <w:rPr>
          <w:b/>
          <w:u w:val="single"/>
        </w:rPr>
        <w:t xml:space="preserve"> </w:t>
      </w:r>
    </w:p>
    <w:p w14:paraId="39C245BA" w14:textId="77777777" w:rsidR="003F1AF4" w:rsidRPr="003F1AF4" w:rsidRDefault="003F1AF4" w:rsidP="00275CBE">
      <w:pPr>
        <w:pStyle w:val="Heading4"/>
      </w:pPr>
      <w:r w:rsidRPr="003F1AF4">
        <w:t>3.4.3.1</w:t>
      </w:r>
      <w:r w:rsidRPr="003F1AF4">
        <w:tab/>
        <w:t>Experience with HFC destruction</w:t>
      </w:r>
    </w:p>
    <w:p w14:paraId="6CF9C17E" w14:textId="506DEDA9" w:rsidR="003F1AF4" w:rsidRPr="003F1AF4" w:rsidRDefault="003F1AF4" w:rsidP="003F1AF4">
      <w:pPr>
        <w:rPr>
          <w:lang w:val="en-AU" w:eastAsia="en-US"/>
        </w:rPr>
      </w:pPr>
      <w:r w:rsidRPr="003F1AF4">
        <w:rPr>
          <w:lang w:val="en-AU" w:eastAsia="en-US"/>
        </w:rPr>
        <w:t>Japan has a commercial facility and provided data through the Japanese government. The process was reportedly used to destroy HFCs as early as 2002</w:t>
      </w:r>
      <w:r>
        <w:rPr>
          <w:lang w:val="en-AU" w:eastAsia="en-US"/>
        </w:rPr>
        <w:t>,</w:t>
      </w:r>
      <w:r w:rsidRPr="003F1AF4">
        <w:rPr>
          <w:lang w:val="en-AU" w:eastAsia="en-US"/>
        </w:rPr>
        <w:t xml:space="preserve"> as noted in the 2002 </w:t>
      </w:r>
      <w:r>
        <w:rPr>
          <w:lang w:val="en-AU" w:eastAsia="en-US"/>
        </w:rPr>
        <w:t>TFDT report</w:t>
      </w:r>
      <w:r w:rsidRPr="003F1AF4">
        <w:rPr>
          <w:lang w:val="en-AU" w:eastAsia="en-US"/>
        </w:rPr>
        <w:t>. The installations of the superheated steam reactors were installed in 11 sites in Japan as captive destruction facilities.</w:t>
      </w:r>
    </w:p>
    <w:p w14:paraId="4480DF35" w14:textId="7A7900AF" w:rsidR="003F1AF4" w:rsidRPr="003F1AF4" w:rsidRDefault="003F1AF4" w:rsidP="003F1AF4">
      <w:pPr>
        <w:rPr>
          <w:lang w:val="en-US" w:eastAsia="en-US"/>
        </w:rPr>
      </w:pPr>
      <w:r w:rsidRPr="003F1AF4">
        <w:rPr>
          <w:lang w:val="en-US" w:eastAsia="en-US"/>
        </w:rPr>
        <w:t>This technology has reportedly been tested at a throughput rate of 12.4 kg/hr</w:t>
      </w:r>
      <w:r w:rsidR="00735F94">
        <w:rPr>
          <w:lang w:val="en-US" w:eastAsia="en-US"/>
        </w:rPr>
        <w:t>.</w:t>
      </w:r>
    </w:p>
    <w:p w14:paraId="6B098306" w14:textId="7ECCFCEB" w:rsidR="002D0451" w:rsidRPr="00A422FE" w:rsidRDefault="002D0451" w:rsidP="00275CBE">
      <w:pPr>
        <w:pStyle w:val="Heading4"/>
      </w:pPr>
      <w:r>
        <w:t>3.4.3</w:t>
      </w:r>
      <w:r w:rsidRPr="00A422FE">
        <w:t>.2</w:t>
      </w:r>
      <w:r w:rsidRPr="00A422FE">
        <w:tab/>
        <w:t>Assessment of applicability to HFCs using performance criteria</w:t>
      </w:r>
    </w:p>
    <w:p w14:paraId="5544CF64" w14:textId="233D79CB" w:rsidR="003F1AF4" w:rsidRPr="003F1AF4" w:rsidRDefault="003F1AF4" w:rsidP="003F1AF4">
      <w:pPr>
        <w:rPr>
          <w:lang w:val="en-US" w:eastAsia="en-US"/>
        </w:rPr>
      </w:pPr>
      <w:r w:rsidRPr="003F1AF4">
        <w:rPr>
          <w:lang w:val="en-US" w:eastAsia="en-US"/>
        </w:rPr>
        <w:t xml:space="preserve">It appears that the Superheated Steam Reactor meets the minimum qualifications for both DRE and </w:t>
      </w:r>
      <w:r w:rsidR="00684158">
        <w:rPr>
          <w:lang w:val="en-US" w:eastAsia="en-US"/>
        </w:rPr>
        <w:t>dioxin</w:t>
      </w:r>
      <w:r w:rsidR="00974994">
        <w:rPr>
          <w:lang w:val="en-US" w:eastAsia="en-US"/>
        </w:rPr>
        <w:t>s</w:t>
      </w:r>
      <w:r w:rsidR="00684158">
        <w:rPr>
          <w:lang w:val="en-US" w:eastAsia="en-US"/>
        </w:rPr>
        <w:t xml:space="preserve">/furans </w:t>
      </w:r>
      <w:r w:rsidRPr="003F1AF4">
        <w:rPr>
          <w:lang w:val="en-US" w:eastAsia="en-US"/>
        </w:rPr>
        <w:t>emissions</w:t>
      </w:r>
      <w:r w:rsidR="0014760B">
        <w:rPr>
          <w:lang w:val="en-US" w:eastAsia="en-US"/>
        </w:rPr>
        <w:t>,</w:t>
      </w:r>
      <w:r w:rsidRPr="003F1AF4">
        <w:rPr>
          <w:lang w:val="en-US" w:eastAsia="en-US"/>
        </w:rPr>
        <w:t xml:space="preserve"> </w:t>
      </w:r>
      <w:r w:rsidR="00684158">
        <w:rPr>
          <w:lang w:val="en-US" w:eastAsia="en-US"/>
        </w:rPr>
        <w:t xml:space="preserve">but does not meet the criteria </w:t>
      </w:r>
      <w:r w:rsidR="00735F94">
        <w:rPr>
          <w:lang w:val="en-US" w:eastAsia="en-US"/>
        </w:rPr>
        <w:t xml:space="preserve">for particulates, </w:t>
      </w:r>
      <w:r w:rsidR="0014760B" w:rsidRPr="003F1AF4">
        <w:rPr>
          <w:lang w:val="en-US" w:eastAsia="en-US"/>
        </w:rPr>
        <w:t xml:space="preserve">according to the </w:t>
      </w:r>
      <w:r w:rsidRPr="003F1AF4">
        <w:rPr>
          <w:lang w:val="en-US" w:eastAsia="en-US"/>
        </w:rPr>
        <w:t xml:space="preserve">data reported at </w:t>
      </w:r>
      <w:r w:rsidR="005A1CED">
        <w:rPr>
          <w:lang w:val="en-US" w:eastAsia="en-US"/>
        </w:rPr>
        <w:t>f</w:t>
      </w:r>
      <w:r w:rsidRPr="003F1AF4">
        <w:rPr>
          <w:lang w:val="en-US" w:eastAsia="en-US"/>
        </w:rPr>
        <w:t>ac</w:t>
      </w:r>
      <w:r w:rsidR="002241F3">
        <w:rPr>
          <w:lang w:val="en-US" w:eastAsia="en-US"/>
        </w:rPr>
        <w:t xml:space="preserve">ilities </w:t>
      </w:r>
      <w:r w:rsidRPr="003F1AF4">
        <w:rPr>
          <w:lang w:val="en-US" w:eastAsia="en-US"/>
        </w:rPr>
        <w:t xml:space="preserve">in Japan and </w:t>
      </w:r>
      <w:r w:rsidR="005A1CED">
        <w:rPr>
          <w:lang w:val="en-US" w:eastAsia="en-US"/>
        </w:rPr>
        <w:t>in China</w:t>
      </w:r>
      <w:r w:rsidR="002241F3">
        <w:rPr>
          <w:rStyle w:val="FootnoteReference"/>
          <w:lang w:val="en-US" w:eastAsia="en-US"/>
        </w:rPr>
        <w:footnoteReference w:id="60"/>
      </w:r>
      <w:r>
        <w:rPr>
          <w:lang w:val="en-US" w:eastAsia="en-US"/>
        </w:rPr>
        <w:t>.</w:t>
      </w:r>
      <w:r w:rsidR="00514300">
        <w:rPr>
          <w:lang w:val="en-US" w:eastAsia="en-US"/>
        </w:rPr>
        <w:t xml:space="preserve"> </w:t>
      </w:r>
    </w:p>
    <w:p w14:paraId="4BD51A66" w14:textId="06E0C78B" w:rsidR="003F1AF4" w:rsidRDefault="00684158" w:rsidP="003F1AF4">
      <w:pPr>
        <w:rPr>
          <w:lang w:val="en-US" w:eastAsia="en-US"/>
        </w:rPr>
      </w:pPr>
      <w:r>
        <w:rPr>
          <w:lang w:val="en-US" w:eastAsia="en-US"/>
        </w:rPr>
        <w:t>Two sets of data were reported for facilities in Japan and China. In one case, the DRE was reported as being greater than 99.99% while in the other case, no DRE was provided. No dioxin</w:t>
      </w:r>
      <w:r w:rsidR="00974994">
        <w:rPr>
          <w:lang w:val="en-US" w:eastAsia="en-US"/>
        </w:rPr>
        <w:t>s</w:t>
      </w:r>
      <w:r>
        <w:rPr>
          <w:lang w:val="en-US" w:eastAsia="en-US"/>
        </w:rPr>
        <w:t>/furans data were reported in one case, and in the other they were reported as below the TEAP criteria.</w:t>
      </w:r>
      <w:r w:rsidR="002241F3">
        <w:rPr>
          <w:rStyle w:val="FootnoteReference"/>
          <w:lang w:val="en-US" w:eastAsia="en-US"/>
        </w:rPr>
        <w:footnoteReference w:id="61"/>
      </w:r>
      <w:r w:rsidR="003F1AF4" w:rsidRPr="003F1AF4">
        <w:rPr>
          <w:lang w:val="en-US" w:eastAsia="en-US"/>
        </w:rPr>
        <w:t xml:space="preserve"> </w:t>
      </w:r>
      <w:r w:rsidR="005A1CED">
        <w:rPr>
          <w:lang w:val="en-US" w:eastAsia="en-US"/>
        </w:rPr>
        <w:t xml:space="preserve">Particulate emissions were not reported in one case and reported as higher than the </w:t>
      </w:r>
      <w:r w:rsidR="006D007B">
        <w:rPr>
          <w:lang w:val="en-US" w:eastAsia="en-US"/>
        </w:rPr>
        <w:t xml:space="preserve">performance </w:t>
      </w:r>
      <w:r w:rsidR="005A1CED">
        <w:rPr>
          <w:lang w:val="en-US" w:eastAsia="en-US"/>
        </w:rPr>
        <w:t>criteria in another.</w:t>
      </w:r>
    </w:p>
    <w:p w14:paraId="2C4AF786" w14:textId="200A7A12" w:rsidR="0014760B" w:rsidRDefault="0014760B" w:rsidP="00275CBE">
      <w:pPr>
        <w:pStyle w:val="Heading4"/>
      </w:pPr>
      <w:r>
        <w:lastRenderedPageBreak/>
        <w:t>3.4.3.3</w:t>
      </w:r>
      <w:r>
        <w:tab/>
        <w:t>Technical capability for destruction of HFCs</w:t>
      </w:r>
    </w:p>
    <w:p w14:paraId="53069E0E" w14:textId="087341F6" w:rsidR="0014760B" w:rsidRPr="0014760B" w:rsidRDefault="0014760B" w:rsidP="0014760B">
      <w:pPr>
        <w:autoSpaceDE w:val="0"/>
        <w:autoSpaceDN w:val="0"/>
        <w:adjustRightInd w:val="0"/>
        <w:spacing w:after="0"/>
        <w:rPr>
          <w:color w:val="auto"/>
          <w:szCs w:val="22"/>
          <w:lang w:val="en-US" w:eastAsia="en-US"/>
        </w:rPr>
      </w:pPr>
      <w:r w:rsidRPr="0014760B">
        <w:rPr>
          <w:szCs w:val="22"/>
          <w:lang w:val="en-AU"/>
        </w:rPr>
        <w:t xml:space="preserve">Japan and China have commercial facilities. </w:t>
      </w:r>
      <w:r w:rsidRPr="0014760B">
        <w:rPr>
          <w:color w:val="auto"/>
          <w:szCs w:val="22"/>
          <w:lang w:val="en-US" w:eastAsia="en-US"/>
        </w:rPr>
        <w:t>The reactor has been used to destroy CFCs, HCFCs, and HFCs</w:t>
      </w:r>
      <w:r>
        <w:rPr>
          <w:color w:val="auto"/>
          <w:szCs w:val="22"/>
          <w:lang w:val="en-US" w:eastAsia="en-US"/>
        </w:rPr>
        <w:t>,</w:t>
      </w:r>
      <w:r w:rsidRPr="0014760B">
        <w:rPr>
          <w:color w:val="auto"/>
          <w:szCs w:val="22"/>
          <w:lang w:val="en-US" w:eastAsia="en-US"/>
        </w:rPr>
        <w:t xml:space="preserve"> including HFC-23. The installations of the super-heated steam reactors are installed at 11 sites in Japan as captive destruction facilities.</w:t>
      </w:r>
      <w:r w:rsidR="00514300">
        <w:rPr>
          <w:color w:val="auto"/>
          <w:szCs w:val="22"/>
          <w:lang w:val="en-US" w:eastAsia="en-US"/>
        </w:rPr>
        <w:t xml:space="preserve"> </w:t>
      </w:r>
    </w:p>
    <w:p w14:paraId="640F0C94" w14:textId="77777777" w:rsidR="0014760B" w:rsidRDefault="0014760B" w:rsidP="0014760B">
      <w:pPr>
        <w:autoSpaceDE w:val="0"/>
        <w:autoSpaceDN w:val="0"/>
        <w:adjustRightInd w:val="0"/>
        <w:spacing w:after="0"/>
        <w:rPr>
          <w:rFonts w:eastAsia="Times New Roman"/>
          <w:szCs w:val="22"/>
          <w:lang w:val="en-AU"/>
        </w:rPr>
      </w:pPr>
    </w:p>
    <w:p w14:paraId="3FEA58C7" w14:textId="7E5FED08" w:rsidR="0014760B" w:rsidRPr="0014760B" w:rsidRDefault="0014760B" w:rsidP="0014760B">
      <w:pPr>
        <w:autoSpaceDE w:val="0"/>
        <w:autoSpaceDN w:val="0"/>
        <w:adjustRightInd w:val="0"/>
        <w:spacing w:after="0"/>
        <w:rPr>
          <w:color w:val="auto"/>
          <w:szCs w:val="22"/>
          <w:lang w:val="en-US" w:eastAsia="en-US"/>
        </w:rPr>
      </w:pPr>
      <w:r w:rsidRPr="0014760B">
        <w:rPr>
          <w:rFonts w:eastAsia="Times New Roman"/>
          <w:szCs w:val="22"/>
          <w:lang w:val="en-AU"/>
        </w:rPr>
        <w:t xml:space="preserve">The application of this technology to HFC-23 destruction was broadly identified by China in its submission and in more detail </w:t>
      </w:r>
      <w:r w:rsidR="00EC0807">
        <w:rPr>
          <w:rFonts w:eastAsia="Times New Roman"/>
          <w:szCs w:val="22"/>
          <w:lang w:val="en-AU"/>
        </w:rPr>
        <w:t xml:space="preserve">in the Project Design Document and Monitoring Reports for the CDM Project. </w:t>
      </w:r>
      <w:r w:rsidRPr="0014760B">
        <w:rPr>
          <w:rFonts w:eastAsia="Times New Roman"/>
          <w:szCs w:val="22"/>
          <w:lang w:val="en-AU"/>
        </w:rPr>
        <w:t>The quantity of HFC-23 reported</w:t>
      </w:r>
      <w:r>
        <w:rPr>
          <w:rFonts w:eastAsia="Times New Roman"/>
          <w:szCs w:val="22"/>
          <w:lang w:val="en-AU"/>
        </w:rPr>
        <w:t>ly</w:t>
      </w:r>
      <w:r w:rsidRPr="0014760B">
        <w:rPr>
          <w:rFonts w:eastAsia="Times New Roman"/>
          <w:szCs w:val="22"/>
          <w:lang w:val="en-AU"/>
        </w:rPr>
        <w:t xml:space="preserve"> destroyed in </w:t>
      </w:r>
      <w:r w:rsidR="00EC0807">
        <w:rPr>
          <w:rFonts w:eastAsia="Times New Roman"/>
          <w:szCs w:val="22"/>
          <w:lang w:val="en-AU"/>
        </w:rPr>
        <w:t>a m</w:t>
      </w:r>
      <w:r>
        <w:rPr>
          <w:rFonts w:eastAsia="Times New Roman"/>
          <w:szCs w:val="22"/>
          <w:lang w:val="en-AU"/>
        </w:rPr>
        <w:t xml:space="preserve">onitoring period </w:t>
      </w:r>
      <w:r w:rsidR="00EC0807" w:rsidRPr="00EC0807">
        <w:rPr>
          <w:rFonts w:eastAsia="Times New Roman"/>
          <w:szCs w:val="22"/>
          <w:lang w:val="en-AU"/>
        </w:rPr>
        <w:t>Dec 31, 2007 to Apr 30, 2008</w:t>
      </w:r>
      <w:r w:rsidR="00FE72B2">
        <w:rPr>
          <w:rFonts w:eastAsia="Times New Roman"/>
          <w:szCs w:val="22"/>
          <w:lang w:val="en-AU"/>
        </w:rPr>
        <w:t xml:space="preserve"> </w:t>
      </w:r>
      <w:r>
        <w:rPr>
          <w:rFonts w:eastAsia="Times New Roman"/>
          <w:szCs w:val="22"/>
          <w:lang w:val="en-AU"/>
        </w:rPr>
        <w:t>was 181.33 tonnes</w:t>
      </w:r>
      <w:r w:rsidR="00EC0807">
        <w:rPr>
          <w:rFonts w:eastAsia="Times New Roman"/>
          <w:szCs w:val="22"/>
          <w:lang w:val="en-AU"/>
        </w:rPr>
        <w:t>, which equates to a capacity of about 60</w:t>
      </w:r>
      <w:r w:rsidR="00FE72B2">
        <w:rPr>
          <w:rFonts w:eastAsia="Times New Roman"/>
          <w:szCs w:val="22"/>
          <w:lang w:val="en-AU"/>
        </w:rPr>
        <w:t xml:space="preserve"> </w:t>
      </w:r>
      <w:r w:rsidR="00EC0807">
        <w:rPr>
          <w:rFonts w:eastAsia="Times New Roman"/>
          <w:szCs w:val="22"/>
          <w:lang w:val="en-AU"/>
        </w:rPr>
        <w:t>kg/hr</w:t>
      </w:r>
      <w:r w:rsidRPr="0014760B">
        <w:rPr>
          <w:rFonts w:eastAsia="Times New Roman"/>
          <w:szCs w:val="22"/>
          <w:lang w:val="en-AU"/>
        </w:rPr>
        <w:t>.</w:t>
      </w:r>
      <w:r w:rsidR="00514300">
        <w:rPr>
          <w:rFonts w:eastAsia="Times New Roman"/>
          <w:szCs w:val="22"/>
          <w:lang w:val="en-AU"/>
        </w:rPr>
        <w:t xml:space="preserve"> </w:t>
      </w:r>
      <w:r w:rsidRPr="0014760B">
        <w:rPr>
          <w:rFonts w:eastAsia="Times New Roman"/>
          <w:szCs w:val="22"/>
          <w:lang w:val="en-AU"/>
        </w:rPr>
        <w:t xml:space="preserve"> </w:t>
      </w:r>
    </w:p>
    <w:p w14:paraId="1C5C8E08" w14:textId="2CBEEEA2" w:rsidR="0014760B" w:rsidRPr="00120B30" w:rsidRDefault="00EC0807" w:rsidP="0014760B">
      <w:pPr>
        <w:autoSpaceDE w:val="0"/>
        <w:autoSpaceDN w:val="0"/>
        <w:adjustRightInd w:val="0"/>
        <w:spacing w:after="0"/>
        <w:rPr>
          <w:szCs w:val="22"/>
          <w:lang w:val="en-US"/>
        </w:rPr>
      </w:pPr>
      <w:r>
        <w:rPr>
          <w:szCs w:val="22"/>
          <w:lang w:val="en-US"/>
        </w:rPr>
        <w:t xml:space="preserve"> </w:t>
      </w:r>
    </w:p>
    <w:p w14:paraId="25C1842D" w14:textId="77777777" w:rsidR="0014760B" w:rsidRDefault="0014760B" w:rsidP="00275CBE">
      <w:pPr>
        <w:pStyle w:val="Heading4"/>
      </w:pPr>
      <w:r>
        <w:t>3.4.3.4</w:t>
      </w:r>
      <w:r>
        <w:tab/>
        <w:t>Other considerations</w:t>
      </w:r>
    </w:p>
    <w:p w14:paraId="0BF87FD4" w14:textId="54E65541" w:rsidR="0014760B" w:rsidRPr="0014760B" w:rsidRDefault="0014760B" w:rsidP="009A47CF">
      <w:pPr>
        <w:rPr>
          <w:lang w:val="en-US" w:eastAsia="en-US"/>
        </w:rPr>
      </w:pPr>
      <w:r w:rsidRPr="0014760B">
        <w:rPr>
          <w:lang w:val="en-US" w:eastAsia="en-US"/>
        </w:rPr>
        <w:t>It is theoretically possible that superheated steam reactors might have even better performance with even higher operating temperature</w:t>
      </w:r>
      <w:r w:rsidR="009A47CF">
        <w:rPr>
          <w:lang w:val="en-US" w:eastAsia="en-US"/>
        </w:rPr>
        <w:t>s</w:t>
      </w:r>
      <w:r w:rsidRPr="0014760B">
        <w:rPr>
          <w:lang w:val="en-US" w:eastAsia="en-US"/>
        </w:rPr>
        <w:t>.</w:t>
      </w:r>
      <w:r w:rsidR="00514300">
        <w:rPr>
          <w:lang w:val="en-US" w:eastAsia="en-US"/>
        </w:rPr>
        <w:t xml:space="preserve"> </w:t>
      </w:r>
    </w:p>
    <w:p w14:paraId="6AEDC714" w14:textId="44238A22" w:rsidR="0014760B" w:rsidRPr="0014760B" w:rsidRDefault="0014760B" w:rsidP="009A47CF">
      <w:pPr>
        <w:rPr>
          <w:lang w:val="en-US" w:eastAsia="en-US"/>
        </w:rPr>
      </w:pPr>
      <w:r w:rsidRPr="0014760B">
        <w:rPr>
          <w:lang w:val="en-US" w:eastAsia="en-US"/>
        </w:rPr>
        <w:t>Key advantages of the process are its high destruction efficiency and its low emissions of pollutants, which result from its high operating temperature, quench cooling of process gases and the low flue gas volume. The process is claimed to be easy to maintain because of its simple design</w:t>
      </w:r>
      <w:r w:rsidR="009A47CF">
        <w:rPr>
          <w:lang w:val="en-US" w:eastAsia="en-US"/>
        </w:rPr>
        <w:t>,</w:t>
      </w:r>
      <w:r w:rsidRPr="0014760B">
        <w:rPr>
          <w:lang w:val="en-US" w:eastAsia="en-US"/>
        </w:rPr>
        <w:t xml:space="preserve"> and safe to operate because it operates under negative pressure. The compact nature of the process permits its application in mobile destruction facilities and it is</w:t>
      </w:r>
      <w:r w:rsidR="009A47CF">
        <w:rPr>
          <w:lang w:val="en-US" w:eastAsia="en-US"/>
        </w:rPr>
        <w:t xml:space="preserve"> applicable </w:t>
      </w:r>
      <w:r w:rsidRPr="0014760B">
        <w:rPr>
          <w:lang w:val="en-US" w:eastAsia="en-US"/>
        </w:rPr>
        <w:t>to all but ODS</w:t>
      </w:r>
      <w:r w:rsidR="009A47CF">
        <w:rPr>
          <w:lang w:val="en-US" w:eastAsia="en-US"/>
        </w:rPr>
        <w:t>-containing</w:t>
      </w:r>
      <w:r w:rsidR="009A47CF" w:rsidRPr="009A47CF">
        <w:rPr>
          <w:lang w:val="en-US" w:eastAsia="en-US"/>
        </w:rPr>
        <w:t xml:space="preserve"> </w:t>
      </w:r>
      <w:r w:rsidR="009A47CF" w:rsidRPr="0014760B">
        <w:rPr>
          <w:lang w:val="en-US" w:eastAsia="en-US"/>
        </w:rPr>
        <w:t>foam</w:t>
      </w:r>
      <w:r w:rsidR="009A47CF">
        <w:rPr>
          <w:lang w:val="en-US" w:eastAsia="en-US"/>
        </w:rPr>
        <w:t>s</w:t>
      </w:r>
      <w:r w:rsidRPr="0014760B">
        <w:rPr>
          <w:lang w:val="en-US" w:eastAsia="en-US"/>
        </w:rPr>
        <w:t>.</w:t>
      </w:r>
    </w:p>
    <w:p w14:paraId="58ECAC2F" w14:textId="398E89EB" w:rsidR="0014760B" w:rsidRPr="0014760B" w:rsidRDefault="0014760B" w:rsidP="009A47CF">
      <w:pPr>
        <w:rPr>
          <w:lang w:val="en-US" w:eastAsia="en-US"/>
        </w:rPr>
      </w:pPr>
      <w:r w:rsidRPr="0014760B">
        <w:rPr>
          <w:lang w:val="en-US" w:eastAsia="en-US"/>
        </w:rPr>
        <w:t xml:space="preserve">The </w:t>
      </w:r>
      <w:r w:rsidR="009A47CF">
        <w:rPr>
          <w:lang w:val="en-US" w:eastAsia="en-US"/>
        </w:rPr>
        <w:t>key</w:t>
      </w:r>
      <w:r w:rsidR="009A47CF" w:rsidRPr="0014760B">
        <w:rPr>
          <w:lang w:val="en-US" w:eastAsia="en-US"/>
        </w:rPr>
        <w:t xml:space="preserve"> </w:t>
      </w:r>
      <w:r w:rsidRPr="0014760B">
        <w:rPr>
          <w:lang w:val="en-US" w:eastAsia="en-US"/>
        </w:rPr>
        <w:t>disadvantage is the need to dispose of halide salts resulting from neutralization of acid gases, although technology to recycle the CaF</w:t>
      </w:r>
      <w:r w:rsidRPr="00BA2A6A">
        <w:rPr>
          <w:vertAlign w:val="subscript"/>
          <w:lang w:val="en-US" w:eastAsia="en-US"/>
        </w:rPr>
        <w:t>2</w:t>
      </w:r>
      <w:r w:rsidRPr="0014760B">
        <w:rPr>
          <w:lang w:val="en-US" w:eastAsia="en-US"/>
        </w:rPr>
        <w:t xml:space="preserve"> would reduce th</w:t>
      </w:r>
      <w:r w:rsidR="009A47CF">
        <w:rPr>
          <w:lang w:val="en-US" w:eastAsia="en-US"/>
        </w:rPr>
        <w:t>is</w:t>
      </w:r>
      <w:r w:rsidRPr="0014760B">
        <w:rPr>
          <w:lang w:val="en-US" w:eastAsia="en-US"/>
        </w:rPr>
        <w:t xml:space="preserve"> impact.</w:t>
      </w:r>
    </w:p>
    <w:p w14:paraId="3EE17A3D" w14:textId="77777777" w:rsidR="001E78FA" w:rsidRPr="00FB50B8" w:rsidRDefault="0035159B" w:rsidP="00275CBE">
      <w:pPr>
        <w:pStyle w:val="Heading3"/>
      </w:pPr>
      <w:bookmarkStart w:id="112" w:name="_Ref510530937"/>
      <w:bookmarkStart w:id="113" w:name="_Toc510531479"/>
      <w:r w:rsidRPr="00FB50B8">
        <w:t>3.4.4</w:t>
      </w:r>
      <w:r w:rsidRPr="00FB50B8">
        <w:tab/>
      </w:r>
      <w:r w:rsidR="001E78FA" w:rsidRPr="00FB50B8">
        <w:t>Thermal Reaction with Methane</w:t>
      </w:r>
      <w:bookmarkEnd w:id="112"/>
      <w:bookmarkEnd w:id="113"/>
    </w:p>
    <w:p w14:paraId="2951BFA9" w14:textId="0C41F81D" w:rsidR="006D2741" w:rsidRPr="00355437" w:rsidRDefault="006D2741" w:rsidP="006D2741">
      <w:pPr>
        <w:rPr>
          <w:lang w:val="en-US" w:eastAsia="en-US"/>
        </w:rPr>
      </w:pPr>
      <w:r w:rsidRPr="00293F93">
        <w:rPr>
          <w:lang w:val="en-US" w:eastAsia="en-US"/>
        </w:rPr>
        <w:t>This technology</w:t>
      </w:r>
      <w:r w:rsidR="009A5BDD" w:rsidRPr="00293F93">
        <w:rPr>
          <w:lang w:val="en-US" w:eastAsia="en-US"/>
        </w:rPr>
        <w:t>, which formed part of the submission from Australia,</w:t>
      </w:r>
      <w:r w:rsidRPr="00293F93">
        <w:rPr>
          <w:lang w:val="en-US" w:eastAsia="en-US"/>
        </w:rPr>
        <w:t xml:space="preserve"> transforms fluorocarbons to fluorinated vinyl monomers</w:t>
      </w:r>
      <w:r w:rsidR="009A5BDD" w:rsidRPr="00355437">
        <w:rPr>
          <w:lang w:val="en-US" w:eastAsia="en-US"/>
        </w:rPr>
        <w:t xml:space="preserve">, and was included on the list of approved technologies </w:t>
      </w:r>
      <w:r w:rsidR="00827EEC">
        <w:rPr>
          <w:lang w:val="en-US" w:eastAsia="en-US"/>
        </w:rPr>
        <w:t xml:space="preserve">for ODS </w:t>
      </w:r>
      <w:r w:rsidR="009A5BDD" w:rsidRPr="00355437">
        <w:rPr>
          <w:lang w:val="en-US" w:eastAsia="en-US"/>
        </w:rPr>
        <w:t xml:space="preserve">in 2011. The generic technology is currently being developed to treat HFC waste, including HFC-23. </w:t>
      </w:r>
      <w:r w:rsidRPr="00355437">
        <w:rPr>
          <w:lang w:val="en-US" w:eastAsia="en-US"/>
        </w:rPr>
        <w:t xml:space="preserve">HFC destruction </w:t>
      </w:r>
      <w:r w:rsidR="009A5BDD" w:rsidRPr="00355437">
        <w:rPr>
          <w:lang w:val="en-US" w:eastAsia="en-US"/>
        </w:rPr>
        <w:t xml:space="preserve">and performance </w:t>
      </w:r>
      <w:r w:rsidRPr="00355437">
        <w:rPr>
          <w:lang w:val="en-US" w:eastAsia="en-US"/>
        </w:rPr>
        <w:t xml:space="preserve">data </w:t>
      </w:r>
      <w:r w:rsidR="006F1800" w:rsidRPr="00355437">
        <w:rPr>
          <w:lang w:val="en-US" w:eastAsia="en-US"/>
        </w:rPr>
        <w:t xml:space="preserve">has been </w:t>
      </w:r>
      <w:r w:rsidRPr="00355437">
        <w:rPr>
          <w:lang w:val="en-US" w:eastAsia="en-US"/>
        </w:rPr>
        <w:t>requested and reported as unavailable at the time of writing.</w:t>
      </w:r>
      <w:r w:rsidR="00514300">
        <w:rPr>
          <w:lang w:val="en-US" w:eastAsia="en-US"/>
        </w:rPr>
        <w:t xml:space="preserve"> </w:t>
      </w:r>
    </w:p>
    <w:p w14:paraId="17D86E0C" w14:textId="6054D7B9" w:rsidR="006D2741" w:rsidRPr="006D2741" w:rsidRDefault="009A5BDD" w:rsidP="006D2741">
      <w:pPr>
        <w:rPr>
          <w:lang w:val="en-US" w:eastAsia="en-US"/>
        </w:rPr>
      </w:pPr>
      <w:r w:rsidRPr="00FB50B8">
        <w:rPr>
          <w:lang w:val="en-US"/>
        </w:rPr>
        <w:t>Due to insufficient data being available at the time of writing</w:t>
      </w:r>
      <w:r w:rsidR="006D2741" w:rsidRPr="00FB50B8">
        <w:rPr>
          <w:lang w:val="en-US" w:eastAsia="en-US"/>
        </w:rPr>
        <w:t xml:space="preserve">, </w:t>
      </w:r>
      <w:r w:rsidR="006D2741" w:rsidRPr="00861938">
        <w:rPr>
          <w:b/>
          <w:u w:val="single"/>
          <w:lang w:val="en-US" w:eastAsia="en-US"/>
        </w:rPr>
        <w:t xml:space="preserve">the </w:t>
      </w:r>
      <w:r w:rsidR="00CC2093" w:rsidRPr="00861938">
        <w:rPr>
          <w:b/>
          <w:u w:val="single"/>
          <w:lang w:val="en-US" w:eastAsia="en-US"/>
        </w:rPr>
        <w:t>2018 TFDT</w:t>
      </w:r>
      <w:r w:rsidR="006D2741" w:rsidRPr="00861938">
        <w:rPr>
          <w:b/>
          <w:u w:val="single"/>
          <w:lang w:val="en-US" w:eastAsia="en-US"/>
        </w:rPr>
        <w:t xml:space="preserve"> is </w:t>
      </w:r>
      <w:r w:rsidR="006D2741" w:rsidRPr="00861938">
        <w:rPr>
          <w:b/>
          <w:i/>
          <w:u w:val="single"/>
          <w:lang w:val="en-US" w:eastAsia="en-US"/>
        </w:rPr>
        <w:t>unable</w:t>
      </w:r>
      <w:r w:rsidR="006D2741" w:rsidRPr="00D62306">
        <w:rPr>
          <w:b/>
          <w:i/>
          <w:u w:val="single"/>
          <w:lang w:val="en-US" w:eastAsia="en-US"/>
        </w:rPr>
        <w:t xml:space="preserve"> to </w:t>
      </w:r>
      <w:r w:rsidRPr="00D62306">
        <w:rPr>
          <w:b/>
          <w:i/>
          <w:u w:val="single"/>
          <w:lang w:val="en-US" w:eastAsia="en-US"/>
        </w:rPr>
        <w:t>assess</w:t>
      </w:r>
      <w:r w:rsidR="006D2741" w:rsidRPr="00D62306">
        <w:rPr>
          <w:b/>
          <w:u w:val="single"/>
          <w:lang w:val="en-US" w:eastAsia="en-US"/>
        </w:rPr>
        <w:t xml:space="preserve"> </w:t>
      </w:r>
      <w:r w:rsidR="006D2741" w:rsidRPr="00D62306">
        <w:rPr>
          <w:b/>
          <w:u w:val="single"/>
          <w:lang w:eastAsia="en-US"/>
        </w:rPr>
        <w:t>Thermal Reaction with Methane</w:t>
      </w:r>
      <w:r w:rsidR="006D2741" w:rsidRPr="00D62306">
        <w:rPr>
          <w:b/>
          <w:u w:val="single"/>
          <w:lang w:val="en-US" w:eastAsia="en-US"/>
        </w:rPr>
        <w:t xml:space="preserve"> to confirm its applicability to HFCs</w:t>
      </w:r>
      <w:r w:rsidR="00401323">
        <w:rPr>
          <w:b/>
          <w:u w:val="single"/>
          <w:lang w:val="en-US" w:eastAsia="en-US"/>
        </w:rPr>
        <w:t xml:space="preserve"> destruction</w:t>
      </w:r>
      <w:r w:rsidR="006D2741" w:rsidRPr="00FB50B8">
        <w:rPr>
          <w:lang w:val="en-US" w:eastAsia="en-US"/>
        </w:rPr>
        <w:t>.</w:t>
      </w:r>
      <w:r w:rsidRPr="00FB50B8">
        <w:rPr>
          <w:lang w:val="en-US" w:eastAsia="en-US"/>
        </w:rPr>
        <w:t xml:space="preserve"> </w:t>
      </w:r>
    </w:p>
    <w:p w14:paraId="4032715D" w14:textId="77777777" w:rsidR="006D2741" w:rsidRPr="006D2741" w:rsidRDefault="006D2741" w:rsidP="00275CBE">
      <w:pPr>
        <w:pStyle w:val="Heading4"/>
      </w:pPr>
      <w:r w:rsidRPr="006D2741">
        <w:t>3.4.4.1</w:t>
      </w:r>
      <w:r w:rsidRPr="006D2741">
        <w:tab/>
        <w:t>Experience with HFC destruction</w:t>
      </w:r>
    </w:p>
    <w:p w14:paraId="3D4086A7" w14:textId="2C9A0472" w:rsidR="00580FD6" w:rsidRPr="00580FD6" w:rsidRDefault="006D2741" w:rsidP="006D2741">
      <w:pPr>
        <w:rPr>
          <w:lang w:val="en-AU" w:eastAsia="en-US"/>
        </w:rPr>
      </w:pPr>
      <w:r>
        <w:rPr>
          <w:lang w:val="en-AU" w:eastAsia="en-US"/>
        </w:rPr>
        <w:t>At the</w:t>
      </w:r>
      <w:r w:rsidRPr="006D2741">
        <w:rPr>
          <w:lang w:val="en-AU" w:eastAsia="en-US"/>
        </w:rPr>
        <w:t xml:space="preserve"> </w:t>
      </w:r>
      <w:r>
        <w:rPr>
          <w:lang w:val="en-AU" w:eastAsia="en-US"/>
        </w:rPr>
        <w:t>time of</w:t>
      </w:r>
      <w:r w:rsidRPr="006D2741">
        <w:rPr>
          <w:lang w:val="en-AU" w:eastAsia="en-US"/>
        </w:rPr>
        <w:t xml:space="preserve"> writing, information regarding the current or historical experience </w:t>
      </w:r>
      <w:r w:rsidR="00580FD6">
        <w:rPr>
          <w:lang w:val="en-AU" w:eastAsia="en-US"/>
        </w:rPr>
        <w:t xml:space="preserve">with HFC destruction </w:t>
      </w:r>
      <w:r w:rsidRPr="006D2741">
        <w:rPr>
          <w:lang w:val="en-AU" w:eastAsia="en-US"/>
        </w:rPr>
        <w:t xml:space="preserve">using this technology has not yet been provided to the </w:t>
      </w:r>
      <w:r>
        <w:rPr>
          <w:lang w:val="en-AU" w:eastAsia="en-US"/>
        </w:rPr>
        <w:t>2018 TFDT</w:t>
      </w:r>
      <w:r w:rsidRPr="006D2741">
        <w:rPr>
          <w:lang w:val="en-AU" w:eastAsia="en-US"/>
        </w:rPr>
        <w:t>.</w:t>
      </w:r>
      <w:r w:rsidR="00514300">
        <w:rPr>
          <w:lang w:val="en-AU" w:eastAsia="en-US"/>
        </w:rPr>
        <w:t xml:space="preserve"> </w:t>
      </w:r>
    </w:p>
    <w:p w14:paraId="33AAFDFE" w14:textId="77777777" w:rsidR="00C73234" w:rsidRDefault="00C73234">
      <w:pPr>
        <w:spacing w:after="0"/>
        <w:rPr>
          <w:rStyle w:val="Heading1Char2"/>
        </w:rPr>
        <w:sectPr w:rsidR="00C73234" w:rsidSect="00C73234">
          <w:footnotePr>
            <w:numRestart w:val="eachSect"/>
          </w:footnotePr>
          <w:type w:val="oddPage"/>
          <w:pgSz w:w="11907" w:h="16839" w:code="9"/>
          <w:pgMar w:top="1526" w:right="1800" w:bottom="1440" w:left="1800" w:header="720" w:footer="792" w:gutter="0"/>
          <w:cols w:space="720"/>
          <w:docGrid w:linePitch="299"/>
        </w:sectPr>
      </w:pPr>
    </w:p>
    <w:p w14:paraId="64CC8C18" w14:textId="77777777" w:rsidR="00DD3EBA" w:rsidRPr="00275CBE" w:rsidRDefault="00DD3EBA" w:rsidP="00A94275">
      <w:pPr>
        <w:pStyle w:val="Heading1"/>
      </w:pPr>
      <w:bookmarkStart w:id="114" w:name="_Toc510531480"/>
      <w:r w:rsidRPr="00A94275">
        <w:rPr>
          <w:rStyle w:val="Heading1Char2"/>
          <w:rFonts w:ascii="Times New Roman" w:hAnsi="Times New Roman"/>
        </w:rPr>
        <w:lastRenderedPageBreak/>
        <w:t>4</w:t>
      </w:r>
      <w:r w:rsidRPr="00A94275">
        <w:rPr>
          <w:rStyle w:val="Heading1Char2"/>
          <w:rFonts w:ascii="Times New Roman" w:hAnsi="Times New Roman"/>
        </w:rPr>
        <w:tab/>
        <w:t xml:space="preserve">Assessment of </w:t>
      </w:r>
      <w:r w:rsidR="005A3ED1" w:rsidRPr="00275CBE">
        <w:t>any other technology for possible inclusion in the list of approved destruction technologies in relation to controlled substances</w:t>
      </w:r>
      <w:bookmarkEnd w:id="114"/>
    </w:p>
    <w:p w14:paraId="72B7D675" w14:textId="392642D4" w:rsidR="00BA2A6A" w:rsidRDefault="00BA2A6A" w:rsidP="00BA2A6A">
      <w:pPr>
        <w:rPr>
          <w:lang w:val="en-AU"/>
        </w:rPr>
      </w:pPr>
      <w:r>
        <w:rPr>
          <w:lang w:val="en-AU"/>
        </w:rPr>
        <w:t>This chapter addresses paragraph 1b of decision XXIX/4:</w:t>
      </w:r>
    </w:p>
    <w:p w14:paraId="11AB3866" w14:textId="3745B97F" w:rsidR="00BA2A6A" w:rsidRPr="001D19F1" w:rsidRDefault="002E0FE0" w:rsidP="00BA2A6A">
      <w:pPr>
        <w:rPr>
          <w:i/>
        </w:rPr>
      </w:pPr>
      <w:r>
        <w:rPr>
          <w:i/>
        </w:rPr>
        <w:t>“</w:t>
      </w:r>
      <w:r w:rsidR="00BA2A6A" w:rsidRPr="008A207D">
        <w:rPr>
          <w:i/>
        </w:rPr>
        <w:t>A review of any other technology for possible inclusion in the list of approved destruction technologies in relation to controlled substances</w:t>
      </w:r>
      <w:r w:rsidR="00BA2A6A" w:rsidRPr="001D19F1">
        <w:rPr>
          <w:i/>
        </w:rPr>
        <w:t>;</w:t>
      </w:r>
      <w:r>
        <w:rPr>
          <w:i/>
        </w:rPr>
        <w:t>”</w:t>
      </w:r>
      <w:r w:rsidR="00BA2A6A" w:rsidRPr="001D19F1">
        <w:rPr>
          <w:i/>
        </w:rPr>
        <w:t xml:space="preserve"> </w:t>
      </w:r>
    </w:p>
    <w:p w14:paraId="709F5820" w14:textId="2FBC5A14" w:rsidR="00BA2A6A" w:rsidRDefault="00BA2A6A" w:rsidP="00BA2A6A">
      <w:pPr>
        <w:rPr>
          <w:lang w:val="en-AU"/>
        </w:rPr>
      </w:pPr>
      <w:r>
        <w:rPr>
          <w:lang w:val="en-AU"/>
        </w:rPr>
        <w:t xml:space="preserve">The destruction technologies </w:t>
      </w:r>
      <w:r w:rsidR="001314D9">
        <w:rPr>
          <w:lang w:val="en-AU"/>
        </w:rPr>
        <w:t>discussed</w:t>
      </w:r>
      <w:r>
        <w:rPr>
          <w:lang w:val="en-AU"/>
        </w:rPr>
        <w:t xml:space="preserve"> </w:t>
      </w:r>
      <w:r w:rsidR="001314D9">
        <w:rPr>
          <w:lang w:val="en-AU"/>
        </w:rPr>
        <w:t xml:space="preserve">in this chapter </w:t>
      </w:r>
      <w:r>
        <w:rPr>
          <w:lang w:val="en-AU"/>
        </w:rPr>
        <w:t xml:space="preserve">are not included on </w:t>
      </w:r>
      <w:r w:rsidR="00861938">
        <w:rPr>
          <w:lang w:val="en-AU"/>
        </w:rPr>
        <w:t xml:space="preserve">the </w:t>
      </w:r>
      <w:r>
        <w:rPr>
          <w:lang w:val="en-AU"/>
        </w:rPr>
        <w:t>current list of approved destruction processes</w:t>
      </w:r>
      <w:r w:rsidR="00861938">
        <w:rPr>
          <w:lang w:val="en-AU"/>
        </w:rPr>
        <w:t>,</w:t>
      </w:r>
      <w:r>
        <w:rPr>
          <w:lang w:val="en-AU"/>
        </w:rPr>
        <w:t xml:space="preserve"> contained in the Annex to decision XXIII/12</w:t>
      </w:r>
      <w:r w:rsidR="00861938">
        <w:rPr>
          <w:lang w:val="en-AU"/>
        </w:rPr>
        <w:t xml:space="preserve"> and</w:t>
      </w:r>
      <w:r>
        <w:rPr>
          <w:lang w:val="en-AU"/>
        </w:rPr>
        <w:t xml:space="preserve"> as presented in Table 1-1.</w:t>
      </w:r>
    </w:p>
    <w:p w14:paraId="2C04B0DF" w14:textId="3E99FA40" w:rsidR="00BA2A6A" w:rsidRDefault="00BA2A6A" w:rsidP="00BA2A6A">
      <w:pPr>
        <w:rPr>
          <w:lang w:val="en-AU"/>
        </w:rPr>
      </w:pPr>
      <w:r>
        <w:rPr>
          <w:lang w:val="en-AU"/>
        </w:rPr>
        <w:t>Chapter 2 outlines the performance and technical capability criteria against which the destruction technologies have been assessed</w:t>
      </w:r>
      <w:r w:rsidR="001314D9">
        <w:rPr>
          <w:lang w:val="en-AU"/>
        </w:rPr>
        <w:t xml:space="preserve"> for possible inclusion on the list of approved technologies</w:t>
      </w:r>
      <w:r>
        <w:rPr>
          <w:lang w:val="en-AU"/>
        </w:rPr>
        <w:t>.</w:t>
      </w:r>
    </w:p>
    <w:p w14:paraId="7B6AC1E6" w14:textId="3BDB1B7B" w:rsidR="001314D9" w:rsidRDefault="001314D9" w:rsidP="001314D9">
      <w:pPr>
        <w:rPr>
          <w:lang w:val="en-AU"/>
        </w:rPr>
      </w:pPr>
      <w:r>
        <w:rPr>
          <w:lang w:val="en-AU"/>
        </w:rPr>
        <w:t xml:space="preserve">A number of destruction technologies, not included on the list of approved technologies, were mentioned in parties’ submissions, either in a specific way with supporting data provided, or in a general way. The 2018 TFDT has made efforts to locate operating examples of these technologies and/or gather any available information where possible. For some destruction technologies, inadequate information was available to assess against the performance and technical capability criteria. It appears that some technologies are also no longer in commercial use. </w:t>
      </w:r>
    </w:p>
    <w:p w14:paraId="4B022E8E" w14:textId="02C32EBC" w:rsidR="00BA2A6A" w:rsidRDefault="00BA2A6A" w:rsidP="00BA2A6A">
      <w:pPr>
        <w:rPr>
          <w:lang w:val="en-AU"/>
        </w:rPr>
      </w:pPr>
      <w:r>
        <w:rPr>
          <w:lang w:val="en-AU"/>
        </w:rPr>
        <w:t>Data used to assess the destruction technologies came from a variety of sources, including parties’ submissions, publicly available information, additional information</w:t>
      </w:r>
      <w:r w:rsidRPr="00587D2E">
        <w:rPr>
          <w:lang w:val="en-AU"/>
        </w:rPr>
        <w:t xml:space="preserve"> </w:t>
      </w:r>
      <w:r>
        <w:rPr>
          <w:lang w:val="en-AU"/>
        </w:rPr>
        <w:t xml:space="preserve">requested from </w:t>
      </w:r>
      <w:r w:rsidRPr="00587D2E">
        <w:rPr>
          <w:lang w:val="en-AU"/>
        </w:rPr>
        <w:t xml:space="preserve">several </w:t>
      </w:r>
      <w:r>
        <w:rPr>
          <w:lang w:val="en-AU"/>
        </w:rPr>
        <w:t xml:space="preserve">parties and/or </w:t>
      </w:r>
      <w:r w:rsidRPr="00587D2E">
        <w:rPr>
          <w:lang w:val="en-AU"/>
        </w:rPr>
        <w:t xml:space="preserve">technology </w:t>
      </w:r>
      <w:r>
        <w:rPr>
          <w:lang w:val="en-AU"/>
        </w:rPr>
        <w:t>owners</w:t>
      </w:r>
      <w:r w:rsidR="002F65A9">
        <w:rPr>
          <w:lang w:val="en-AU"/>
        </w:rPr>
        <w:t xml:space="preserve">, and previous assessments undertaken by </w:t>
      </w:r>
      <w:r w:rsidR="001314D9">
        <w:rPr>
          <w:lang w:val="en-AU"/>
        </w:rPr>
        <w:t xml:space="preserve">TEAP, CTOC and </w:t>
      </w:r>
      <w:r w:rsidR="002F65A9">
        <w:rPr>
          <w:lang w:val="en-AU"/>
        </w:rPr>
        <w:t>TFDTs</w:t>
      </w:r>
      <w:r w:rsidRPr="00587D2E">
        <w:rPr>
          <w:lang w:val="en-AU"/>
        </w:rPr>
        <w:t>.</w:t>
      </w:r>
      <w:r w:rsidR="001314D9">
        <w:rPr>
          <w:lang w:val="en-AU"/>
        </w:rPr>
        <w:t xml:space="preserve"> </w:t>
      </w:r>
    </w:p>
    <w:p w14:paraId="685160EC" w14:textId="1E2FBDC7" w:rsidR="00213847" w:rsidRPr="008909D3" w:rsidRDefault="00213847" w:rsidP="00275CBE">
      <w:pPr>
        <w:pStyle w:val="Heading2"/>
      </w:pPr>
      <w:bookmarkStart w:id="115" w:name="_Toc510531481"/>
      <w:r w:rsidRPr="008909D3">
        <w:t>4.1</w:t>
      </w:r>
      <w:r w:rsidRPr="008909D3">
        <w:tab/>
        <w:t>Thermal Oxidation</w:t>
      </w:r>
      <w:bookmarkEnd w:id="115"/>
      <w:r w:rsidRPr="008909D3">
        <w:t xml:space="preserve"> </w:t>
      </w:r>
    </w:p>
    <w:p w14:paraId="1500201E" w14:textId="77777777" w:rsidR="00213847" w:rsidRPr="007527DB" w:rsidRDefault="00213847" w:rsidP="00275CBE">
      <w:pPr>
        <w:pStyle w:val="Heading3"/>
      </w:pPr>
      <w:bookmarkStart w:id="116" w:name="_Ref510530961"/>
      <w:bookmarkStart w:id="117" w:name="_Toc510531482"/>
      <w:r w:rsidRPr="00FB50B8">
        <w:t>4.1.1</w:t>
      </w:r>
      <w:r w:rsidRPr="00FB50B8">
        <w:tab/>
        <w:t>Electric Heater</w:t>
      </w:r>
      <w:bookmarkEnd w:id="116"/>
      <w:bookmarkEnd w:id="117"/>
    </w:p>
    <w:p w14:paraId="7556BDD3" w14:textId="0368FC0F" w:rsidR="00213847" w:rsidRDefault="00213847" w:rsidP="00BA2A6A">
      <w:r>
        <w:t xml:space="preserve">This is a previously unidentified technology marketed by </w:t>
      </w:r>
      <w:r w:rsidR="00924DC9">
        <w:t xml:space="preserve">a Japanese company </w:t>
      </w:r>
      <w:r w:rsidR="00C31025">
        <w:t xml:space="preserve">that </w:t>
      </w:r>
      <w:r w:rsidR="000A7D91">
        <w:t>w</w:t>
      </w:r>
      <w:r>
        <w:t>as introduced in the submission by the Japan. Based on the material presented this appears to be a form of flameless combustion process operating in a reduced oxygen environment with reactor chamber heating supplied by electric heater elements. Operating temperatures inside a reactor are in the range of 900-1,200</w:t>
      </w:r>
      <w:r w:rsidR="008C68D5">
        <w:t>º</w:t>
      </w:r>
      <w:r w:rsidRPr="008C68D5">
        <w:t>C</w:t>
      </w:r>
      <w:r>
        <w:t xml:space="preserve">. Exhaust </w:t>
      </w:r>
      <w:r w:rsidR="00613611">
        <w:t xml:space="preserve">gases </w:t>
      </w:r>
      <w:r>
        <w:t>are passed th</w:t>
      </w:r>
      <w:r w:rsidR="00361CC7">
        <w:t>r</w:t>
      </w:r>
      <w:r>
        <w:t>ough a wet scrubber prior to release.</w:t>
      </w:r>
      <w:r w:rsidR="00361CC7">
        <w:t xml:space="preserve"> It appears to be a small self-</w:t>
      </w:r>
      <w:r>
        <w:t>contained modular unit with a foot print of approximately 1 m</w:t>
      </w:r>
      <w:r w:rsidRPr="00AF705E">
        <w:rPr>
          <w:vertAlign w:val="superscript"/>
        </w:rPr>
        <w:t>2</w:t>
      </w:r>
      <w:r>
        <w:t xml:space="preserve"> and a height of 1.9 m. suggesting portability and application at smaller generation locations. A feed rate range of liquid HFC in the range of 100-300 l/min</w:t>
      </w:r>
      <w:r w:rsidR="00026E28">
        <w:t xml:space="preserve"> (as vapour)</w:t>
      </w:r>
      <w:r>
        <w:t>. is noted in the supplied materials.</w:t>
      </w:r>
    </w:p>
    <w:p w14:paraId="46639AED" w14:textId="506E5564" w:rsidR="00213847" w:rsidRDefault="00213847" w:rsidP="00CC556A">
      <w:r>
        <w:t>The submission by Japan in the form of presentation material from the supplier indicates that it is designed for HFC destruction with specific reference to HFC-32, HFC-4</w:t>
      </w:r>
      <w:r w:rsidR="00026E28">
        <w:t>1</w:t>
      </w:r>
      <w:r>
        <w:t>, HFC-125 and HFC-23.</w:t>
      </w:r>
      <w:r w:rsidR="00514300">
        <w:t xml:space="preserve"> </w:t>
      </w:r>
      <w:r>
        <w:t>This material also indicates that it is produced commercially with deliveries 237 units in Japan, China, Singapore and Malaysia of which 74 are used for HFC-32 destruction and 55 are used for HFC-41 destruction.</w:t>
      </w:r>
      <w:r w:rsidR="00514300">
        <w:t xml:space="preserve"> </w:t>
      </w:r>
      <w:r>
        <w:t xml:space="preserve">The remainder are used for </w:t>
      </w:r>
      <w:r w:rsidR="00AA4F62">
        <w:t xml:space="preserve">HFC-23 </w:t>
      </w:r>
      <w:r>
        <w:t xml:space="preserve">by-product destruction. </w:t>
      </w:r>
    </w:p>
    <w:p w14:paraId="763B472B" w14:textId="71AD0FCE" w:rsidR="00213847" w:rsidRDefault="0046206E" w:rsidP="006C2C13">
      <w:r w:rsidRPr="00DD26EF">
        <w:t xml:space="preserve">Particulate emissions </w:t>
      </w:r>
      <w:r>
        <w:t xml:space="preserve">that meet the performance criteria are unavailable </w:t>
      </w:r>
      <w:r w:rsidRPr="00DD26EF">
        <w:t>at this time. Additional DRE</w:t>
      </w:r>
      <w:r w:rsidRPr="00DD26EF">
        <w:rPr>
          <w:rFonts w:eastAsia="Times New Roman"/>
        </w:rPr>
        <w:t xml:space="preserve"> and more elaboration on the measurement of emission</w:t>
      </w:r>
      <w:r>
        <w:rPr>
          <w:rFonts w:eastAsia="Times New Roman"/>
        </w:rPr>
        <w:t xml:space="preserve"> results would be </w:t>
      </w:r>
      <w:r>
        <w:rPr>
          <w:rFonts w:eastAsia="Times New Roman"/>
        </w:rPr>
        <w:lastRenderedPageBreak/>
        <w:t xml:space="preserve">useful, noting the general reporting of nil results. </w:t>
      </w:r>
      <w:r w:rsidR="00004D48" w:rsidRPr="00861938">
        <w:rPr>
          <w:rFonts w:eastAsia="Times New Roman"/>
          <w:b/>
          <w:u w:val="single"/>
        </w:rPr>
        <w:t xml:space="preserve">Electric Heater </w:t>
      </w:r>
      <w:r w:rsidR="00004D48" w:rsidRPr="00861938">
        <w:rPr>
          <w:b/>
          <w:u w:val="single"/>
        </w:rPr>
        <w:t>is recommended</w:t>
      </w:r>
      <w:r w:rsidR="00004D48" w:rsidRPr="00DD26EF">
        <w:rPr>
          <w:b/>
          <w:u w:val="single"/>
        </w:rPr>
        <w:t xml:space="preserve"> as </w:t>
      </w:r>
      <w:r w:rsidR="00004D48" w:rsidRPr="00DD26EF">
        <w:rPr>
          <w:b/>
          <w:i/>
          <w:u w:val="single"/>
        </w:rPr>
        <w:t>high potential</w:t>
      </w:r>
      <w:r w:rsidR="00004D48" w:rsidRPr="00DD26EF">
        <w:rPr>
          <w:b/>
          <w:u w:val="single"/>
        </w:rPr>
        <w:t xml:space="preserve"> for applicability to HFC</w:t>
      </w:r>
      <w:r w:rsidR="00401323">
        <w:rPr>
          <w:b/>
          <w:u w:val="single"/>
        </w:rPr>
        <w:t>s</w:t>
      </w:r>
      <w:r w:rsidR="00004D48" w:rsidRPr="00DD26EF">
        <w:rPr>
          <w:b/>
          <w:u w:val="single"/>
        </w:rPr>
        <w:t xml:space="preserve"> destruction</w:t>
      </w:r>
      <w:r w:rsidR="00B26A48">
        <w:rPr>
          <w:b/>
          <w:u w:val="single"/>
        </w:rPr>
        <w:t>,</w:t>
      </w:r>
      <w:r w:rsidR="00DD26EF" w:rsidRPr="00DD26EF">
        <w:rPr>
          <w:b/>
          <w:u w:val="single"/>
        </w:rPr>
        <w:t xml:space="preserve"> including HFC-23</w:t>
      </w:r>
      <w:r w:rsidR="00004D48" w:rsidRPr="00DD26EF">
        <w:rPr>
          <w:b/>
          <w:u w:val="single"/>
        </w:rPr>
        <w:t>.</w:t>
      </w:r>
      <w:r w:rsidR="00004D48" w:rsidRPr="00861938">
        <w:t xml:space="preserve"> </w:t>
      </w:r>
    </w:p>
    <w:p w14:paraId="5B262AFD" w14:textId="2969F846" w:rsidR="00213847" w:rsidRPr="006C0C5C" w:rsidRDefault="00213847" w:rsidP="00275CBE">
      <w:pPr>
        <w:pStyle w:val="Heading4"/>
      </w:pPr>
      <w:r>
        <w:t>4</w:t>
      </w:r>
      <w:r w:rsidRPr="006C0C5C">
        <w:t>.</w:t>
      </w:r>
      <w:r>
        <w:t>1</w:t>
      </w:r>
      <w:r w:rsidRPr="006C0C5C">
        <w:t>.1.1</w:t>
      </w:r>
      <w:r w:rsidRPr="006C0C5C">
        <w:tab/>
        <w:t>Experience with destruction</w:t>
      </w:r>
    </w:p>
    <w:p w14:paraId="624C1B2D" w14:textId="70558A91" w:rsidR="00213847" w:rsidRDefault="00213847" w:rsidP="00213847">
      <w:pPr>
        <w:rPr>
          <w:rFonts w:eastAsia="Times New Roman"/>
          <w:lang w:val="en-AU"/>
        </w:rPr>
      </w:pPr>
      <w:r>
        <w:rPr>
          <w:rFonts w:eastAsia="Times New Roman"/>
          <w:lang w:val="en-AU"/>
        </w:rPr>
        <w:t>As noted above Japan has reported the application of this technology to a range of HFCs and provided specific performance data for HFC-125 and HFC-23</w:t>
      </w:r>
      <w:r w:rsidR="00735F94">
        <w:rPr>
          <w:rFonts w:eastAsia="Times New Roman"/>
          <w:lang w:val="en-AU"/>
        </w:rPr>
        <w:t>,</w:t>
      </w:r>
      <w:r>
        <w:rPr>
          <w:rFonts w:eastAsia="Times New Roman"/>
          <w:lang w:val="en-AU"/>
        </w:rPr>
        <w:t xml:space="preserve"> as described below.</w:t>
      </w:r>
      <w:r w:rsidR="00514300">
        <w:rPr>
          <w:rFonts w:eastAsia="Times New Roman"/>
          <w:lang w:val="en-AU"/>
        </w:rPr>
        <w:t xml:space="preserve"> </w:t>
      </w:r>
      <w:r>
        <w:rPr>
          <w:rFonts w:eastAsia="Times New Roman"/>
          <w:lang w:val="en-AU"/>
        </w:rPr>
        <w:t>Commercial application is also reported for HFC-32 and HFC-41 without performance data.</w:t>
      </w:r>
      <w:r w:rsidR="00514300">
        <w:rPr>
          <w:rFonts w:eastAsia="Times New Roman"/>
          <w:lang w:val="en-AU"/>
        </w:rPr>
        <w:t xml:space="preserve"> </w:t>
      </w:r>
      <w:r>
        <w:rPr>
          <w:rFonts w:eastAsia="Times New Roman"/>
          <w:lang w:val="en-AU"/>
        </w:rPr>
        <w:t>No data was reported on quantities of HFCs destroyed</w:t>
      </w:r>
      <w:r w:rsidR="00735F94">
        <w:rPr>
          <w:rFonts w:eastAsia="Times New Roman"/>
          <w:lang w:val="en-AU"/>
        </w:rPr>
        <w:t>.</w:t>
      </w:r>
    </w:p>
    <w:p w14:paraId="1CBB8370" w14:textId="1588CF36" w:rsidR="00213847" w:rsidRPr="006C0C5C" w:rsidRDefault="00213847" w:rsidP="00275CBE">
      <w:pPr>
        <w:pStyle w:val="Heading4"/>
      </w:pPr>
      <w:r>
        <w:t>4</w:t>
      </w:r>
      <w:r w:rsidRPr="006C0C5C">
        <w:t>.</w:t>
      </w:r>
      <w:r>
        <w:t>1</w:t>
      </w:r>
      <w:r w:rsidRPr="006C0C5C">
        <w:t>.1.2</w:t>
      </w:r>
      <w:r w:rsidRPr="006C0C5C">
        <w:tab/>
        <w:t>Assessment using performance criteria</w:t>
      </w:r>
    </w:p>
    <w:p w14:paraId="60AE1D5A" w14:textId="35FD0EC6" w:rsidR="00213847" w:rsidRPr="00FE6DDF" w:rsidRDefault="00213847" w:rsidP="00213847">
      <w:pPr>
        <w:rPr>
          <w:rFonts w:eastAsia="Times New Roman"/>
          <w:lang w:val="en-AU"/>
        </w:rPr>
      </w:pPr>
      <w:r>
        <w:rPr>
          <w:rFonts w:eastAsia="Times New Roman"/>
          <w:lang w:val="en-AU"/>
        </w:rPr>
        <w:t>Data on performance has been presented indicating DRE values &gt;90% with graphical data indicating increasing DRE obtained with increasing reactor temperature and lower feed rates. In the case of HFC-125 DRE appears to approach 99% for reactor temperatures of 1,050</w:t>
      </w:r>
      <w:r w:rsidR="008C68D5">
        <w:rPr>
          <w:rFonts w:eastAsia="Times New Roman"/>
          <w:lang w:val="en-AU"/>
        </w:rPr>
        <w:t>º</w:t>
      </w:r>
      <w:r w:rsidRPr="008C68D5">
        <w:rPr>
          <w:rFonts w:eastAsia="Times New Roman"/>
          <w:lang w:val="en-AU"/>
        </w:rPr>
        <w:t>C</w:t>
      </w:r>
      <w:r>
        <w:rPr>
          <w:rFonts w:eastAsia="Times New Roman"/>
          <w:lang w:val="en-AU"/>
        </w:rPr>
        <w:t xml:space="preserve"> and feed rates of 50 l/min.</w:t>
      </w:r>
      <w:r w:rsidR="00514300">
        <w:rPr>
          <w:rFonts w:eastAsia="Times New Roman"/>
          <w:lang w:val="en-AU"/>
        </w:rPr>
        <w:t xml:space="preserve"> </w:t>
      </w:r>
      <w:r>
        <w:rPr>
          <w:rFonts w:eastAsia="Times New Roman"/>
          <w:lang w:val="en-AU"/>
        </w:rPr>
        <w:t>For HFC-23, DRE appears to exceed 99% and may meet the 99.99% requirement for reactor temperatures over 1,100</w:t>
      </w:r>
      <w:r w:rsidR="00735F94" w:rsidRPr="00D62306">
        <w:rPr>
          <w:rFonts w:eastAsia="Times New Roman"/>
          <w:lang w:val="en-AU"/>
        </w:rPr>
        <w:t>º</w:t>
      </w:r>
      <w:r w:rsidRPr="00FE6DDF">
        <w:rPr>
          <w:rFonts w:eastAsia="Times New Roman"/>
          <w:lang w:val="en-AU"/>
        </w:rPr>
        <w:t>C and feed rates of</w:t>
      </w:r>
      <w:r>
        <w:rPr>
          <w:rFonts w:eastAsia="Times New Roman"/>
          <w:lang w:val="en-AU"/>
        </w:rPr>
        <w:t xml:space="preserve"> up to 300 </w:t>
      </w:r>
      <w:r w:rsidRPr="00FE6DDF">
        <w:rPr>
          <w:rFonts w:eastAsia="Times New Roman"/>
          <w:lang w:val="en-AU"/>
        </w:rPr>
        <w:t>l/min</w:t>
      </w:r>
      <w:r>
        <w:rPr>
          <w:rFonts w:eastAsia="Times New Roman"/>
          <w:lang w:val="en-AU"/>
        </w:rPr>
        <w:t>.</w:t>
      </w:r>
    </w:p>
    <w:p w14:paraId="6FECDA1D" w14:textId="413D79E8" w:rsidR="00213847" w:rsidRPr="006C0C5C" w:rsidRDefault="00213847" w:rsidP="00275CBE">
      <w:pPr>
        <w:pStyle w:val="Heading4"/>
      </w:pPr>
      <w:r>
        <w:t>4</w:t>
      </w:r>
      <w:r w:rsidRPr="006C0C5C">
        <w:t>.</w:t>
      </w:r>
      <w:r>
        <w:t>1</w:t>
      </w:r>
      <w:r w:rsidRPr="006C0C5C">
        <w:t>.1.3</w:t>
      </w:r>
      <w:r w:rsidRPr="006C0C5C">
        <w:tab/>
        <w:t xml:space="preserve">Technical capability for destruction of </w:t>
      </w:r>
      <w:r w:rsidR="00361CC7">
        <w:t>controlled substances</w:t>
      </w:r>
    </w:p>
    <w:p w14:paraId="6C786CEA" w14:textId="17D7D04C" w:rsidR="00213847" w:rsidRDefault="00213847" w:rsidP="00213847">
      <w:pPr>
        <w:rPr>
          <w:rFonts w:eastAsia="Times New Roman"/>
        </w:rPr>
      </w:pPr>
      <w:r>
        <w:rPr>
          <w:rFonts w:eastAsia="Times New Roman"/>
        </w:rPr>
        <w:t xml:space="preserve">The technology is declared as offering a throughput capacity for the destruction for HFC-23 of &lt;2 kg/hr. </w:t>
      </w:r>
      <w:r w:rsidR="00735F94">
        <w:rPr>
          <w:rFonts w:eastAsia="Times New Roman"/>
        </w:rPr>
        <w:t>A</w:t>
      </w:r>
      <w:r>
        <w:rPr>
          <w:rFonts w:eastAsia="Times New Roman"/>
        </w:rPr>
        <w:t>s noted above</w:t>
      </w:r>
      <w:r w:rsidR="00735F94">
        <w:rPr>
          <w:rFonts w:eastAsia="Times New Roman"/>
        </w:rPr>
        <w:t>,</w:t>
      </w:r>
      <w:r>
        <w:rPr>
          <w:rFonts w:eastAsia="Times New Roman"/>
        </w:rPr>
        <w:t xml:space="preserve"> throughput appears to be limited by ensuring sufficient residence time in combination with a sufficiently high reactor temperature to obtain a compliant DRE.</w:t>
      </w:r>
      <w:r w:rsidR="00514300">
        <w:rPr>
          <w:rFonts w:eastAsia="Times New Roman"/>
        </w:rPr>
        <w:t xml:space="preserve"> </w:t>
      </w:r>
    </w:p>
    <w:p w14:paraId="417443BB" w14:textId="024CA070" w:rsidR="00213847" w:rsidRPr="006C0C5C" w:rsidRDefault="00213847" w:rsidP="00275CBE">
      <w:pPr>
        <w:pStyle w:val="Heading4"/>
      </w:pPr>
      <w:r w:rsidRPr="00B7468A">
        <w:rPr>
          <w:rFonts w:eastAsia="Times New Roman"/>
        </w:rPr>
        <w:t>4</w:t>
      </w:r>
      <w:r w:rsidRPr="00B7468A">
        <w:t>.</w:t>
      </w:r>
      <w:r>
        <w:t>1</w:t>
      </w:r>
      <w:r w:rsidRPr="006C0C5C">
        <w:t>.1.4</w:t>
      </w:r>
      <w:r w:rsidRPr="006C0C5C">
        <w:tab/>
        <w:t>Other considerations</w:t>
      </w:r>
    </w:p>
    <w:p w14:paraId="2457325B" w14:textId="12758BB9" w:rsidR="00213847" w:rsidRPr="00DD26EF" w:rsidRDefault="00213847" w:rsidP="00BA2A6A">
      <w:r>
        <w:t xml:space="preserve">The main advantages identified for this technology is what appears to be a relatively simple design, potential utility to destroy a variety of halogenated chemical wastes at source, safety associated with the absence of open flames and its small foot print and portability. The main identified disadvantages appear to be the need for operating discipline to ensure sufficiently low feed rates, associated longer resident times and high reactor temperatures to ensure sufficiently high DRE to meet </w:t>
      </w:r>
      <w:r w:rsidR="00735F94">
        <w:t>performance criteria</w:t>
      </w:r>
      <w:r w:rsidR="003C04AF">
        <w:t xml:space="preserve"> a</w:t>
      </w:r>
      <w:r>
        <w:t>ssociated with the need to maintain higher operating temperatures</w:t>
      </w:r>
      <w:r w:rsidR="003C04AF">
        <w:t>.</w:t>
      </w:r>
      <w:r w:rsidR="00735F94">
        <w:t xml:space="preserve"> </w:t>
      </w:r>
      <w:r w:rsidR="003C04AF">
        <w:t>T</w:t>
      </w:r>
      <w:r w:rsidR="00735F94">
        <w:t>his</w:t>
      </w:r>
      <w:r>
        <w:t xml:space="preserve"> may also negatively impact the operational life and reliability </w:t>
      </w:r>
      <w:r w:rsidRPr="00DD26EF">
        <w:t xml:space="preserve">of reactor components, particularly the heater element. </w:t>
      </w:r>
    </w:p>
    <w:p w14:paraId="0FFDC8D1" w14:textId="51D0206E" w:rsidR="00441815" w:rsidRPr="00DD26EF" w:rsidRDefault="001124F5" w:rsidP="00275CBE">
      <w:pPr>
        <w:pStyle w:val="Heading3"/>
      </w:pPr>
      <w:bookmarkStart w:id="118" w:name="_Ref510530993"/>
      <w:bookmarkStart w:id="119" w:name="_Toc510531483"/>
      <w:r>
        <w:t>4.1.2</w:t>
      </w:r>
      <w:r w:rsidR="00441815" w:rsidRPr="00DD26EF">
        <w:tab/>
        <w:t>Fixed Hearth Incinerator</w:t>
      </w:r>
      <w:bookmarkEnd w:id="118"/>
      <w:bookmarkEnd w:id="119"/>
    </w:p>
    <w:p w14:paraId="597E411E" w14:textId="39D4BE68" w:rsidR="00441815" w:rsidRPr="00355437" w:rsidRDefault="00E16CC8" w:rsidP="00AD06A9">
      <w:r w:rsidRPr="00293F93">
        <w:t xml:space="preserve">Fixed Hearth Incinerators are commonly used in the United States for ODS destruction. </w:t>
      </w:r>
      <w:r w:rsidR="00441815" w:rsidRPr="00293F93">
        <w:t xml:space="preserve">The </w:t>
      </w:r>
      <w:r w:rsidR="00064527">
        <w:t>United States’ submission</w:t>
      </w:r>
      <w:r w:rsidRPr="00355437">
        <w:t xml:space="preserve"> provided the following description of this technology:</w:t>
      </w:r>
    </w:p>
    <w:p w14:paraId="7C21BEA9" w14:textId="5C27548E" w:rsidR="00E16CC8" w:rsidRPr="00E16CC8" w:rsidRDefault="00E16CC8" w:rsidP="00E16CC8">
      <w:pPr>
        <w:rPr>
          <w:lang w:val="en-AU"/>
        </w:rPr>
      </w:pPr>
      <w:r w:rsidRPr="00355437">
        <w:rPr>
          <w:lang w:val="en-AU"/>
        </w:rPr>
        <w:t xml:space="preserve">“Fixed hearth incinerators function similarly to rotary kiln incinerators but utilize fixed combustion chambers to destroy liquid wastes at temperatures ranging from 760 – 980°C. Solid wastes are placed in the primary combustion chamber where they are burned; the residue ash is removed from the primary chamber, and the by-product gases move into the secondary combustion chamber for further destruction. While fixed hearth incinerators are typically utilized to incinerate sewage sludge, medical wastes, and pathological waste, they can also be used to destroy ODS </w:t>
      </w:r>
      <w:r w:rsidRPr="00DD26EF">
        <w:rPr>
          <w:lang w:val="en-AU"/>
        </w:rPr>
        <w:t>(ICF 2009a)</w:t>
      </w:r>
      <w:r w:rsidR="00584E0D">
        <w:rPr>
          <w:rStyle w:val="FootnoteReference"/>
          <w:lang w:val="en-AU"/>
        </w:rPr>
        <w:footnoteReference w:id="62"/>
      </w:r>
      <w:r w:rsidRPr="00DD26EF">
        <w:rPr>
          <w:lang w:val="en-AU"/>
        </w:rPr>
        <w:t>.”</w:t>
      </w:r>
      <w:r w:rsidRPr="00E16CC8">
        <w:rPr>
          <w:lang w:val="en-AU"/>
        </w:rPr>
        <w:t xml:space="preserve"> </w:t>
      </w:r>
    </w:p>
    <w:p w14:paraId="728B0947" w14:textId="043643F7" w:rsidR="00441815" w:rsidRPr="00441815" w:rsidRDefault="00441815" w:rsidP="00441815">
      <w:pPr>
        <w:rPr>
          <w:lang w:val="en-AU"/>
        </w:rPr>
      </w:pPr>
      <w:r>
        <w:rPr>
          <w:lang w:val="en-AU"/>
        </w:rPr>
        <w:t xml:space="preserve">ODS processed at two facilities in the United States in 2010-2016 was reported to be </w:t>
      </w:r>
      <w:r w:rsidRPr="00441815">
        <w:rPr>
          <w:lang w:val="en-AU"/>
        </w:rPr>
        <w:t>CFC-11, CFC-12, CFC-113, CCl4, HCFC-21, HCFC-22, HCFC-123</w:t>
      </w:r>
      <w:r>
        <w:rPr>
          <w:lang w:val="en-AU"/>
        </w:rPr>
        <w:t>.</w:t>
      </w:r>
      <w:r w:rsidRPr="00441815">
        <w:rPr>
          <w:lang w:val="en-AU"/>
        </w:rPr>
        <w:t xml:space="preserve"> </w:t>
      </w:r>
      <w:r>
        <w:rPr>
          <w:lang w:val="en-AU"/>
        </w:rPr>
        <w:t>T</w:t>
      </w:r>
      <w:r w:rsidRPr="00441815">
        <w:rPr>
          <w:lang w:val="en-AU"/>
        </w:rPr>
        <w:t xml:space="preserve">he maximum rate for a fixed </w:t>
      </w:r>
      <w:r>
        <w:rPr>
          <w:lang w:val="en-AU"/>
        </w:rPr>
        <w:t xml:space="preserve">hearth incinerator in Illinois </w:t>
      </w:r>
      <w:r w:rsidRPr="00441815">
        <w:rPr>
          <w:lang w:val="en-AU"/>
        </w:rPr>
        <w:t xml:space="preserve">is about 12,000 kg/hour </w:t>
      </w:r>
      <w:r>
        <w:rPr>
          <w:lang w:val="en-AU"/>
        </w:rPr>
        <w:t>of ODS.</w:t>
      </w:r>
      <w:r w:rsidR="00E16CC8">
        <w:rPr>
          <w:lang w:val="en-AU"/>
        </w:rPr>
        <w:t xml:space="preserve"> </w:t>
      </w:r>
    </w:p>
    <w:p w14:paraId="078908A4" w14:textId="2C9FA31A" w:rsidR="00441815" w:rsidRPr="00DD26EF" w:rsidRDefault="00E16CC8" w:rsidP="00AD06A9">
      <w:r w:rsidRPr="00E16CC8">
        <w:rPr>
          <w:lang w:val="en-AU"/>
        </w:rPr>
        <w:lastRenderedPageBreak/>
        <w:t xml:space="preserve">No other data to assess the technology was provided. Due to insufficient data being available at the time of writing, </w:t>
      </w:r>
      <w:r w:rsidRPr="00861938">
        <w:rPr>
          <w:b/>
          <w:u w:val="single"/>
          <w:lang w:val="en-AU"/>
        </w:rPr>
        <w:t xml:space="preserve">the </w:t>
      </w:r>
      <w:r w:rsidR="00CC2093" w:rsidRPr="00861938">
        <w:rPr>
          <w:b/>
          <w:u w:val="single"/>
          <w:lang w:val="en-AU"/>
        </w:rPr>
        <w:t>2018 TFDT</w:t>
      </w:r>
      <w:r w:rsidRPr="00861938">
        <w:rPr>
          <w:b/>
          <w:u w:val="single"/>
          <w:lang w:val="en-AU"/>
        </w:rPr>
        <w:t xml:space="preserve"> is </w:t>
      </w:r>
      <w:r w:rsidRPr="00861938">
        <w:rPr>
          <w:b/>
          <w:i/>
          <w:u w:val="single"/>
          <w:lang w:val="en-AU"/>
        </w:rPr>
        <w:t xml:space="preserve">unable to assess </w:t>
      </w:r>
      <w:r w:rsidRPr="00861938">
        <w:rPr>
          <w:b/>
          <w:u w:val="single"/>
          <w:lang w:val="en-AU"/>
        </w:rPr>
        <w:t>Fixed Hearth Incinerators</w:t>
      </w:r>
      <w:r w:rsidRPr="00E16CC8">
        <w:rPr>
          <w:lang w:val="en-AU"/>
        </w:rPr>
        <w:t xml:space="preserve"> for possible inclusion on the list of approved destruction technologies. </w:t>
      </w:r>
      <w:r w:rsidR="0055686B">
        <w:rPr>
          <w:lang w:val="en-AU"/>
        </w:rPr>
        <w:t>Also, the operating temperature appears to be lower than recommended in the European Union submission for destruction of HFCs</w:t>
      </w:r>
      <w:r w:rsidR="00026E28">
        <w:rPr>
          <w:lang w:val="en-AU"/>
        </w:rPr>
        <w:t>.</w:t>
      </w:r>
    </w:p>
    <w:p w14:paraId="09DE9562" w14:textId="5975ECB0" w:rsidR="00B66966" w:rsidRPr="00DD26EF" w:rsidRDefault="00B66966" w:rsidP="00275CBE">
      <w:pPr>
        <w:pStyle w:val="Heading3"/>
      </w:pPr>
      <w:bookmarkStart w:id="120" w:name="_Ref510531025"/>
      <w:bookmarkStart w:id="121" w:name="_Toc510531484"/>
      <w:r w:rsidRPr="00DD26EF">
        <w:t>4.1.</w:t>
      </w:r>
      <w:r w:rsidR="001124F5">
        <w:t>3</w:t>
      </w:r>
      <w:r w:rsidRPr="00DD26EF">
        <w:tab/>
        <w:t>Furnaces Dedicated to Manufacturing</w:t>
      </w:r>
      <w:bookmarkEnd w:id="120"/>
      <w:bookmarkEnd w:id="121"/>
    </w:p>
    <w:p w14:paraId="2E702AAD" w14:textId="743449B6" w:rsidR="00B66966" w:rsidRPr="0014776A" w:rsidRDefault="00B66966" w:rsidP="00B66966">
      <w:pPr>
        <w:rPr>
          <w:lang w:val="en-US" w:eastAsia="en-US"/>
        </w:rPr>
      </w:pPr>
      <w:r w:rsidRPr="00DD26EF">
        <w:rPr>
          <w:lang w:val="en-US" w:eastAsia="en-US"/>
        </w:rPr>
        <w:t>The E</w:t>
      </w:r>
      <w:r w:rsidR="00663CDF">
        <w:rPr>
          <w:lang w:val="en-US" w:eastAsia="en-US"/>
        </w:rPr>
        <w:t xml:space="preserve">uropean </w:t>
      </w:r>
      <w:r w:rsidRPr="00DD26EF">
        <w:rPr>
          <w:lang w:val="en-US" w:eastAsia="en-US"/>
        </w:rPr>
        <w:t>U</w:t>
      </w:r>
      <w:r w:rsidR="00663CDF">
        <w:rPr>
          <w:lang w:val="en-US" w:eastAsia="en-US"/>
        </w:rPr>
        <w:t>nion</w:t>
      </w:r>
      <w:r w:rsidRPr="00DD26EF">
        <w:rPr>
          <w:lang w:val="en-US" w:eastAsia="en-US"/>
        </w:rPr>
        <w:t xml:space="preserve"> submission provided the following</w:t>
      </w:r>
      <w:r>
        <w:rPr>
          <w:lang w:val="en-US" w:eastAsia="en-US"/>
        </w:rPr>
        <w:t xml:space="preserve"> description of this technology:</w:t>
      </w:r>
    </w:p>
    <w:p w14:paraId="0AEDE91E" w14:textId="7AA5E066" w:rsidR="00B66966" w:rsidRPr="00B66966" w:rsidRDefault="00B66966" w:rsidP="00B66966">
      <w:pPr>
        <w:rPr>
          <w:lang w:val="en-AU"/>
        </w:rPr>
      </w:pPr>
      <w:r>
        <w:rPr>
          <w:lang w:val="en-AU"/>
        </w:rPr>
        <w:t>“</w:t>
      </w:r>
      <w:r w:rsidRPr="00B66966">
        <w:rPr>
          <w:lang w:val="en-AU"/>
        </w:rPr>
        <w:t xml:space="preserve">All incineration and co-incineration (furnaces dedicated to manufacturing like: lime calcination furnace, electric furnace, etc.) technologies that comply with the following conditions: </w:t>
      </w:r>
    </w:p>
    <w:p w14:paraId="44FF08D2" w14:textId="77777777" w:rsidR="00DD26EF" w:rsidRPr="00584E0D" w:rsidRDefault="00B66966" w:rsidP="00A549E8">
      <w:pPr>
        <w:pStyle w:val="ListParagraph"/>
      </w:pPr>
      <w:r w:rsidRPr="00584E0D">
        <w:t xml:space="preserve">the temperatures in the oxidation chamber are equal or above 1200ºC </w:t>
      </w:r>
    </w:p>
    <w:p w14:paraId="095EB827" w14:textId="07023F3A" w:rsidR="00B66966" w:rsidRPr="001D2563" w:rsidRDefault="00B66966" w:rsidP="00A549E8">
      <w:pPr>
        <w:pStyle w:val="ListParagraph"/>
      </w:pPr>
      <w:r w:rsidRPr="00C049B5">
        <w:t xml:space="preserve">and the retention time of HFC is at least two seconds; </w:t>
      </w:r>
      <w:r w:rsidRPr="001D2563">
        <w:t xml:space="preserve">the criteria of the destruction established by the Task force on destruction technologies in May 2002, are met; should be included in the list of approved destruction technologies.” </w:t>
      </w:r>
    </w:p>
    <w:p w14:paraId="17285416" w14:textId="3606B857" w:rsidR="00B66966" w:rsidRPr="00417CD0" w:rsidRDefault="00B66966" w:rsidP="00B66966">
      <w:pPr>
        <w:rPr>
          <w:lang w:val="en-AU"/>
        </w:rPr>
      </w:pPr>
      <w:r w:rsidRPr="00B66966">
        <w:rPr>
          <w:lang w:val="en-US"/>
        </w:rPr>
        <w:t>The</w:t>
      </w:r>
      <w:r>
        <w:rPr>
          <w:lang w:val="en-US"/>
        </w:rPr>
        <w:t xml:space="preserve"> 2002 TFDT screened out</w:t>
      </w:r>
      <w:r w:rsidRPr="00B66966">
        <w:rPr>
          <w:lang w:val="en-US"/>
        </w:rPr>
        <w:t xml:space="preserve"> this </w:t>
      </w:r>
      <w:r>
        <w:rPr>
          <w:lang w:val="en-US"/>
        </w:rPr>
        <w:t xml:space="preserve">type of </w:t>
      </w:r>
      <w:r w:rsidRPr="00B66966">
        <w:rPr>
          <w:lang w:val="en-US"/>
        </w:rPr>
        <w:t xml:space="preserve">technology </w:t>
      </w:r>
      <w:r>
        <w:rPr>
          <w:lang w:val="en-US"/>
        </w:rPr>
        <w:t>(Blast F</w:t>
      </w:r>
      <w:r w:rsidR="00417CD0">
        <w:rPr>
          <w:lang w:val="en-US"/>
        </w:rPr>
        <w:t xml:space="preserve">urnaces) and did not recommend </w:t>
      </w:r>
      <w:r w:rsidRPr="00B66966">
        <w:rPr>
          <w:lang w:val="en-US"/>
        </w:rPr>
        <w:t xml:space="preserve">for </w:t>
      </w:r>
      <w:r w:rsidR="00417CD0">
        <w:rPr>
          <w:lang w:val="en-US"/>
        </w:rPr>
        <w:t xml:space="preserve">them </w:t>
      </w:r>
      <w:r w:rsidRPr="00B66966">
        <w:rPr>
          <w:lang w:val="en-US"/>
        </w:rPr>
        <w:t>approval for the list of approved destruction technologies.</w:t>
      </w:r>
      <w:r w:rsidRPr="00B66966">
        <w:rPr>
          <w:lang w:val="en-AU"/>
        </w:rPr>
        <w:t xml:space="preserve"> </w:t>
      </w:r>
      <w:r w:rsidR="00417CD0">
        <w:rPr>
          <w:lang w:val="en-AU"/>
        </w:rPr>
        <w:t xml:space="preserve">The 2002 TFDT described some promising results for DRE performance with one example of ODS destruction. </w:t>
      </w:r>
      <w:r w:rsidR="00417CD0" w:rsidRPr="00417CD0">
        <w:rPr>
          <w:lang w:val="en-AU"/>
        </w:rPr>
        <w:t>However</w:t>
      </w:r>
      <w:r w:rsidR="00417CD0">
        <w:rPr>
          <w:lang w:val="en-AU"/>
        </w:rPr>
        <w:t>, there was</w:t>
      </w:r>
      <w:r w:rsidR="00417CD0" w:rsidRPr="00417CD0">
        <w:rPr>
          <w:lang w:val="en-AU"/>
        </w:rPr>
        <w:t xml:space="preserve"> no data for HF and no reference to destruction of any fluorine containing compounds, possibly due to concerns regarding the attack on furnace and stove refractory material due to HF. Most importantly, there </w:t>
      </w:r>
      <w:r w:rsidR="00417CD0">
        <w:rPr>
          <w:lang w:val="en-AU"/>
        </w:rPr>
        <w:t>did</w:t>
      </w:r>
      <w:r w:rsidR="00417CD0" w:rsidRPr="00417CD0">
        <w:rPr>
          <w:lang w:val="en-AU"/>
        </w:rPr>
        <w:t xml:space="preserve"> not appear to be any </w:t>
      </w:r>
      <w:r w:rsidR="00417CD0">
        <w:rPr>
          <w:lang w:val="en-AU"/>
        </w:rPr>
        <w:t>reported</w:t>
      </w:r>
      <w:r w:rsidR="00417CD0" w:rsidRPr="00417CD0">
        <w:rPr>
          <w:lang w:val="en-AU"/>
        </w:rPr>
        <w:t xml:space="preserve"> destruction of refractory compounds in blast furnaces</w:t>
      </w:r>
      <w:r w:rsidR="00417CD0">
        <w:rPr>
          <w:lang w:val="en-AU"/>
        </w:rPr>
        <w:t xml:space="preserve"> at the time</w:t>
      </w:r>
      <w:r w:rsidR="00417CD0" w:rsidRPr="00417CD0">
        <w:rPr>
          <w:lang w:val="en-AU"/>
        </w:rPr>
        <w:t xml:space="preserve">, which </w:t>
      </w:r>
      <w:r w:rsidR="00417CD0">
        <w:rPr>
          <w:lang w:val="en-AU"/>
        </w:rPr>
        <w:t>was thought to be</w:t>
      </w:r>
      <w:r w:rsidR="00417CD0" w:rsidRPr="00417CD0">
        <w:rPr>
          <w:lang w:val="en-AU"/>
        </w:rPr>
        <w:t xml:space="preserve"> due to the risk of product contami</w:t>
      </w:r>
      <w:r w:rsidR="00417CD0">
        <w:rPr>
          <w:lang w:val="en-AU"/>
        </w:rPr>
        <w:t>nation by the waste. This raised</w:t>
      </w:r>
      <w:r w:rsidR="00417CD0" w:rsidRPr="00417CD0">
        <w:rPr>
          <w:lang w:val="en-AU"/>
        </w:rPr>
        <w:t xml:space="preserve"> a serious question </w:t>
      </w:r>
      <w:r w:rsidR="00417CD0">
        <w:rPr>
          <w:lang w:val="en-AU"/>
        </w:rPr>
        <w:t xml:space="preserve">for the 2002 TFDT </w:t>
      </w:r>
      <w:r w:rsidR="00417CD0" w:rsidRPr="00417CD0">
        <w:rPr>
          <w:lang w:val="en-AU"/>
        </w:rPr>
        <w:t xml:space="preserve">about the technical capability of this destruction process. </w:t>
      </w:r>
      <w:r w:rsidRPr="00B66966">
        <w:rPr>
          <w:lang w:val="en-US"/>
        </w:rPr>
        <w:t xml:space="preserve">No </w:t>
      </w:r>
      <w:r w:rsidR="00417CD0">
        <w:rPr>
          <w:lang w:val="en-US"/>
        </w:rPr>
        <w:t xml:space="preserve">new </w:t>
      </w:r>
      <w:r w:rsidRPr="00B66966">
        <w:rPr>
          <w:lang w:val="en-US"/>
        </w:rPr>
        <w:t>data is available to re-assess the technology.</w:t>
      </w:r>
    </w:p>
    <w:p w14:paraId="1617EF0C" w14:textId="6C2FB778" w:rsidR="00B66966" w:rsidRPr="00417CD0" w:rsidRDefault="00B66966" w:rsidP="00AD06A9">
      <w:pPr>
        <w:rPr>
          <w:lang w:val="en-AU"/>
        </w:rPr>
      </w:pPr>
      <w:r w:rsidRPr="00B66966">
        <w:rPr>
          <w:lang w:val="en-US"/>
        </w:rPr>
        <w:t xml:space="preserve">Due to insufficient data being available at the time of writing, </w:t>
      </w:r>
      <w:r w:rsidRPr="00861938">
        <w:rPr>
          <w:b/>
          <w:u w:val="single"/>
          <w:lang w:val="en-US"/>
        </w:rPr>
        <w:t xml:space="preserve">the </w:t>
      </w:r>
      <w:r w:rsidR="00735F94" w:rsidRPr="00861938">
        <w:rPr>
          <w:b/>
          <w:u w:val="single"/>
          <w:lang w:val="en-US"/>
        </w:rPr>
        <w:t>2018 TFDT</w:t>
      </w:r>
      <w:r w:rsidRPr="00861938">
        <w:rPr>
          <w:b/>
          <w:u w:val="single"/>
          <w:lang w:val="en-US"/>
        </w:rPr>
        <w:t xml:space="preserve"> is </w:t>
      </w:r>
      <w:r w:rsidRPr="00861938">
        <w:rPr>
          <w:b/>
          <w:i/>
          <w:u w:val="single"/>
          <w:lang w:val="en-US"/>
        </w:rPr>
        <w:t xml:space="preserve">unable to assess </w:t>
      </w:r>
      <w:r w:rsidR="00417CD0" w:rsidRPr="00861938">
        <w:rPr>
          <w:b/>
          <w:u w:val="single"/>
        </w:rPr>
        <w:t>Furnaces Dedicated to Manufacturing</w:t>
      </w:r>
      <w:r w:rsidRPr="00B66966">
        <w:t xml:space="preserve"> for possible inclusion on the list of approved destruction technologies. </w:t>
      </w:r>
    </w:p>
    <w:p w14:paraId="3F274A05" w14:textId="02A4E469" w:rsidR="001124F5" w:rsidRPr="00DD26EF" w:rsidRDefault="001124F5" w:rsidP="00275CBE">
      <w:pPr>
        <w:pStyle w:val="Heading3"/>
      </w:pPr>
      <w:bookmarkStart w:id="122" w:name="_Ref510531048"/>
      <w:bookmarkStart w:id="123" w:name="_Toc510531485"/>
      <w:bookmarkStart w:id="124" w:name="_GoBack"/>
      <w:bookmarkEnd w:id="124"/>
      <w:r>
        <w:t>4.1.4</w:t>
      </w:r>
      <w:r w:rsidRPr="00DD26EF">
        <w:tab/>
        <w:t>Thermal Decay of Methyl Bromide</w:t>
      </w:r>
      <w:bookmarkEnd w:id="122"/>
      <w:bookmarkEnd w:id="123"/>
    </w:p>
    <w:p w14:paraId="614F6D58" w14:textId="77777777" w:rsidR="001124F5" w:rsidRDefault="001124F5" w:rsidP="001124F5">
      <w:r w:rsidRPr="00293F93">
        <w:t xml:space="preserve">The technical application submitted by one company </w:t>
      </w:r>
      <w:r w:rsidRPr="00C70692">
        <w:t xml:space="preserve">(Australia) </w:t>
      </w:r>
      <w:r w:rsidRPr="00355437">
        <w:t>is described as a portable system for the capture and destruction of</w:t>
      </w:r>
      <w:r w:rsidRPr="00F24EEA">
        <w:t xml:space="preserve"> methyl bromide</w:t>
      </w:r>
      <w:r>
        <w:t>,</w:t>
      </w:r>
      <w:r w:rsidRPr="00F24EEA">
        <w:t xml:space="preserve"> at locations w</w:t>
      </w:r>
      <w:r>
        <w:t xml:space="preserve">here it is used as a fumigant. </w:t>
      </w:r>
      <w:r w:rsidRPr="00F24EEA">
        <w:t>The technology is based on destruction by thermal decay in a single pass destruction step</w:t>
      </w:r>
      <w:r>
        <w:t>, followed by</w:t>
      </w:r>
      <w:r w:rsidRPr="00F24EEA">
        <w:t xml:space="preserve"> conversion of </w:t>
      </w:r>
      <w:r>
        <w:t>the by-products through a water-</w:t>
      </w:r>
      <w:r w:rsidRPr="00F24EEA">
        <w:t xml:space="preserve">based scrubbing system. </w:t>
      </w:r>
      <w:r w:rsidRPr="00E16B94">
        <w:t xml:space="preserve">This technology is </w:t>
      </w:r>
      <w:r>
        <w:t>more than</w:t>
      </w:r>
      <w:r w:rsidRPr="00E16B94">
        <w:t xml:space="preserve"> a capture system </w:t>
      </w:r>
      <w:r>
        <w:t xml:space="preserve">alone </w:t>
      </w:r>
      <w:r w:rsidRPr="00E16B94">
        <w:t>and</w:t>
      </w:r>
      <w:r>
        <w:t>,</w:t>
      </w:r>
      <w:r w:rsidRPr="00E16B94">
        <w:t xml:space="preserve"> based on the information provided</w:t>
      </w:r>
      <w:r>
        <w:t>,</w:t>
      </w:r>
      <w:r w:rsidRPr="00E16B94">
        <w:t xml:space="preserve"> </w:t>
      </w:r>
      <w:r>
        <w:t>falls within the scope of an assessment as</w:t>
      </w:r>
      <w:r w:rsidRPr="00E16B94">
        <w:t xml:space="preserve"> </w:t>
      </w:r>
      <w:r>
        <w:t xml:space="preserve">a </w:t>
      </w:r>
      <w:r w:rsidRPr="00E16B94">
        <w:t>destruction techno</w:t>
      </w:r>
      <w:r>
        <w:t xml:space="preserve">logy. </w:t>
      </w:r>
    </w:p>
    <w:p w14:paraId="3F22A668" w14:textId="77777777" w:rsidR="001124F5" w:rsidRDefault="001124F5" w:rsidP="001124F5">
      <w:r w:rsidRPr="00E9494D">
        <w:t>Further information has been requested in order to assess the technology adequately against the performance and technical capability criteria.</w:t>
      </w:r>
      <w:r w:rsidRPr="00F24EEA">
        <w:t xml:space="preserve"> </w:t>
      </w:r>
    </w:p>
    <w:p w14:paraId="2F56AAAA" w14:textId="11EDA9CD" w:rsidR="001124F5" w:rsidRDefault="001124F5" w:rsidP="001124F5">
      <w:r w:rsidRPr="00E15CCC">
        <w:rPr>
          <w:lang w:val="en-US"/>
        </w:rPr>
        <w:t xml:space="preserve">Due to insufficient data being available at the time of writing, </w:t>
      </w:r>
      <w:r w:rsidRPr="00861938">
        <w:rPr>
          <w:b/>
          <w:u w:val="single"/>
          <w:lang w:val="en-US"/>
        </w:rPr>
        <w:t xml:space="preserve">the 2018 TFDT </w:t>
      </w:r>
      <w:r w:rsidRPr="00861938">
        <w:rPr>
          <w:b/>
          <w:i/>
          <w:u w:val="single"/>
          <w:lang w:val="en-US"/>
        </w:rPr>
        <w:t xml:space="preserve">is unable to assess </w:t>
      </w:r>
      <w:r w:rsidRPr="00861938">
        <w:rPr>
          <w:b/>
          <w:u w:val="single"/>
        </w:rPr>
        <w:t>Thermal Decay of Methyl Bromide</w:t>
      </w:r>
      <w:r>
        <w:t xml:space="preserve"> </w:t>
      </w:r>
      <w:r>
        <w:rPr>
          <w:lang w:val="en-US"/>
        </w:rPr>
        <w:t>for possible inclusion on the list of approved technologies</w:t>
      </w:r>
      <w:r w:rsidRPr="00E15CCC">
        <w:rPr>
          <w:lang w:val="en-US"/>
        </w:rPr>
        <w:t xml:space="preserve">. </w:t>
      </w:r>
      <w:r w:rsidRPr="00E15CCC">
        <w:t xml:space="preserve">The </w:t>
      </w:r>
      <w:r w:rsidR="00B26A48">
        <w:t>TEAP</w:t>
      </w:r>
      <w:r w:rsidRPr="00E15CCC">
        <w:t xml:space="preserve"> would welcome data to enable it to complete an assessment of this technology.</w:t>
      </w:r>
    </w:p>
    <w:p w14:paraId="2400F261" w14:textId="28024D90" w:rsidR="006900F7" w:rsidRDefault="006900F7" w:rsidP="00275CBE">
      <w:pPr>
        <w:pStyle w:val="Heading2"/>
      </w:pPr>
      <w:bookmarkStart w:id="125" w:name="_Toc510531486"/>
      <w:r>
        <w:lastRenderedPageBreak/>
        <w:t>4.2</w:t>
      </w:r>
      <w:r w:rsidR="00CB2442">
        <w:tab/>
        <w:t>Plasma technologies</w:t>
      </w:r>
      <w:bookmarkEnd w:id="125"/>
    </w:p>
    <w:p w14:paraId="1431BCE2" w14:textId="2E6F9AC6" w:rsidR="001314D9" w:rsidRPr="006136C8" w:rsidRDefault="001314D9" w:rsidP="00275CBE">
      <w:pPr>
        <w:pStyle w:val="Heading3"/>
      </w:pPr>
      <w:bookmarkStart w:id="126" w:name="_Ref510531070"/>
      <w:bookmarkStart w:id="127" w:name="_Toc510531487"/>
      <w:r w:rsidRPr="00355437">
        <w:t>4.2.</w:t>
      </w:r>
      <w:r w:rsidR="000E24C9" w:rsidRPr="00355437">
        <w:t>1</w:t>
      </w:r>
      <w:r w:rsidRPr="00355437">
        <w:tab/>
        <w:t>Air Plasma Arc</w:t>
      </w:r>
      <w:bookmarkEnd w:id="126"/>
      <w:bookmarkEnd w:id="127"/>
    </w:p>
    <w:p w14:paraId="0DCBBCA0" w14:textId="2F94C6CF" w:rsidR="001314D9" w:rsidRPr="00293F93" w:rsidRDefault="001314D9" w:rsidP="001314D9">
      <w:pPr>
        <w:rPr>
          <w:lang w:val="en-US" w:eastAsia="en-US"/>
        </w:rPr>
      </w:pPr>
      <w:r w:rsidRPr="00293F93">
        <w:rPr>
          <w:lang w:val="en-US" w:eastAsia="en-US"/>
        </w:rPr>
        <w:t xml:space="preserve">The </w:t>
      </w:r>
      <w:r w:rsidR="00064527">
        <w:rPr>
          <w:lang w:val="en-US" w:eastAsia="en-US"/>
        </w:rPr>
        <w:t>United States’ submission</w:t>
      </w:r>
      <w:r w:rsidRPr="00293F93">
        <w:rPr>
          <w:lang w:val="en-US" w:eastAsia="en-US"/>
        </w:rPr>
        <w:t xml:space="preserve"> provided the following description of this technology:</w:t>
      </w:r>
    </w:p>
    <w:p w14:paraId="1B7E701E" w14:textId="77777777" w:rsidR="000E24C9" w:rsidRPr="00355437" w:rsidRDefault="000E24C9" w:rsidP="000E24C9">
      <w:pPr>
        <w:rPr>
          <w:lang w:val="en-AU" w:eastAsia="en-US"/>
        </w:rPr>
      </w:pPr>
      <w:r w:rsidRPr="00355437">
        <w:rPr>
          <w:lang w:val="en-US" w:eastAsia="en-US"/>
        </w:rPr>
        <w:t>“</w:t>
      </w:r>
      <w:r w:rsidRPr="00355437">
        <w:rPr>
          <w:lang w:val="en-AU" w:eastAsia="en-US"/>
        </w:rPr>
        <w:t>Air plasma arc technology destroys CFCs and HCFCs by injecting them into a reaction chamber filled with air, liquefied petroleum gas, and water. The air is heated to about 1,300°C in a plasma generator, and the CFCs and HCFCs are broken down into H</w:t>
      </w:r>
      <w:r w:rsidRPr="00355437">
        <w:rPr>
          <w:vertAlign w:val="subscript"/>
          <w:lang w:val="en-AU" w:eastAsia="en-US"/>
        </w:rPr>
        <w:t>2</w:t>
      </w:r>
      <w:r w:rsidRPr="00355437">
        <w:rPr>
          <w:lang w:val="en-AU" w:eastAsia="en-US"/>
        </w:rPr>
        <w:t>, H</w:t>
      </w:r>
      <w:r w:rsidRPr="00355437">
        <w:rPr>
          <w:vertAlign w:val="subscript"/>
          <w:lang w:val="en-AU" w:eastAsia="en-US"/>
        </w:rPr>
        <w:t>2</w:t>
      </w:r>
      <w:r w:rsidRPr="00355437">
        <w:rPr>
          <w:lang w:val="en-AU" w:eastAsia="en-US"/>
        </w:rPr>
        <w:t>O, CO, CO</w:t>
      </w:r>
      <w:r w:rsidRPr="00355437">
        <w:rPr>
          <w:vertAlign w:val="subscript"/>
          <w:lang w:val="en-AU" w:eastAsia="en-US"/>
        </w:rPr>
        <w:t>2</w:t>
      </w:r>
      <w:r w:rsidRPr="00355437">
        <w:rPr>
          <w:lang w:val="en-AU" w:eastAsia="en-US"/>
        </w:rPr>
        <w:t xml:space="preserve">, </w:t>
      </w:r>
      <w:proofErr w:type="spellStart"/>
      <w:r w:rsidRPr="00355437">
        <w:rPr>
          <w:lang w:val="en-AU" w:eastAsia="en-US"/>
        </w:rPr>
        <w:t>HCl</w:t>
      </w:r>
      <w:proofErr w:type="spellEnd"/>
      <w:r w:rsidRPr="00355437">
        <w:rPr>
          <w:lang w:val="en-AU" w:eastAsia="en-US"/>
        </w:rPr>
        <w:t xml:space="preserve">, and HF. These resulting gases are cooled by water injection once they leave the reaction chamber and are scrubbed in a spray tower. The acids are washed out of the gases as calcium chloride and fluorspar by adding calcium hydroxide to the mixture. The gas is washed a second time in a packed bed to ensure that all acids are removed. The gas is released through a stack after passing through a wet electrostatic precipitator, the fluorspar is removed as sludge in a settling tank, and the calcium chloride solution is either used for dust reduction on gravel roads or is disposed (ICF 2009a). </w:t>
      </w:r>
    </w:p>
    <w:p w14:paraId="728CDC69" w14:textId="0C1F587C" w:rsidR="000E24C9" w:rsidRPr="006136C8" w:rsidRDefault="000E24C9" w:rsidP="000E24C9">
      <w:pPr>
        <w:rPr>
          <w:lang w:val="en-AU" w:eastAsia="en-US"/>
        </w:rPr>
      </w:pPr>
      <w:r w:rsidRPr="00355437">
        <w:rPr>
          <w:lang w:val="en-AU" w:eastAsia="en-US"/>
        </w:rPr>
        <w:t>An experimental air plasma destruction facility is located in Sweden destroying CFC-11, CFC-12, and HCFC-22 at a rate of about 300 kg/hour (ICF 2009a). This is the only known air plasma facility.”</w:t>
      </w:r>
      <w:r w:rsidRPr="006136C8">
        <w:rPr>
          <w:rStyle w:val="FootnoteReference"/>
          <w:lang w:val="en-AU" w:eastAsia="en-US"/>
        </w:rPr>
        <w:footnoteReference w:id="63"/>
      </w:r>
      <w:r w:rsidRPr="006136C8">
        <w:rPr>
          <w:lang w:val="en-AU" w:eastAsia="en-US"/>
        </w:rPr>
        <w:t xml:space="preserve"> </w:t>
      </w:r>
    </w:p>
    <w:p w14:paraId="174C03B4" w14:textId="7D9E5CDF" w:rsidR="000E24C9" w:rsidRPr="00355437" w:rsidRDefault="008909D3" w:rsidP="000E24C9">
      <w:pPr>
        <w:rPr>
          <w:lang w:val="en-AU" w:eastAsia="en-US"/>
        </w:rPr>
      </w:pPr>
      <w:r w:rsidRPr="00293F93">
        <w:rPr>
          <w:lang w:val="en-AU" w:eastAsia="en-US"/>
        </w:rPr>
        <w:t xml:space="preserve">No other data to assess the technology was provided. Due to insufficient data being available at the time of writing, </w:t>
      </w:r>
      <w:r w:rsidRPr="00861938">
        <w:rPr>
          <w:b/>
          <w:u w:val="single"/>
          <w:lang w:val="en-AU" w:eastAsia="en-US"/>
        </w:rPr>
        <w:t xml:space="preserve">the </w:t>
      </w:r>
      <w:r w:rsidR="00CC2093" w:rsidRPr="00861938">
        <w:rPr>
          <w:b/>
          <w:u w:val="single"/>
          <w:lang w:val="en-AU" w:eastAsia="en-US"/>
        </w:rPr>
        <w:t>2018 TFDT</w:t>
      </w:r>
      <w:r w:rsidRPr="00861938">
        <w:rPr>
          <w:b/>
          <w:u w:val="single"/>
          <w:lang w:val="en-AU" w:eastAsia="en-US"/>
        </w:rPr>
        <w:t xml:space="preserve"> is </w:t>
      </w:r>
      <w:r w:rsidRPr="00861938">
        <w:rPr>
          <w:b/>
          <w:i/>
          <w:u w:val="single"/>
          <w:lang w:val="en-AU" w:eastAsia="en-US"/>
        </w:rPr>
        <w:t xml:space="preserve">unable to assess </w:t>
      </w:r>
      <w:r w:rsidR="002E6D43" w:rsidRPr="00861938">
        <w:rPr>
          <w:b/>
          <w:u w:val="single"/>
          <w:lang w:val="en-AU" w:eastAsia="en-US"/>
        </w:rPr>
        <w:t>Air</w:t>
      </w:r>
      <w:r w:rsidRPr="00861938">
        <w:rPr>
          <w:b/>
          <w:u w:val="single"/>
          <w:lang w:val="en-AU" w:eastAsia="en-US"/>
        </w:rPr>
        <w:t xml:space="preserve"> Plasma Arc</w:t>
      </w:r>
      <w:r w:rsidRPr="004323D7">
        <w:rPr>
          <w:lang w:val="en-AU" w:eastAsia="en-US"/>
        </w:rPr>
        <w:t xml:space="preserve"> for possible inclusion on the list of approved destruction technologies.</w:t>
      </w:r>
      <w:r w:rsidRPr="00355437">
        <w:rPr>
          <w:lang w:val="en-AU" w:eastAsia="en-US"/>
        </w:rPr>
        <w:t xml:space="preserve"> </w:t>
      </w:r>
    </w:p>
    <w:p w14:paraId="6347BB5C" w14:textId="29925774" w:rsidR="00666324" w:rsidRPr="006136C8" w:rsidRDefault="00666324" w:rsidP="00275CBE">
      <w:pPr>
        <w:pStyle w:val="Heading3"/>
      </w:pPr>
      <w:bookmarkStart w:id="128" w:name="_Ref510531085"/>
      <w:bookmarkStart w:id="129" w:name="_Toc510531488"/>
      <w:r w:rsidRPr="00355437">
        <w:t>4.</w:t>
      </w:r>
      <w:r w:rsidR="001314D9" w:rsidRPr="00355437">
        <w:t>2.</w:t>
      </w:r>
      <w:r w:rsidR="00C049B5">
        <w:t>2</w:t>
      </w:r>
      <w:r w:rsidRPr="00355437">
        <w:tab/>
        <w:t>Alternating Current Plasma (AC Plasma)</w:t>
      </w:r>
      <w:bookmarkEnd w:id="128"/>
      <w:bookmarkEnd w:id="129"/>
    </w:p>
    <w:p w14:paraId="7FF4E2C4" w14:textId="592C5FC8" w:rsidR="00666324" w:rsidRPr="00293F93" w:rsidRDefault="00666324" w:rsidP="00666324">
      <w:pPr>
        <w:rPr>
          <w:lang w:val="en-US" w:eastAsia="en-US"/>
        </w:rPr>
      </w:pPr>
      <w:r w:rsidRPr="00293F93">
        <w:rPr>
          <w:lang w:val="en-US" w:eastAsia="en-US"/>
        </w:rPr>
        <w:t>The E</w:t>
      </w:r>
      <w:r w:rsidR="002E0FE0">
        <w:rPr>
          <w:lang w:val="en-US" w:eastAsia="en-US"/>
        </w:rPr>
        <w:t xml:space="preserve">uropean </w:t>
      </w:r>
      <w:r w:rsidRPr="00293F93">
        <w:rPr>
          <w:lang w:val="en-US" w:eastAsia="en-US"/>
        </w:rPr>
        <w:t>U</w:t>
      </w:r>
      <w:r w:rsidR="002E0FE0">
        <w:rPr>
          <w:lang w:val="en-US" w:eastAsia="en-US"/>
        </w:rPr>
        <w:t>nion</w:t>
      </w:r>
      <w:r w:rsidRPr="00293F93">
        <w:rPr>
          <w:lang w:val="en-US" w:eastAsia="en-US"/>
        </w:rPr>
        <w:t xml:space="preserve"> submission provided the following description of this technology:</w:t>
      </w:r>
    </w:p>
    <w:p w14:paraId="4D594953" w14:textId="5AC3C1E3" w:rsidR="00666324" w:rsidRPr="00355437" w:rsidRDefault="00666324" w:rsidP="00666324">
      <w:pPr>
        <w:rPr>
          <w:lang w:val="en-AU" w:eastAsia="en-US"/>
        </w:rPr>
      </w:pPr>
      <w:r w:rsidRPr="004323D7">
        <w:rPr>
          <w:lang w:val="en-AU" w:eastAsia="en-US"/>
        </w:rPr>
        <w:t>“The AC plasma is produced directly with 60 Hz high-voltage power but in other respects is similar to the inductively coupled RF plasma. The system is electrically and mechanically simple and is thus claimed to be very reliable. The process does not require argon and can tolerate a wide variety of working gases, including air or steam, as plasma gases and is claimed to be tolerant of oil contamination in ODS</w:t>
      </w:r>
      <w:r w:rsidRPr="00355437">
        <w:rPr>
          <w:lang w:val="en-AU" w:eastAsia="en-US"/>
        </w:rPr>
        <w:t xml:space="preserve">.” </w:t>
      </w:r>
    </w:p>
    <w:p w14:paraId="3CD0DC1C" w14:textId="6352D330" w:rsidR="008E495F" w:rsidRPr="006136C8" w:rsidRDefault="008E495F" w:rsidP="00666324">
      <w:pPr>
        <w:rPr>
          <w:lang w:val="en-US" w:eastAsia="en-US"/>
        </w:rPr>
      </w:pPr>
      <w:r w:rsidRPr="00355437">
        <w:rPr>
          <w:lang w:val="en-US" w:eastAsia="en-US"/>
        </w:rPr>
        <w:t>The 2002 TFDT screened in this technology but did not recommend it for approval for inclusion on the list of approved destruction technologies, due to technical capability questions at the time.</w:t>
      </w:r>
      <w:r w:rsidRPr="00355437">
        <w:rPr>
          <w:lang w:val="en-AU" w:eastAsia="en-US"/>
        </w:rPr>
        <w:t xml:space="preserve"> </w:t>
      </w:r>
      <w:r w:rsidRPr="00355437">
        <w:rPr>
          <w:lang w:val="en-US" w:eastAsia="en-US"/>
        </w:rPr>
        <w:t>No data is available</w:t>
      </w:r>
      <w:r w:rsidRPr="006136C8">
        <w:rPr>
          <w:lang w:val="en-US" w:eastAsia="en-US"/>
        </w:rPr>
        <w:t xml:space="preserve"> to re-assess the technology.</w:t>
      </w:r>
    </w:p>
    <w:p w14:paraId="15EBD17A" w14:textId="3F5DC588" w:rsidR="00666324" w:rsidRPr="00355437" w:rsidRDefault="0014776A" w:rsidP="00666324">
      <w:pPr>
        <w:rPr>
          <w:lang w:val="en-AU" w:eastAsia="en-US"/>
        </w:rPr>
      </w:pPr>
      <w:r w:rsidRPr="00293F93">
        <w:rPr>
          <w:lang w:val="en-US" w:eastAsia="en-US"/>
        </w:rPr>
        <w:t>D</w:t>
      </w:r>
      <w:r w:rsidRPr="00293F93">
        <w:rPr>
          <w:lang w:val="en-US"/>
        </w:rPr>
        <w:t xml:space="preserve">ue to insufficient data being available at the time of writing, </w:t>
      </w:r>
      <w:r w:rsidRPr="00861938">
        <w:rPr>
          <w:b/>
          <w:u w:val="single"/>
          <w:lang w:val="en-US"/>
        </w:rPr>
        <w:t xml:space="preserve">the </w:t>
      </w:r>
      <w:r w:rsidR="006A65C8" w:rsidRPr="00861938">
        <w:rPr>
          <w:b/>
          <w:u w:val="single"/>
          <w:lang w:val="en-US"/>
        </w:rPr>
        <w:t>2018 TFDT</w:t>
      </w:r>
      <w:r w:rsidRPr="00861938">
        <w:rPr>
          <w:b/>
          <w:u w:val="single"/>
          <w:lang w:val="en-US"/>
        </w:rPr>
        <w:t xml:space="preserve"> is </w:t>
      </w:r>
      <w:r w:rsidRPr="00861938">
        <w:rPr>
          <w:b/>
          <w:i/>
          <w:u w:val="single"/>
          <w:lang w:val="en-US"/>
        </w:rPr>
        <w:t xml:space="preserve">unable to assess </w:t>
      </w:r>
      <w:r w:rsidRPr="00861938">
        <w:rPr>
          <w:b/>
          <w:u w:val="single"/>
        </w:rPr>
        <w:t>AC Plasma Arc</w:t>
      </w:r>
      <w:r w:rsidRPr="004323D7">
        <w:t xml:space="preserve"> for possible inclusion on the list of approved destruction technologies</w:t>
      </w:r>
      <w:r w:rsidRPr="00355437">
        <w:t>.</w:t>
      </w:r>
      <w:r w:rsidR="008909D3" w:rsidRPr="00355437">
        <w:t xml:space="preserve"> </w:t>
      </w:r>
    </w:p>
    <w:p w14:paraId="23D43B4B" w14:textId="32295EDD" w:rsidR="00666324" w:rsidRPr="006136C8" w:rsidRDefault="001314D9" w:rsidP="00275CBE">
      <w:pPr>
        <w:pStyle w:val="Heading3"/>
      </w:pPr>
      <w:bookmarkStart w:id="130" w:name="_Ref510531107"/>
      <w:bookmarkStart w:id="131" w:name="_Toc510531489"/>
      <w:r w:rsidRPr="006136C8">
        <w:t>4.</w:t>
      </w:r>
      <w:r w:rsidR="00666324" w:rsidRPr="006136C8">
        <w:t>2</w:t>
      </w:r>
      <w:r w:rsidRPr="006136C8">
        <w:t>.</w:t>
      </w:r>
      <w:r w:rsidR="00C049B5">
        <w:t>3</w:t>
      </w:r>
      <w:r w:rsidR="00666324" w:rsidRPr="006136C8">
        <w:tab/>
        <w:t>CO</w:t>
      </w:r>
      <w:r w:rsidR="00666324" w:rsidRPr="006136C8">
        <w:rPr>
          <w:vertAlign w:val="subscript"/>
        </w:rPr>
        <w:t>2</w:t>
      </w:r>
      <w:r w:rsidR="00666324" w:rsidRPr="006136C8">
        <w:t xml:space="preserve"> Plasma</w:t>
      </w:r>
      <w:bookmarkEnd w:id="130"/>
      <w:bookmarkEnd w:id="131"/>
    </w:p>
    <w:p w14:paraId="12A452FB" w14:textId="79DCCC1D" w:rsidR="0014776A" w:rsidRPr="0014776A" w:rsidRDefault="0014776A" w:rsidP="0014776A">
      <w:pPr>
        <w:rPr>
          <w:lang w:val="en-US" w:eastAsia="en-US"/>
        </w:rPr>
      </w:pPr>
      <w:r w:rsidRPr="00293F93">
        <w:rPr>
          <w:lang w:val="en-US" w:eastAsia="en-US"/>
        </w:rPr>
        <w:t>The E</w:t>
      </w:r>
      <w:r w:rsidR="002E0FE0">
        <w:rPr>
          <w:lang w:val="en-US" w:eastAsia="en-US"/>
        </w:rPr>
        <w:t xml:space="preserve">uropean </w:t>
      </w:r>
      <w:r w:rsidRPr="00293F93">
        <w:rPr>
          <w:lang w:val="en-US" w:eastAsia="en-US"/>
        </w:rPr>
        <w:t>U</w:t>
      </w:r>
      <w:r w:rsidR="002E0FE0">
        <w:rPr>
          <w:lang w:val="en-US" w:eastAsia="en-US"/>
        </w:rPr>
        <w:t>nion</w:t>
      </w:r>
      <w:r w:rsidRPr="00293F93">
        <w:rPr>
          <w:lang w:val="en-US" w:eastAsia="en-US"/>
        </w:rPr>
        <w:t xml:space="preserve"> submission provided the following description of</w:t>
      </w:r>
      <w:r>
        <w:rPr>
          <w:lang w:val="en-US" w:eastAsia="en-US"/>
        </w:rPr>
        <w:t xml:space="preserve"> this technology:</w:t>
      </w:r>
    </w:p>
    <w:p w14:paraId="130EE729" w14:textId="121033EA" w:rsidR="0014776A" w:rsidRPr="0014776A" w:rsidRDefault="0014776A" w:rsidP="0014776A">
      <w:pPr>
        <w:rPr>
          <w:lang w:val="en-AU" w:eastAsia="en-US"/>
        </w:rPr>
      </w:pPr>
      <w:r w:rsidRPr="0014776A">
        <w:rPr>
          <w:lang w:val="en-AU" w:eastAsia="en-US"/>
        </w:rPr>
        <w:t xml:space="preserve">“A high-temperature plasma is generated by sending a powerful electric discharge into an inert atmospheric gas, such as argon. Once the plasma field has been formed, it is sustained </w:t>
      </w:r>
      <w:r w:rsidRPr="0014776A">
        <w:rPr>
          <w:lang w:val="en-AU" w:eastAsia="en-US"/>
        </w:rPr>
        <w:lastRenderedPageBreak/>
        <w:t xml:space="preserve">with ordinary compressed air or certain atmospheric gases depending on the desired process outcomes. </w:t>
      </w:r>
    </w:p>
    <w:p w14:paraId="3DC6DB7F" w14:textId="201B20F4" w:rsidR="0014776A" w:rsidRPr="0014776A" w:rsidRDefault="0014776A" w:rsidP="0014776A">
      <w:pPr>
        <w:rPr>
          <w:lang w:val="en-AU" w:eastAsia="en-US"/>
        </w:rPr>
      </w:pPr>
      <w:r w:rsidRPr="0014776A">
        <w:rPr>
          <w:lang w:val="en-AU" w:eastAsia="en-US"/>
        </w:rPr>
        <w:t>The temperature of the plasma is well over 5</w:t>
      </w:r>
      <w:r w:rsidR="001124F5">
        <w:rPr>
          <w:lang w:val="en-AU" w:eastAsia="en-US"/>
        </w:rPr>
        <w:t>,</w:t>
      </w:r>
      <w:r w:rsidRPr="0014776A">
        <w:rPr>
          <w:lang w:val="en-AU" w:eastAsia="en-US"/>
        </w:rPr>
        <w:t>000</w:t>
      </w:r>
      <w:r w:rsidR="006A65C8">
        <w:rPr>
          <w:lang w:val="en-AU" w:eastAsia="en-US"/>
        </w:rPr>
        <w:t>º</w:t>
      </w:r>
      <w:r w:rsidRPr="0014776A">
        <w:rPr>
          <w:lang w:val="en-AU" w:eastAsia="en-US"/>
        </w:rPr>
        <w:t>C at the point of generation into which the liquid or gaseous waste is directly injected. The temperature in the upper reactor is about 3</w:t>
      </w:r>
      <w:r w:rsidR="001124F5">
        <w:rPr>
          <w:lang w:val="en-AU" w:eastAsia="en-US"/>
        </w:rPr>
        <w:t>,</w:t>
      </w:r>
      <w:r w:rsidRPr="0014776A">
        <w:rPr>
          <w:lang w:val="en-AU" w:eastAsia="en-US"/>
        </w:rPr>
        <w:t>500</w:t>
      </w:r>
      <w:r w:rsidR="006A65C8">
        <w:rPr>
          <w:lang w:val="en-AU" w:eastAsia="en-US"/>
        </w:rPr>
        <w:t>º</w:t>
      </w:r>
      <w:r w:rsidRPr="0014776A">
        <w:rPr>
          <w:lang w:val="en-AU" w:eastAsia="en-US"/>
        </w:rPr>
        <w:t>C and decreases through the reaction zone to a precisely controlled temperature of about 1</w:t>
      </w:r>
      <w:r w:rsidR="001124F5">
        <w:rPr>
          <w:lang w:val="en-AU" w:eastAsia="en-US"/>
        </w:rPr>
        <w:t>,</w:t>
      </w:r>
      <w:r w:rsidRPr="0014776A">
        <w:rPr>
          <w:lang w:val="en-AU" w:eastAsia="en-US"/>
        </w:rPr>
        <w:t>300</w:t>
      </w:r>
      <w:r w:rsidR="006A65C8">
        <w:rPr>
          <w:lang w:val="en-AU" w:eastAsia="en-US"/>
        </w:rPr>
        <w:t>º</w:t>
      </w:r>
      <w:r w:rsidRPr="0014776A">
        <w:rPr>
          <w:lang w:val="en-AU" w:eastAsia="en-US"/>
        </w:rPr>
        <w:t xml:space="preserve">C. </w:t>
      </w:r>
    </w:p>
    <w:p w14:paraId="10DF7B8B" w14:textId="77777777" w:rsidR="0014776A" w:rsidRPr="0014776A" w:rsidRDefault="0014776A" w:rsidP="0014776A">
      <w:pPr>
        <w:rPr>
          <w:lang w:val="en-AU" w:eastAsia="en-US"/>
        </w:rPr>
      </w:pPr>
      <w:r w:rsidRPr="0014776A">
        <w:rPr>
          <w:lang w:val="en-AU" w:eastAsia="en-US"/>
        </w:rPr>
        <w:t>A special feature of the process is the use of CO</w:t>
      </w:r>
      <w:r w:rsidRPr="0014776A">
        <w:rPr>
          <w:vertAlign w:val="subscript"/>
          <w:lang w:val="en-AU" w:eastAsia="en-US"/>
        </w:rPr>
        <w:t>2</w:t>
      </w:r>
      <w:r w:rsidRPr="0014776A">
        <w:rPr>
          <w:lang w:val="en-AU" w:eastAsia="en-US"/>
        </w:rPr>
        <w:t xml:space="preserve">, which is formed from the oxidation reaction, as the gas to sustain the plasma. </w:t>
      </w:r>
    </w:p>
    <w:p w14:paraId="68934641" w14:textId="419B58C0" w:rsidR="0014776A" w:rsidRPr="0014776A" w:rsidRDefault="0014776A" w:rsidP="0014776A">
      <w:pPr>
        <w:rPr>
          <w:lang w:val="en-AU" w:eastAsia="en-US"/>
        </w:rPr>
      </w:pPr>
      <w:r w:rsidRPr="0014776A">
        <w:rPr>
          <w:lang w:val="en-AU" w:eastAsia="en-US"/>
        </w:rPr>
        <w:t>The process has demonstrated high DREs with refractory compounds at a reasonably high demonstration rate. Mass emission rates of the pollutants of interest are low, primarily because of the low volume of fl</w:t>
      </w:r>
      <w:r w:rsidR="008E495F">
        <w:rPr>
          <w:lang w:val="en-AU" w:eastAsia="en-US"/>
        </w:rPr>
        <w:t>ue-gas produced by the process.”</w:t>
      </w:r>
    </w:p>
    <w:p w14:paraId="44026AD7" w14:textId="3176EDAC" w:rsidR="008E495F" w:rsidRDefault="008E495F" w:rsidP="00666324">
      <w:pPr>
        <w:rPr>
          <w:lang w:val="en-US" w:eastAsia="en-US"/>
        </w:rPr>
      </w:pPr>
      <w:r>
        <w:rPr>
          <w:lang w:val="en-US" w:eastAsia="en-US"/>
        </w:rPr>
        <w:t xml:space="preserve">The 2002 TFDT screened in this technology but did not recommend it for approval for inclusion on the list of approved destruction technologies, due to particulates emissions higher than the performance criteria from a small-scale facility. </w:t>
      </w:r>
      <w:r w:rsidR="0014776A">
        <w:rPr>
          <w:lang w:val="en-US" w:eastAsia="en-US"/>
        </w:rPr>
        <w:t xml:space="preserve">No data </w:t>
      </w:r>
      <w:r>
        <w:rPr>
          <w:lang w:val="en-US" w:eastAsia="en-US"/>
        </w:rPr>
        <w:t>is available</w:t>
      </w:r>
      <w:r w:rsidRPr="008E495F">
        <w:rPr>
          <w:lang w:val="en-US" w:eastAsia="en-US"/>
        </w:rPr>
        <w:t xml:space="preserve"> </w:t>
      </w:r>
      <w:r>
        <w:rPr>
          <w:lang w:val="en-US" w:eastAsia="en-US"/>
        </w:rPr>
        <w:t>to re-assess the technology</w:t>
      </w:r>
      <w:r w:rsidR="00455471">
        <w:rPr>
          <w:lang w:val="en-US" w:eastAsia="en-US"/>
        </w:rPr>
        <w:t>, and it is understood that the technology owner has not pursued the technology beyond the pilot scale</w:t>
      </w:r>
      <w:r w:rsidR="0014776A">
        <w:rPr>
          <w:lang w:val="en-US" w:eastAsia="en-US"/>
        </w:rPr>
        <w:t xml:space="preserve">. </w:t>
      </w:r>
    </w:p>
    <w:p w14:paraId="66AC0A33" w14:textId="29EBD67F" w:rsidR="00666324" w:rsidRPr="00666324" w:rsidRDefault="0014776A" w:rsidP="00666324">
      <w:pPr>
        <w:rPr>
          <w:lang w:val="en-US" w:eastAsia="en-US"/>
        </w:rPr>
      </w:pPr>
      <w:r>
        <w:rPr>
          <w:lang w:val="en-US" w:eastAsia="en-US"/>
        </w:rPr>
        <w:t>D</w:t>
      </w:r>
      <w:r w:rsidRPr="00C41552">
        <w:rPr>
          <w:lang w:val="en-US"/>
        </w:rPr>
        <w:t>ue to insufficient data</w:t>
      </w:r>
      <w:r w:rsidR="00875087">
        <w:rPr>
          <w:lang w:val="en-US"/>
        </w:rPr>
        <w:t xml:space="preserve"> </w:t>
      </w:r>
      <w:r w:rsidRPr="00C41552">
        <w:rPr>
          <w:lang w:val="en-US"/>
        </w:rPr>
        <w:t xml:space="preserve">being available </w:t>
      </w:r>
      <w:r>
        <w:rPr>
          <w:lang w:val="en-US"/>
        </w:rPr>
        <w:t>a</w:t>
      </w:r>
      <w:r w:rsidRPr="00C41552">
        <w:rPr>
          <w:lang w:val="en-US"/>
        </w:rPr>
        <w:t xml:space="preserve">t the time of writing, </w:t>
      </w:r>
      <w:r w:rsidRPr="00861938">
        <w:rPr>
          <w:b/>
          <w:u w:val="single"/>
          <w:lang w:val="en-US"/>
        </w:rPr>
        <w:t xml:space="preserve">the </w:t>
      </w:r>
      <w:r w:rsidR="006A65C8" w:rsidRPr="00861938">
        <w:rPr>
          <w:b/>
          <w:u w:val="single"/>
          <w:lang w:val="en-US"/>
        </w:rPr>
        <w:t>2018 TFDT</w:t>
      </w:r>
      <w:r w:rsidRPr="00861938">
        <w:rPr>
          <w:b/>
          <w:u w:val="single"/>
          <w:lang w:val="en-US"/>
        </w:rPr>
        <w:t xml:space="preserve"> is </w:t>
      </w:r>
      <w:r w:rsidRPr="00861938">
        <w:rPr>
          <w:b/>
          <w:i/>
          <w:u w:val="single"/>
          <w:lang w:val="en-US"/>
        </w:rPr>
        <w:t xml:space="preserve">unable to assess </w:t>
      </w:r>
      <w:r w:rsidR="008909D3" w:rsidRPr="00861938">
        <w:rPr>
          <w:b/>
          <w:u w:val="single"/>
        </w:rPr>
        <w:t>CO</w:t>
      </w:r>
      <w:r w:rsidR="008909D3" w:rsidRPr="00861938">
        <w:rPr>
          <w:b/>
          <w:u w:val="single"/>
          <w:vertAlign w:val="subscript"/>
        </w:rPr>
        <w:t>2</w:t>
      </w:r>
      <w:r w:rsidRPr="00861938">
        <w:rPr>
          <w:b/>
          <w:u w:val="single"/>
        </w:rPr>
        <w:t xml:space="preserve"> Plasma Arc</w:t>
      </w:r>
      <w:r>
        <w:t xml:space="preserve"> </w:t>
      </w:r>
      <w:r w:rsidRPr="00C41552">
        <w:t>for possible inclusion on the list of approved destruction technologies</w:t>
      </w:r>
      <w:r>
        <w:t>.</w:t>
      </w:r>
    </w:p>
    <w:p w14:paraId="7B66505F" w14:textId="3428A4F4" w:rsidR="00CB2442" w:rsidRPr="00CB2442" w:rsidRDefault="001314D9" w:rsidP="00275CBE">
      <w:pPr>
        <w:pStyle w:val="Heading3"/>
      </w:pPr>
      <w:bookmarkStart w:id="132" w:name="_Ref510531126"/>
      <w:bookmarkStart w:id="133" w:name="_Toc510531490"/>
      <w:r w:rsidRPr="006136C8">
        <w:t>4.2.</w:t>
      </w:r>
      <w:r w:rsidR="00C049B5">
        <w:t>4</w:t>
      </w:r>
      <w:r w:rsidR="00CB2442" w:rsidRPr="006136C8">
        <w:tab/>
        <w:t>Steam Plasma Arc</w:t>
      </w:r>
      <w:bookmarkEnd w:id="132"/>
      <w:bookmarkEnd w:id="133"/>
    </w:p>
    <w:p w14:paraId="7A1CE2B8" w14:textId="39B52C89" w:rsidR="00CB2442" w:rsidRPr="00CB2442" w:rsidRDefault="00CB2442" w:rsidP="00CB2442">
      <w:pPr>
        <w:rPr>
          <w:lang w:val="en-AU" w:eastAsia="en-US"/>
        </w:rPr>
      </w:pPr>
      <w:r w:rsidRPr="00CB2442">
        <w:rPr>
          <w:lang w:val="en-AU" w:eastAsia="en-US"/>
        </w:rPr>
        <w:t xml:space="preserve">Steam plasma arc </w:t>
      </w:r>
      <w:r>
        <w:rPr>
          <w:lang w:val="en-AU" w:eastAsia="en-US"/>
        </w:rPr>
        <w:t>has been reported as a plasma destruction technology that injects</w:t>
      </w:r>
      <w:r w:rsidRPr="00CB2442">
        <w:rPr>
          <w:lang w:val="en-AU" w:eastAsia="en-US"/>
        </w:rPr>
        <w:t xml:space="preserve"> </w:t>
      </w:r>
      <w:r>
        <w:rPr>
          <w:lang w:val="en-AU" w:eastAsia="en-US"/>
        </w:rPr>
        <w:t>CFCs, HCFCs, halons and PFCs into</w:t>
      </w:r>
      <w:r w:rsidRPr="00CB2442">
        <w:rPr>
          <w:lang w:val="en-AU" w:eastAsia="en-US"/>
        </w:rPr>
        <w:t xml:space="preserve"> high</w:t>
      </w:r>
      <w:r>
        <w:rPr>
          <w:lang w:val="en-AU" w:eastAsia="en-US"/>
        </w:rPr>
        <w:t xml:space="preserve"> temperature steam into a 1,300</w:t>
      </w:r>
      <w:r w:rsidRPr="00CB2442">
        <w:rPr>
          <w:lang w:val="en-AU" w:eastAsia="en-US"/>
        </w:rPr>
        <w:t>°C reactor. H</w:t>
      </w:r>
      <w:r w:rsidRPr="00CB2442">
        <w:rPr>
          <w:vertAlign w:val="subscript"/>
          <w:lang w:val="en-AU" w:eastAsia="en-US"/>
        </w:rPr>
        <w:t>2</w:t>
      </w:r>
      <w:r w:rsidRPr="00CB2442">
        <w:rPr>
          <w:lang w:val="en-AU" w:eastAsia="en-US"/>
        </w:rPr>
        <w:t xml:space="preserve"> and CO are formed u</w:t>
      </w:r>
      <w:r>
        <w:rPr>
          <w:lang w:val="en-AU" w:eastAsia="en-US"/>
        </w:rPr>
        <w:t>nder the plasma plume</w:t>
      </w:r>
      <w:r w:rsidR="00652BC2">
        <w:rPr>
          <w:lang w:val="en-AU" w:eastAsia="en-US"/>
        </w:rPr>
        <w:t>, which are</w:t>
      </w:r>
      <w:r w:rsidRPr="00CB2442">
        <w:rPr>
          <w:lang w:val="en-AU" w:eastAsia="en-US"/>
        </w:rPr>
        <w:t xml:space="preserve"> oxidized to CO</w:t>
      </w:r>
      <w:r w:rsidRPr="00CB2442">
        <w:rPr>
          <w:vertAlign w:val="subscript"/>
          <w:lang w:val="en-AU" w:eastAsia="en-US"/>
        </w:rPr>
        <w:t>2</w:t>
      </w:r>
      <w:r w:rsidRPr="00CB2442">
        <w:rPr>
          <w:lang w:val="en-AU" w:eastAsia="en-US"/>
        </w:rPr>
        <w:t xml:space="preserve"> and H</w:t>
      </w:r>
      <w:r w:rsidRPr="00CB2442">
        <w:rPr>
          <w:vertAlign w:val="subscript"/>
          <w:lang w:val="en-AU" w:eastAsia="en-US"/>
        </w:rPr>
        <w:t>2</w:t>
      </w:r>
      <w:r w:rsidRPr="00CB2442">
        <w:rPr>
          <w:lang w:val="en-AU" w:eastAsia="en-US"/>
        </w:rPr>
        <w:t>O through addition of small amounts of air in a separate zone. The gas stream is then rapidly quenched to pre</w:t>
      </w:r>
      <w:r w:rsidR="00974994">
        <w:rPr>
          <w:lang w:val="en-AU" w:eastAsia="en-US"/>
        </w:rPr>
        <w:t>vent any reformation of dioxins/</w:t>
      </w:r>
      <w:r w:rsidRPr="00CB2442">
        <w:rPr>
          <w:lang w:val="en-AU" w:eastAsia="en-US"/>
        </w:rPr>
        <w:t xml:space="preserve">furans. The DRE was </w:t>
      </w:r>
      <w:r w:rsidR="00652BC2">
        <w:rPr>
          <w:lang w:val="en-AU" w:eastAsia="en-US"/>
        </w:rPr>
        <w:t xml:space="preserve">reported to be </w:t>
      </w:r>
      <w:r w:rsidRPr="00CB2442">
        <w:rPr>
          <w:lang w:val="en-AU" w:eastAsia="en-US"/>
        </w:rPr>
        <w:t xml:space="preserve">over 99.9999 percent when CFC-12 was applied. </w:t>
      </w:r>
      <w:r>
        <w:rPr>
          <w:lang w:val="en-AU" w:eastAsia="en-US"/>
        </w:rPr>
        <w:t xml:space="preserve">The CTOC assessed this technology and reported that it met the </w:t>
      </w:r>
      <w:r w:rsidR="00652BC2">
        <w:rPr>
          <w:lang w:val="en-AU" w:eastAsia="en-US"/>
        </w:rPr>
        <w:t xml:space="preserve">performance </w:t>
      </w:r>
      <w:r>
        <w:rPr>
          <w:lang w:val="en-AU" w:eastAsia="en-US"/>
        </w:rPr>
        <w:t>criteria</w:t>
      </w:r>
      <w:r w:rsidR="00652BC2" w:rsidRPr="00652BC2">
        <w:rPr>
          <w:lang w:val="en-AU" w:eastAsia="en-US"/>
        </w:rPr>
        <w:t xml:space="preserve"> </w:t>
      </w:r>
      <w:r w:rsidR="008909D3">
        <w:rPr>
          <w:lang w:val="en-AU" w:eastAsia="en-US"/>
        </w:rPr>
        <w:t xml:space="preserve">for ODS destruction </w:t>
      </w:r>
      <w:r w:rsidR="00652BC2">
        <w:rPr>
          <w:lang w:val="en-AU" w:eastAsia="en-US"/>
        </w:rPr>
        <w:t>in its 2014 Assessment Report.</w:t>
      </w:r>
      <w:r>
        <w:rPr>
          <w:rStyle w:val="FootnoteReference"/>
          <w:lang w:val="en-AU" w:eastAsia="en-US"/>
        </w:rPr>
        <w:footnoteReference w:id="64"/>
      </w:r>
      <w:r w:rsidR="00652BC2" w:rsidRPr="00652BC2">
        <w:rPr>
          <w:vertAlign w:val="superscript"/>
          <w:lang w:val="en-AU" w:eastAsia="en-US"/>
        </w:rPr>
        <w:t>,</w:t>
      </w:r>
      <w:r>
        <w:rPr>
          <w:rStyle w:val="FootnoteReference"/>
          <w:lang w:val="en-AU" w:eastAsia="en-US"/>
        </w:rPr>
        <w:footnoteReference w:id="65"/>
      </w:r>
    </w:p>
    <w:p w14:paraId="58B33ECA" w14:textId="249F4BEA" w:rsidR="00CB2442" w:rsidRPr="00CB2442" w:rsidRDefault="00652BC2" w:rsidP="00CB2442">
      <w:pPr>
        <w:rPr>
          <w:lang w:val="en-US"/>
        </w:rPr>
      </w:pPr>
      <w:r>
        <w:rPr>
          <w:lang w:val="en-US" w:eastAsia="en-US"/>
        </w:rPr>
        <w:t xml:space="preserve">The 2018 TFDT has been </w:t>
      </w:r>
      <w:r w:rsidR="007814E6">
        <w:rPr>
          <w:lang w:val="en-US" w:eastAsia="en-US"/>
        </w:rPr>
        <w:t>un</w:t>
      </w:r>
      <w:r>
        <w:rPr>
          <w:lang w:val="en-US" w:eastAsia="en-US"/>
        </w:rPr>
        <w:t>able to contact the technology owner to verify the earlier assessment</w:t>
      </w:r>
      <w:r w:rsidR="00337D0C">
        <w:rPr>
          <w:lang w:val="en-US" w:eastAsia="en-US"/>
        </w:rPr>
        <w:t xml:space="preserve"> for all of the performance criteria</w:t>
      </w:r>
      <w:r>
        <w:rPr>
          <w:lang w:val="en-US" w:eastAsia="en-US"/>
        </w:rPr>
        <w:t xml:space="preserve">. </w:t>
      </w:r>
      <w:r w:rsidR="00337D0C">
        <w:rPr>
          <w:lang w:val="en-US" w:eastAsia="en-US"/>
        </w:rPr>
        <w:t>D</w:t>
      </w:r>
      <w:r w:rsidR="00DE0874" w:rsidRPr="00C41552">
        <w:rPr>
          <w:lang w:val="en-US"/>
        </w:rPr>
        <w:t xml:space="preserve">ue to insufficient data being available </w:t>
      </w:r>
      <w:r w:rsidR="00DE0874">
        <w:rPr>
          <w:lang w:val="en-US"/>
        </w:rPr>
        <w:t>a</w:t>
      </w:r>
      <w:r w:rsidR="00DE0874" w:rsidRPr="00C41552">
        <w:rPr>
          <w:lang w:val="en-US"/>
        </w:rPr>
        <w:t xml:space="preserve">t the time of writing, </w:t>
      </w:r>
      <w:r w:rsidR="00DE0874" w:rsidRPr="00861938">
        <w:rPr>
          <w:b/>
          <w:u w:val="single"/>
          <w:lang w:val="en-US"/>
        </w:rPr>
        <w:t xml:space="preserve">the </w:t>
      </w:r>
      <w:r w:rsidR="006A65C8" w:rsidRPr="00861938">
        <w:rPr>
          <w:b/>
          <w:u w:val="single"/>
          <w:lang w:val="en-US"/>
        </w:rPr>
        <w:t>2018 TFDT</w:t>
      </w:r>
      <w:r w:rsidR="00DE0874" w:rsidRPr="00861938">
        <w:rPr>
          <w:b/>
          <w:u w:val="single"/>
          <w:lang w:val="en-US"/>
        </w:rPr>
        <w:t xml:space="preserve"> is </w:t>
      </w:r>
      <w:r w:rsidR="00DE0874" w:rsidRPr="00861938">
        <w:rPr>
          <w:b/>
          <w:i/>
          <w:u w:val="single"/>
          <w:lang w:val="en-US"/>
        </w:rPr>
        <w:t xml:space="preserve">unable to assess </w:t>
      </w:r>
      <w:r w:rsidR="00DE0874" w:rsidRPr="00861938">
        <w:rPr>
          <w:b/>
          <w:u w:val="single"/>
        </w:rPr>
        <w:t>Steam Plasma Arc</w:t>
      </w:r>
      <w:r w:rsidR="00DE0874">
        <w:t xml:space="preserve"> </w:t>
      </w:r>
      <w:r w:rsidR="00DE0874" w:rsidRPr="00C41552">
        <w:t>for possible inclusion on the list of approved destruction technologies</w:t>
      </w:r>
      <w:r w:rsidR="00DE0874" w:rsidRPr="00C41552">
        <w:rPr>
          <w:lang w:val="en-US"/>
        </w:rPr>
        <w:t>.</w:t>
      </w:r>
      <w:r w:rsidR="008909D3">
        <w:rPr>
          <w:lang w:val="en-US"/>
        </w:rPr>
        <w:t xml:space="preserve"> </w:t>
      </w:r>
    </w:p>
    <w:p w14:paraId="2E998993" w14:textId="1634EA49" w:rsidR="00580FD6" w:rsidRPr="00C825CC" w:rsidRDefault="00580FD6" w:rsidP="00275CBE">
      <w:pPr>
        <w:pStyle w:val="Heading2"/>
      </w:pPr>
      <w:bookmarkStart w:id="134" w:name="_Toc510531491"/>
      <w:r w:rsidRPr="006136C8">
        <w:t>4.3</w:t>
      </w:r>
      <w:r w:rsidR="005A3ED1" w:rsidRPr="006136C8">
        <w:tab/>
      </w:r>
      <w:r w:rsidR="008361B4">
        <w:t>Conversion (or n</w:t>
      </w:r>
      <w:r w:rsidRPr="006136C8">
        <w:t>on</w:t>
      </w:r>
      <w:r w:rsidR="00CB2442" w:rsidRPr="006136C8">
        <w:t>-i</w:t>
      </w:r>
      <w:r w:rsidRPr="00C825CC">
        <w:t>ncineration</w:t>
      </w:r>
      <w:r w:rsidR="008361B4">
        <w:t>)</w:t>
      </w:r>
      <w:r w:rsidRPr="00C825CC">
        <w:t xml:space="preserve"> technologies</w:t>
      </w:r>
      <w:bookmarkEnd w:id="134"/>
    </w:p>
    <w:p w14:paraId="6C63D9E6" w14:textId="7F8083A9" w:rsidR="007814E6" w:rsidRPr="007814E6" w:rsidRDefault="007814E6" w:rsidP="00275CBE">
      <w:pPr>
        <w:pStyle w:val="Heading3"/>
      </w:pPr>
      <w:bookmarkStart w:id="135" w:name="_Ref510531146"/>
      <w:bookmarkStart w:id="136" w:name="_Toc510531492"/>
      <w:r w:rsidRPr="006136C8">
        <w:t>4.3.1</w:t>
      </w:r>
      <w:r w:rsidRPr="006136C8">
        <w:tab/>
        <w:t>Catalytic Destruction</w:t>
      </w:r>
      <w:bookmarkEnd w:id="135"/>
      <w:bookmarkEnd w:id="136"/>
      <w:r w:rsidRPr="007814E6">
        <w:t xml:space="preserve"> </w:t>
      </w:r>
    </w:p>
    <w:p w14:paraId="4B604A92" w14:textId="4F3EC450" w:rsidR="00AA11BB" w:rsidRDefault="00AA11BB" w:rsidP="007814E6">
      <w:pPr>
        <w:rPr>
          <w:snapToGrid w:val="0"/>
          <w:lang w:val="en-AU"/>
        </w:rPr>
      </w:pPr>
      <w:r>
        <w:rPr>
          <w:snapToGrid w:val="0"/>
          <w:lang w:val="en-AU"/>
        </w:rPr>
        <w:t>T</w:t>
      </w:r>
      <w:r w:rsidR="007814E6" w:rsidRPr="007814E6">
        <w:rPr>
          <w:snapToGrid w:val="0"/>
          <w:lang w:val="en-AU"/>
        </w:rPr>
        <w:t xml:space="preserve">his process </w:t>
      </w:r>
      <w:r>
        <w:rPr>
          <w:snapToGrid w:val="0"/>
          <w:lang w:val="en-AU"/>
        </w:rPr>
        <w:t xml:space="preserve">is described as catalytic destruction of </w:t>
      </w:r>
      <w:r w:rsidR="007814E6" w:rsidRPr="007814E6">
        <w:rPr>
          <w:snapToGrid w:val="0"/>
          <w:lang w:val="en-AU"/>
        </w:rPr>
        <w:t>fluorocarbons at modest temperatures</w:t>
      </w:r>
      <w:r>
        <w:rPr>
          <w:snapToGrid w:val="0"/>
          <w:lang w:val="en-AU"/>
        </w:rPr>
        <w:t>,</w:t>
      </w:r>
      <w:r w:rsidR="007814E6" w:rsidRPr="007814E6">
        <w:rPr>
          <w:snapToGrid w:val="0"/>
          <w:lang w:val="en-AU"/>
        </w:rPr>
        <w:t xml:space="preserve"> using a catalyst to assist the conversion. </w:t>
      </w:r>
      <w:r>
        <w:rPr>
          <w:snapToGrid w:val="0"/>
          <w:lang w:val="en-AU"/>
        </w:rPr>
        <w:t>It has been used to destroy fluorocarbons from foams.</w:t>
      </w:r>
    </w:p>
    <w:p w14:paraId="35FE03B6" w14:textId="76688C2A" w:rsidR="00E15CCC" w:rsidRPr="00E15CCC" w:rsidRDefault="00E15CCC" w:rsidP="007814E6">
      <w:pPr>
        <w:rPr>
          <w:snapToGrid w:val="0"/>
          <w:lang w:val="en-US"/>
        </w:rPr>
      </w:pPr>
      <w:r w:rsidRPr="003B3AC1">
        <w:rPr>
          <w:snapToGrid w:val="0"/>
          <w:lang w:val="en-US"/>
        </w:rPr>
        <w:lastRenderedPageBreak/>
        <w:t xml:space="preserve">Due to insufficient data being available at the time of writing, </w:t>
      </w:r>
      <w:r w:rsidRPr="00861938">
        <w:rPr>
          <w:b/>
          <w:snapToGrid w:val="0"/>
          <w:u w:val="single"/>
          <w:lang w:val="en-US"/>
        </w:rPr>
        <w:t xml:space="preserve">the </w:t>
      </w:r>
      <w:r w:rsidR="006A65C8" w:rsidRPr="00861938">
        <w:rPr>
          <w:b/>
          <w:snapToGrid w:val="0"/>
          <w:u w:val="single"/>
          <w:lang w:val="en-US"/>
        </w:rPr>
        <w:t>2018 TFDT</w:t>
      </w:r>
      <w:r w:rsidRPr="00861938">
        <w:rPr>
          <w:b/>
          <w:snapToGrid w:val="0"/>
          <w:u w:val="single"/>
          <w:lang w:val="en-US"/>
        </w:rPr>
        <w:t xml:space="preserve"> is </w:t>
      </w:r>
      <w:r w:rsidRPr="00861938">
        <w:rPr>
          <w:b/>
          <w:i/>
          <w:snapToGrid w:val="0"/>
          <w:u w:val="single"/>
          <w:lang w:val="en-US"/>
        </w:rPr>
        <w:t xml:space="preserve">unable to assess </w:t>
      </w:r>
      <w:r w:rsidRPr="00861938">
        <w:rPr>
          <w:b/>
          <w:snapToGrid w:val="0"/>
          <w:u w:val="single"/>
        </w:rPr>
        <w:t>Catalytic Destruction</w:t>
      </w:r>
      <w:r w:rsidRPr="003B3AC1">
        <w:rPr>
          <w:snapToGrid w:val="0"/>
        </w:rPr>
        <w:t xml:space="preserve"> for possible inclusion on the list of approved destruction technologies</w:t>
      </w:r>
      <w:r w:rsidRPr="003B3AC1">
        <w:rPr>
          <w:snapToGrid w:val="0"/>
          <w:lang w:val="en-US"/>
        </w:rPr>
        <w:t>.</w:t>
      </w:r>
      <w:r>
        <w:rPr>
          <w:snapToGrid w:val="0"/>
          <w:lang w:val="en-US"/>
        </w:rPr>
        <w:t xml:space="preserve"> </w:t>
      </w:r>
    </w:p>
    <w:p w14:paraId="5CEC90B8" w14:textId="53218E08" w:rsidR="00AA11BB" w:rsidRDefault="00AA11BB" w:rsidP="00275CBE">
      <w:pPr>
        <w:pStyle w:val="Heading4"/>
      </w:pPr>
      <w:r>
        <w:t>4.3.1.1</w:t>
      </w:r>
      <w:r>
        <w:tab/>
        <w:t>Experience with destruction</w:t>
      </w:r>
    </w:p>
    <w:p w14:paraId="28ACC561" w14:textId="03774A17" w:rsidR="00AA11BB" w:rsidRDefault="007814E6" w:rsidP="007814E6">
      <w:pPr>
        <w:rPr>
          <w:snapToGrid w:val="0"/>
          <w:lang w:val="en-AU"/>
        </w:rPr>
      </w:pPr>
      <w:r w:rsidRPr="007814E6">
        <w:rPr>
          <w:snapToGrid w:val="0"/>
          <w:lang w:val="en-AU"/>
        </w:rPr>
        <w:t>Several commercial plants are operating in Sweden, Denmark, and the U</w:t>
      </w:r>
      <w:r w:rsidR="002E0FE0">
        <w:rPr>
          <w:snapToGrid w:val="0"/>
          <w:lang w:val="en-AU"/>
        </w:rPr>
        <w:t xml:space="preserve">nited </w:t>
      </w:r>
      <w:r w:rsidRPr="007814E6">
        <w:rPr>
          <w:snapToGrid w:val="0"/>
          <w:lang w:val="en-AU"/>
        </w:rPr>
        <w:t>K</w:t>
      </w:r>
      <w:r w:rsidR="002E0FE0">
        <w:rPr>
          <w:snapToGrid w:val="0"/>
          <w:lang w:val="en-AU"/>
        </w:rPr>
        <w:t>ingdom</w:t>
      </w:r>
      <w:r w:rsidRPr="007814E6">
        <w:rPr>
          <w:snapToGrid w:val="0"/>
          <w:lang w:val="en-AU"/>
        </w:rPr>
        <w:t>. An appliance recycling plant with ODS destruction capabilities is operating the technology in the United States</w:t>
      </w:r>
      <w:r w:rsidR="009B385B">
        <w:rPr>
          <w:snapToGrid w:val="0"/>
          <w:lang w:val="en-AU"/>
        </w:rPr>
        <w:t xml:space="preserve"> according to the U</w:t>
      </w:r>
      <w:r w:rsidR="00337D0C">
        <w:rPr>
          <w:snapToGrid w:val="0"/>
          <w:lang w:val="en-AU"/>
        </w:rPr>
        <w:t xml:space="preserve">nited </w:t>
      </w:r>
      <w:r w:rsidR="009B385B">
        <w:rPr>
          <w:snapToGrid w:val="0"/>
          <w:lang w:val="en-AU"/>
        </w:rPr>
        <w:t>S</w:t>
      </w:r>
      <w:r w:rsidR="00337D0C">
        <w:rPr>
          <w:snapToGrid w:val="0"/>
          <w:lang w:val="en-AU"/>
        </w:rPr>
        <w:t>tates’</w:t>
      </w:r>
      <w:r w:rsidR="009B385B">
        <w:rPr>
          <w:snapToGrid w:val="0"/>
          <w:lang w:val="en-AU"/>
        </w:rPr>
        <w:t xml:space="preserve"> submission</w:t>
      </w:r>
      <w:r w:rsidRPr="007814E6">
        <w:rPr>
          <w:snapToGrid w:val="0"/>
          <w:lang w:val="en-AU"/>
        </w:rPr>
        <w:t xml:space="preserve">. </w:t>
      </w:r>
    </w:p>
    <w:p w14:paraId="71759F83" w14:textId="05232806" w:rsidR="00AA11BB" w:rsidRDefault="009B385B" w:rsidP="00275CBE">
      <w:pPr>
        <w:pStyle w:val="Heading4"/>
      </w:pPr>
      <w:r>
        <w:t>4.3.1</w:t>
      </w:r>
      <w:r w:rsidR="00AA11BB">
        <w:t>.2</w:t>
      </w:r>
      <w:r w:rsidR="00AA11BB">
        <w:tab/>
        <w:t>Assessment using criteria</w:t>
      </w:r>
      <w:r w:rsidR="00AA11BB">
        <w:rPr>
          <w:rStyle w:val="CommentReference"/>
          <w:rFonts w:ascii="Arial" w:eastAsia="SimSun" w:hAnsi="Arial"/>
          <w:snapToGrid/>
          <w:lang w:val="en-GB"/>
        </w:rPr>
        <w:t xml:space="preserve"> </w:t>
      </w:r>
    </w:p>
    <w:p w14:paraId="5E5A15C2" w14:textId="5F8E09FE" w:rsidR="00AA11BB" w:rsidRPr="00AA11BB" w:rsidRDefault="00AA11BB" w:rsidP="00AA11BB">
      <w:pPr>
        <w:rPr>
          <w:snapToGrid w:val="0"/>
          <w:lang w:val="en-AU"/>
        </w:rPr>
      </w:pPr>
      <w:r>
        <w:rPr>
          <w:snapToGrid w:val="0"/>
          <w:lang w:val="en-AU"/>
        </w:rPr>
        <w:t>The 2011 TFDT assessed</w:t>
      </w:r>
      <w:r w:rsidR="009B385B">
        <w:rPr>
          <w:snapToGrid w:val="0"/>
          <w:lang w:val="en-AU"/>
        </w:rPr>
        <w:t xml:space="preserve"> this destruction technology</w:t>
      </w:r>
      <w:r>
        <w:rPr>
          <w:snapToGrid w:val="0"/>
          <w:lang w:val="en-AU"/>
        </w:rPr>
        <w:t>. In its assessment, t</w:t>
      </w:r>
      <w:r w:rsidRPr="00AA11BB">
        <w:rPr>
          <w:snapToGrid w:val="0"/>
          <w:lang w:val="en-AU"/>
        </w:rPr>
        <w:t xml:space="preserve">he </w:t>
      </w:r>
      <w:r>
        <w:rPr>
          <w:snapToGrid w:val="0"/>
          <w:lang w:val="en-AU"/>
        </w:rPr>
        <w:t>DRE claimed for the technology wa</w:t>
      </w:r>
      <w:r w:rsidRPr="00AA11BB">
        <w:rPr>
          <w:snapToGrid w:val="0"/>
          <w:lang w:val="en-AU"/>
        </w:rPr>
        <w:t>s 99.9%</w:t>
      </w:r>
      <w:r>
        <w:rPr>
          <w:snapToGrid w:val="0"/>
          <w:lang w:val="en-AU"/>
        </w:rPr>
        <w:t>,</w:t>
      </w:r>
      <w:r w:rsidRPr="00AA11BB">
        <w:rPr>
          <w:snapToGrid w:val="0"/>
          <w:lang w:val="en-AU"/>
        </w:rPr>
        <w:t xml:space="preserve"> which </w:t>
      </w:r>
      <w:r w:rsidR="009B385B">
        <w:rPr>
          <w:snapToGrid w:val="0"/>
          <w:lang w:val="en-AU"/>
        </w:rPr>
        <w:t>did</w:t>
      </w:r>
      <w:r w:rsidRPr="00AA11BB">
        <w:rPr>
          <w:snapToGrid w:val="0"/>
          <w:lang w:val="en-AU"/>
        </w:rPr>
        <w:t xml:space="preserve"> not qualify</w:t>
      </w:r>
      <w:r>
        <w:rPr>
          <w:snapToGrid w:val="0"/>
          <w:lang w:val="en-AU"/>
        </w:rPr>
        <w:t xml:space="preserve"> the technology for approval </w:t>
      </w:r>
      <w:r w:rsidR="009B385B">
        <w:rPr>
          <w:snapToGrid w:val="0"/>
          <w:lang w:val="en-AU"/>
        </w:rPr>
        <w:t>under</w:t>
      </w:r>
      <w:r>
        <w:rPr>
          <w:snapToGrid w:val="0"/>
          <w:lang w:val="en-AU"/>
        </w:rPr>
        <w:t xml:space="preserve"> the performance criteria</w:t>
      </w:r>
      <w:r w:rsidRPr="00AA11BB">
        <w:rPr>
          <w:snapToGrid w:val="0"/>
          <w:lang w:val="en-AU"/>
        </w:rPr>
        <w:t xml:space="preserve">. </w:t>
      </w:r>
      <w:r>
        <w:rPr>
          <w:snapToGrid w:val="0"/>
          <w:lang w:val="en-AU"/>
        </w:rPr>
        <w:t>T</w:t>
      </w:r>
      <w:r w:rsidRPr="00AA11BB">
        <w:rPr>
          <w:snapToGrid w:val="0"/>
          <w:lang w:val="en-AU"/>
        </w:rPr>
        <w:t xml:space="preserve">he </w:t>
      </w:r>
      <w:r w:rsidR="00DF62EA">
        <w:rPr>
          <w:snapToGrid w:val="0"/>
          <w:lang w:val="en-AU"/>
        </w:rPr>
        <w:t>dioxins/furans</w:t>
      </w:r>
      <w:r w:rsidRPr="00AA11BB">
        <w:rPr>
          <w:snapToGrid w:val="0"/>
          <w:lang w:val="en-AU"/>
        </w:rPr>
        <w:t xml:space="preserve"> performance </w:t>
      </w:r>
      <w:r>
        <w:rPr>
          <w:snapToGrid w:val="0"/>
          <w:lang w:val="en-AU"/>
        </w:rPr>
        <w:t xml:space="preserve">was </w:t>
      </w:r>
      <w:r w:rsidR="009B385B">
        <w:rPr>
          <w:snapToGrid w:val="0"/>
          <w:lang w:val="en-AU"/>
        </w:rPr>
        <w:t xml:space="preserve">reportedly </w:t>
      </w:r>
      <w:r w:rsidRPr="00AA11BB">
        <w:rPr>
          <w:snapToGrid w:val="0"/>
          <w:lang w:val="en-AU"/>
        </w:rPr>
        <w:t>0.2 ng ITEQ Nm</w:t>
      </w:r>
      <w:r w:rsidRPr="009B385B">
        <w:rPr>
          <w:snapToGrid w:val="0"/>
          <w:vertAlign w:val="superscript"/>
          <w:lang w:val="en-AU"/>
        </w:rPr>
        <w:t>3</w:t>
      </w:r>
      <w:r w:rsidR="009B385B">
        <w:rPr>
          <w:snapToGrid w:val="0"/>
          <w:lang w:val="en-AU"/>
        </w:rPr>
        <w:t>, which meets the criteria</w:t>
      </w:r>
      <w:r w:rsidRPr="00AA11BB">
        <w:rPr>
          <w:snapToGrid w:val="0"/>
          <w:lang w:val="en-AU"/>
        </w:rPr>
        <w:t>.</w:t>
      </w:r>
      <w:r w:rsidR="009B385B">
        <w:rPr>
          <w:snapToGrid w:val="0"/>
          <w:lang w:val="en-AU"/>
        </w:rPr>
        <w:t xml:space="preserve"> On the basis of the reported DRE,</w:t>
      </w:r>
      <w:r w:rsidRPr="00AA11BB">
        <w:rPr>
          <w:snapToGrid w:val="0"/>
          <w:lang w:val="en-AU"/>
        </w:rPr>
        <w:t xml:space="preserve"> </w:t>
      </w:r>
      <w:r w:rsidR="009B385B">
        <w:rPr>
          <w:snapToGrid w:val="0"/>
          <w:lang w:val="en-AU"/>
        </w:rPr>
        <w:t>the 2011 TDFT was unable to recommend it for approval, recommending it instead as high potential.</w:t>
      </w:r>
    </w:p>
    <w:p w14:paraId="184DDCFF" w14:textId="6907BF79" w:rsidR="00413892" w:rsidRDefault="009B385B" w:rsidP="003B3AC1">
      <w:pPr>
        <w:rPr>
          <w:snapToGrid w:val="0"/>
          <w:lang w:val="en-AU"/>
        </w:rPr>
      </w:pPr>
      <w:r>
        <w:rPr>
          <w:snapToGrid w:val="0"/>
          <w:lang w:val="en-AU"/>
        </w:rPr>
        <w:t>However, t</w:t>
      </w:r>
      <w:r w:rsidR="00AA11BB">
        <w:rPr>
          <w:snapToGrid w:val="0"/>
          <w:lang w:val="en-AU"/>
        </w:rPr>
        <w:t xml:space="preserve">he </w:t>
      </w:r>
      <w:r w:rsidR="00064527">
        <w:rPr>
          <w:snapToGrid w:val="0"/>
          <w:lang w:val="en-AU"/>
        </w:rPr>
        <w:t>United States’ submission</w:t>
      </w:r>
      <w:r w:rsidR="00AA11BB">
        <w:rPr>
          <w:snapToGrid w:val="0"/>
          <w:lang w:val="en-AU"/>
        </w:rPr>
        <w:t xml:space="preserve"> </w:t>
      </w:r>
      <w:r>
        <w:rPr>
          <w:snapToGrid w:val="0"/>
          <w:lang w:val="en-AU"/>
        </w:rPr>
        <w:t>makes the general statement</w:t>
      </w:r>
      <w:r w:rsidR="00AA11BB">
        <w:rPr>
          <w:snapToGrid w:val="0"/>
          <w:lang w:val="en-AU"/>
        </w:rPr>
        <w:t xml:space="preserve"> that this technology</w:t>
      </w:r>
      <w:r w:rsidR="007814E6" w:rsidRPr="007814E6">
        <w:rPr>
          <w:snapToGrid w:val="0"/>
          <w:lang w:val="en-AU"/>
        </w:rPr>
        <w:t xml:space="preserve"> has been demonstrated to operate in accordance with the </w:t>
      </w:r>
      <w:r w:rsidR="00AA11BB">
        <w:rPr>
          <w:snapToGrid w:val="0"/>
          <w:lang w:val="en-AU"/>
        </w:rPr>
        <w:t>performance criteria</w:t>
      </w:r>
      <w:r w:rsidR="007814E6" w:rsidRPr="007814E6">
        <w:rPr>
          <w:snapToGrid w:val="0"/>
          <w:lang w:val="en-AU"/>
        </w:rPr>
        <w:t>.</w:t>
      </w:r>
      <w:r w:rsidR="00AA11BB">
        <w:rPr>
          <w:snapToGrid w:val="0"/>
          <w:lang w:val="en-AU"/>
        </w:rPr>
        <w:t xml:space="preserve"> </w:t>
      </w:r>
      <w:r w:rsidR="00C41552">
        <w:rPr>
          <w:snapToGrid w:val="0"/>
          <w:lang w:val="en-AU"/>
        </w:rPr>
        <w:t>T</w:t>
      </w:r>
      <w:r w:rsidR="00AA11BB">
        <w:rPr>
          <w:snapToGrid w:val="0"/>
          <w:lang w:val="en-AU"/>
        </w:rPr>
        <w:t xml:space="preserve">he 2018 TFDT does not have </w:t>
      </w:r>
      <w:r>
        <w:rPr>
          <w:snapToGrid w:val="0"/>
          <w:lang w:val="en-AU"/>
        </w:rPr>
        <w:t xml:space="preserve">performance </w:t>
      </w:r>
      <w:r w:rsidR="00AA11BB">
        <w:rPr>
          <w:snapToGrid w:val="0"/>
          <w:lang w:val="en-AU"/>
        </w:rPr>
        <w:t>data to verify this</w:t>
      </w:r>
      <w:r w:rsidR="000E24C9">
        <w:rPr>
          <w:snapToGrid w:val="0"/>
          <w:lang w:val="en-AU"/>
        </w:rPr>
        <w:t xml:space="preserve"> assessment</w:t>
      </w:r>
      <w:r w:rsidR="00AA11BB">
        <w:rPr>
          <w:snapToGrid w:val="0"/>
          <w:lang w:val="en-AU"/>
        </w:rPr>
        <w:t>.</w:t>
      </w:r>
      <w:r w:rsidR="007814E6" w:rsidRPr="007814E6">
        <w:rPr>
          <w:snapToGrid w:val="0"/>
          <w:lang w:val="en-AU"/>
        </w:rPr>
        <w:t xml:space="preserve"> </w:t>
      </w:r>
    </w:p>
    <w:p w14:paraId="25A90330" w14:textId="18E0C997" w:rsidR="009B385B" w:rsidRPr="009B385B" w:rsidRDefault="009B385B" w:rsidP="00275CBE">
      <w:pPr>
        <w:pStyle w:val="Heading3"/>
        <w:rPr>
          <w:lang w:val="en-AU"/>
        </w:rPr>
      </w:pPr>
      <w:bookmarkStart w:id="137" w:name="_Hlk508739067"/>
      <w:bookmarkStart w:id="138" w:name="_Toc510531493"/>
      <w:r w:rsidRPr="00C825CC">
        <w:t>4.3.2</w:t>
      </w:r>
      <w:r w:rsidRPr="00C825CC">
        <w:tab/>
        <w:t xml:space="preserve">Chlorination/De-chlorination to </w:t>
      </w:r>
      <w:proofErr w:type="spellStart"/>
      <w:r w:rsidRPr="00C825CC">
        <w:t>Vinylidene</w:t>
      </w:r>
      <w:proofErr w:type="spellEnd"/>
      <w:r w:rsidRPr="00C825CC">
        <w:t xml:space="preserve"> </w:t>
      </w:r>
      <w:r w:rsidR="00630CDC">
        <w:t>Fluoride</w:t>
      </w:r>
      <w:r w:rsidR="00630CDC" w:rsidRPr="00C825CC">
        <w:t xml:space="preserve"> </w:t>
      </w:r>
      <w:bookmarkEnd w:id="137"/>
      <w:bookmarkEnd w:id="138"/>
    </w:p>
    <w:p w14:paraId="0A5CEEF2" w14:textId="44BA053D" w:rsidR="00C41552" w:rsidRDefault="00B41DF0" w:rsidP="009B385B">
      <w:pPr>
        <w:rPr>
          <w:snapToGrid w:val="0"/>
          <w:lang w:val="en-AU"/>
        </w:rPr>
      </w:pPr>
      <w:r>
        <w:rPr>
          <w:snapToGrid w:val="0"/>
          <w:lang w:val="en-AU"/>
        </w:rPr>
        <w:t xml:space="preserve">The </w:t>
      </w:r>
      <w:r w:rsidR="00064527">
        <w:rPr>
          <w:snapToGrid w:val="0"/>
          <w:lang w:val="en-AU"/>
        </w:rPr>
        <w:t>United States’ submission</w:t>
      </w:r>
      <w:r>
        <w:rPr>
          <w:snapToGrid w:val="0"/>
          <w:lang w:val="en-AU"/>
        </w:rPr>
        <w:t xml:space="preserve"> provided information about the c</w:t>
      </w:r>
      <w:r w:rsidR="009B385B" w:rsidRPr="009B385B">
        <w:rPr>
          <w:snapToGrid w:val="0"/>
          <w:lang w:val="en-AU"/>
        </w:rPr>
        <w:t>onversion of HFC-152a to vinylidene fluoride (or vinyl fluoride)</w:t>
      </w:r>
      <w:r w:rsidR="006A65C8">
        <w:rPr>
          <w:snapToGrid w:val="0"/>
          <w:lang w:val="en-AU"/>
        </w:rPr>
        <w:t>, which</w:t>
      </w:r>
      <w:r w:rsidR="009B385B" w:rsidRPr="009B385B">
        <w:rPr>
          <w:snapToGrid w:val="0"/>
          <w:lang w:val="en-AU"/>
        </w:rPr>
        <w:t xml:space="preserve"> is a commercial chemical production process used at chemical product</w:t>
      </w:r>
      <w:r w:rsidR="00C41552">
        <w:rPr>
          <w:snapToGrid w:val="0"/>
          <w:lang w:val="en-AU"/>
        </w:rPr>
        <w:t>ion plants in the United States, where</w:t>
      </w:r>
      <w:r w:rsidR="009B385B" w:rsidRPr="009B385B">
        <w:rPr>
          <w:snapToGrid w:val="0"/>
          <w:lang w:val="en-AU"/>
        </w:rPr>
        <w:t xml:space="preserve"> HFC-152a is either a feedstock or a chemical intermediate. </w:t>
      </w:r>
      <w:r w:rsidR="00C41552" w:rsidRPr="009B385B">
        <w:rPr>
          <w:snapToGrid w:val="0"/>
          <w:lang w:val="en-AU"/>
        </w:rPr>
        <w:t>The HFC-152a undergoes a chlorination and de</w:t>
      </w:r>
      <w:r w:rsidR="006A65C8">
        <w:rPr>
          <w:snapToGrid w:val="0"/>
          <w:lang w:val="en-AU"/>
        </w:rPr>
        <w:t>-</w:t>
      </w:r>
      <w:r w:rsidR="00C41552" w:rsidRPr="009B385B">
        <w:rPr>
          <w:snapToGrid w:val="0"/>
          <w:lang w:val="en-AU"/>
        </w:rPr>
        <w:t xml:space="preserve">chlorination process to produce the vinylidene fluoride. </w:t>
      </w:r>
      <w:r>
        <w:rPr>
          <w:snapToGrid w:val="0"/>
          <w:lang w:val="en-AU"/>
        </w:rPr>
        <w:t xml:space="preserve">This technology is part of a chemical manufacturing process and not a destruction process. </w:t>
      </w:r>
    </w:p>
    <w:p w14:paraId="671C8D90" w14:textId="02A27402" w:rsidR="00580FD6" w:rsidRPr="00C825CC" w:rsidRDefault="00580FD6" w:rsidP="00275CBE">
      <w:pPr>
        <w:pStyle w:val="Heading3"/>
      </w:pPr>
      <w:bookmarkStart w:id="139" w:name="_Ref510531202"/>
      <w:bookmarkStart w:id="140" w:name="_Toc510531494"/>
      <w:bookmarkStart w:id="141" w:name="_Hlk508739179"/>
      <w:r w:rsidRPr="00C825CC">
        <w:t>4.3.</w:t>
      </w:r>
      <w:r w:rsidR="00582A26">
        <w:t>3</w:t>
      </w:r>
      <w:r w:rsidRPr="00C825CC">
        <w:tab/>
        <w:t>Solid Alkali Reaction</w:t>
      </w:r>
      <w:bookmarkEnd w:id="139"/>
      <w:bookmarkEnd w:id="140"/>
    </w:p>
    <w:bookmarkEnd w:id="141"/>
    <w:p w14:paraId="7847B3BC" w14:textId="32E00F9D" w:rsidR="00580FD6" w:rsidRPr="00355437" w:rsidRDefault="00580FD6" w:rsidP="00580FD6">
      <w:pPr>
        <w:rPr>
          <w:shd w:val="clear" w:color="auto" w:fill="FFFFFF"/>
        </w:rPr>
      </w:pPr>
      <w:r w:rsidRPr="00293F93">
        <w:rPr>
          <w:shd w:val="clear" w:color="auto" w:fill="FFFFFF"/>
        </w:rPr>
        <w:t>This technology destroys halogenated compounds by a vapour phase chemical reaction using an alkali metal vapo</w:t>
      </w:r>
      <w:r w:rsidRPr="004323D7">
        <w:rPr>
          <w:shd w:val="clear" w:color="auto" w:fill="FFFFFF"/>
        </w:rPr>
        <w:t>ur, alkaline earth metal vapou</w:t>
      </w:r>
      <w:r w:rsidRPr="00355437">
        <w:rPr>
          <w:shd w:val="clear" w:color="auto" w:fill="FFFFFF"/>
        </w:rPr>
        <w:t xml:space="preserve">r, or a combination of the two, in a heated reactor to produce mineralized or solid products. Information about this technology was provided on request by Japan. </w:t>
      </w:r>
    </w:p>
    <w:p w14:paraId="441F83DB" w14:textId="758EE72B" w:rsidR="00580FD6" w:rsidRPr="00355437" w:rsidRDefault="00580FD6" w:rsidP="00580FD6">
      <w:pPr>
        <w:rPr>
          <w:rFonts w:eastAsia="Times New Roman"/>
          <w:color w:val="212121"/>
          <w:szCs w:val="22"/>
          <w:shd w:val="clear" w:color="auto" w:fill="FFFFFF"/>
          <w:lang w:eastAsia="en-US"/>
        </w:rPr>
      </w:pPr>
      <w:r w:rsidRPr="00355437">
        <w:rPr>
          <w:rFonts w:eastAsia="Times New Roman"/>
          <w:color w:val="212121"/>
          <w:szCs w:val="22"/>
          <w:shd w:val="clear" w:color="auto" w:fill="FFFFFF"/>
          <w:lang w:eastAsia="en-US"/>
        </w:rPr>
        <w:t>In 2002, two technologies that appear to be similar were screened out by the 2002 TFDT: Chemical Reduction of ODS Using Metallic Sodium on a Solid Substrate and Aerosol Mineralisation of CFCs by Sodium Vapour Reduction developed by the National Institute of Standards and Technology, Maryland, USA.</w:t>
      </w:r>
    </w:p>
    <w:p w14:paraId="54A3AEE6" w14:textId="2E94EB90" w:rsidR="008E2721" w:rsidRPr="00580FD6" w:rsidRDefault="00E15CCC" w:rsidP="00580FD6">
      <w:pPr>
        <w:rPr>
          <w:rFonts w:eastAsia="Times New Roman"/>
          <w:color w:val="212121"/>
          <w:szCs w:val="22"/>
          <w:lang w:eastAsia="en-US"/>
        </w:rPr>
      </w:pPr>
      <w:r w:rsidRPr="00C825CC">
        <w:rPr>
          <w:lang w:val="en-US" w:eastAsia="en-US"/>
        </w:rPr>
        <w:t>Due to insufficient data being available at the time of writing</w:t>
      </w:r>
      <w:r w:rsidR="00E16B94" w:rsidRPr="00C825CC">
        <w:rPr>
          <w:lang w:val="en-US" w:eastAsia="en-US"/>
        </w:rPr>
        <w:t xml:space="preserve">, </w:t>
      </w:r>
      <w:r w:rsidR="008E2721" w:rsidRPr="00401323">
        <w:rPr>
          <w:b/>
          <w:u w:val="single"/>
          <w:lang w:val="en-US" w:eastAsia="en-US"/>
        </w:rPr>
        <w:t xml:space="preserve">the </w:t>
      </w:r>
      <w:r w:rsidR="006A65C8" w:rsidRPr="00401323">
        <w:rPr>
          <w:b/>
          <w:u w:val="single"/>
          <w:lang w:val="en-US" w:eastAsia="en-US"/>
        </w:rPr>
        <w:t>2018 TFDT</w:t>
      </w:r>
      <w:r w:rsidR="008E2721" w:rsidRPr="00401323">
        <w:rPr>
          <w:b/>
          <w:u w:val="single"/>
          <w:lang w:val="en-US" w:eastAsia="en-US"/>
        </w:rPr>
        <w:t xml:space="preserve"> is </w:t>
      </w:r>
      <w:r w:rsidR="008E2721" w:rsidRPr="00401323">
        <w:rPr>
          <w:b/>
          <w:i/>
          <w:u w:val="single"/>
          <w:lang w:val="en-US" w:eastAsia="en-US"/>
        </w:rPr>
        <w:t>unable to</w:t>
      </w:r>
      <w:r w:rsidR="008E2721" w:rsidRPr="00867906">
        <w:rPr>
          <w:b/>
          <w:i/>
          <w:u w:val="single"/>
          <w:lang w:val="en-US" w:eastAsia="en-US"/>
        </w:rPr>
        <w:t xml:space="preserve"> </w:t>
      </w:r>
      <w:r w:rsidR="003B3AC1" w:rsidRPr="00867906">
        <w:rPr>
          <w:b/>
          <w:i/>
          <w:u w:val="single"/>
          <w:lang w:val="en-US" w:eastAsia="en-US"/>
        </w:rPr>
        <w:t>assess</w:t>
      </w:r>
      <w:r w:rsidR="008E2721" w:rsidRPr="00867906">
        <w:rPr>
          <w:b/>
          <w:i/>
          <w:u w:val="single"/>
          <w:lang w:val="en-US" w:eastAsia="en-US"/>
        </w:rPr>
        <w:t xml:space="preserve"> </w:t>
      </w:r>
      <w:r w:rsidR="008E2721" w:rsidRPr="00401323">
        <w:rPr>
          <w:b/>
          <w:u w:val="single"/>
          <w:lang w:eastAsia="en-US"/>
        </w:rPr>
        <w:t>Solid Alkali Reaction</w:t>
      </w:r>
      <w:r w:rsidR="008E2721" w:rsidRPr="00C825CC">
        <w:rPr>
          <w:lang w:eastAsia="en-US"/>
        </w:rPr>
        <w:t xml:space="preserve"> for possible inclusion on the list of approved destruction technologies</w:t>
      </w:r>
      <w:r w:rsidR="008E2721" w:rsidRPr="00C825CC">
        <w:rPr>
          <w:lang w:val="en-US" w:eastAsia="en-US"/>
        </w:rPr>
        <w:t>.</w:t>
      </w:r>
      <w:r w:rsidR="003B3AC1" w:rsidRPr="00C825CC">
        <w:rPr>
          <w:lang w:val="en-US" w:eastAsia="en-US"/>
        </w:rPr>
        <w:t xml:space="preserve"> </w:t>
      </w:r>
    </w:p>
    <w:p w14:paraId="01E3BBA2" w14:textId="2D493583" w:rsidR="00580FD6" w:rsidRDefault="007814E6" w:rsidP="00275CBE">
      <w:pPr>
        <w:pStyle w:val="Heading4"/>
      </w:pPr>
      <w:r>
        <w:t>4.3.</w:t>
      </w:r>
      <w:r w:rsidR="00582A26">
        <w:t>3</w:t>
      </w:r>
      <w:r w:rsidR="00580FD6">
        <w:t>.1</w:t>
      </w:r>
      <w:r w:rsidR="00580FD6">
        <w:tab/>
        <w:t>Experience with destruction</w:t>
      </w:r>
    </w:p>
    <w:p w14:paraId="6F4C1F04" w14:textId="1D4A5739" w:rsidR="00580FD6" w:rsidRDefault="008E2721" w:rsidP="00580FD6">
      <w:pPr>
        <w:rPr>
          <w:lang w:val="en-AU"/>
        </w:rPr>
      </w:pPr>
      <w:r>
        <w:t>At the time</w:t>
      </w:r>
      <w:r w:rsidR="00580FD6" w:rsidRPr="00580FD6">
        <w:t xml:space="preserve"> of the writing, information regarding the current or historical experience using this technology has not yet been provided to the </w:t>
      </w:r>
      <w:r>
        <w:t>2018 TFDT</w:t>
      </w:r>
      <w:r w:rsidR="00580FD6" w:rsidRPr="00580FD6">
        <w:t>.</w:t>
      </w:r>
      <w:r w:rsidR="00514300">
        <w:rPr>
          <w:lang w:val="en-AU"/>
        </w:rPr>
        <w:t xml:space="preserve"> </w:t>
      </w:r>
    </w:p>
    <w:p w14:paraId="18A1EB34" w14:textId="6C96B2B0" w:rsidR="00580FD6" w:rsidRDefault="007814E6" w:rsidP="00275CBE">
      <w:pPr>
        <w:pStyle w:val="Heading4"/>
      </w:pPr>
      <w:r>
        <w:t>4.3.</w:t>
      </w:r>
      <w:r w:rsidR="00582A26">
        <w:t>3</w:t>
      </w:r>
      <w:r w:rsidR="00580FD6">
        <w:t>.2</w:t>
      </w:r>
      <w:r w:rsidR="00580FD6">
        <w:tab/>
        <w:t>Assessment using performance criteria</w:t>
      </w:r>
    </w:p>
    <w:p w14:paraId="7B5B3AD6" w14:textId="31B3EEA9" w:rsidR="00580FD6" w:rsidRPr="00355437" w:rsidRDefault="00580FD6" w:rsidP="00580FD6">
      <w:pPr>
        <w:rPr>
          <w:lang w:val="en-AU"/>
        </w:rPr>
      </w:pPr>
      <w:r w:rsidRPr="00580FD6">
        <w:rPr>
          <w:rFonts w:ascii="TimesNewRomanPSMT" w:hAnsi="TimesNewRomanPSMT" w:cs="TimesNewRomanPSMT"/>
          <w:color w:val="auto"/>
          <w:szCs w:val="22"/>
          <w:lang w:val="en-US" w:eastAsia="en-US"/>
        </w:rPr>
        <w:t>The DRE reported is 99.99</w:t>
      </w:r>
      <w:r w:rsidRPr="00C825CC">
        <w:rPr>
          <w:rFonts w:ascii="TimesNewRomanPSMT" w:hAnsi="TimesNewRomanPSMT" w:cs="TimesNewRomanPSMT"/>
          <w:color w:val="auto"/>
          <w:szCs w:val="22"/>
          <w:lang w:val="en-US" w:eastAsia="en-US"/>
        </w:rPr>
        <w:t>%</w:t>
      </w:r>
      <w:r w:rsidR="00361CC7" w:rsidRPr="00C825CC">
        <w:rPr>
          <w:rFonts w:ascii="TimesNewRomanPSMT" w:hAnsi="TimesNewRomanPSMT" w:cs="TimesNewRomanPSMT"/>
          <w:color w:val="auto"/>
          <w:szCs w:val="22"/>
          <w:lang w:val="en-US" w:eastAsia="en-US"/>
        </w:rPr>
        <w:t xml:space="preserve"> (</w:t>
      </w:r>
      <w:r w:rsidR="00BE19B5" w:rsidRPr="00C825CC">
        <w:rPr>
          <w:rFonts w:ascii="TimesNewRomanPSMT" w:hAnsi="TimesNewRomanPSMT" w:cs="TimesNewRomanPSMT"/>
          <w:color w:val="auto"/>
          <w:szCs w:val="22"/>
          <w:lang w:val="en-US" w:eastAsia="en-US"/>
        </w:rPr>
        <w:t xml:space="preserve">an </w:t>
      </w:r>
      <w:r w:rsidR="00532B26" w:rsidRPr="00C825CC">
        <w:rPr>
          <w:rFonts w:ascii="TimesNewRomanPSMT" w:hAnsi="TimesNewRomanPSMT" w:cs="TimesNewRomanPSMT"/>
          <w:color w:val="auto"/>
          <w:szCs w:val="22"/>
          <w:lang w:val="en-US" w:eastAsia="en-US"/>
        </w:rPr>
        <w:t>unspecified substance</w:t>
      </w:r>
      <w:r w:rsidR="00361CC7" w:rsidRPr="00C825CC">
        <w:rPr>
          <w:rFonts w:ascii="TimesNewRomanPSMT" w:hAnsi="TimesNewRomanPSMT" w:cs="TimesNewRomanPSMT"/>
          <w:color w:val="auto"/>
          <w:szCs w:val="22"/>
          <w:lang w:val="en-US" w:eastAsia="en-US"/>
        </w:rPr>
        <w:t>)</w:t>
      </w:r>
      <w:r w:rsidRPr="00C825CC">
        <w:rPr>
          <w:rFonts w:ascii="TimesNewRomanPSMT" w:hAnsi="TimesNewRomanPSMT" w:cs="TimesNewRomanPSMT"/>
          <w:color w:val="auto"/>
          <w:szCs w:val="22"/>
          <w:lang w:val="en-US" w:eastAsia="en-US"/>
        </w:rPr>
        <w:t xml:space="preserve">. A flue gas volume of 7Nm3/h was estimated for a system destroying 4 kg/h and </w:t>
      </w:r>
      <w:r w:rsidRPr="00293F93">
        <w:rPr>
          <w:rFonts w:ascii="TimesNewRomanPSMT" w:hAnsi="TimesNewRomanPSMT" w:cs="TimesNewRomanPSMT"/>
          <w:color w:val="auto"/>
          <w:szCs w:val="22"/>
          <w:lang w:val="en-US" w:eastAsia="en-US"/>
        </w:rPr>
        <w:t xml:space="preserve">estimates of the </w:t>
      </w:r>
      <w:r w:rsidR="00780C5D" w:rsidRPr="00293F93">
        <w:rPr>
          <w:rFonts w:ascii="TimesNewRomanPSMT" w:hAnsi="TimesNewRomanPSMT" w:cs="TimesNewRomanPSMT"/>
          <w:color w:val="auto"/>
          <w:szCs w:val="22"/>
          <w:lang w:val="en-US" w:eastAsia="en-US"/>
        </w:rPr>
        <w:t xml:space="preserve">emissions </w:t>
      </w:r>
      <w:r w:rsidR="0051215F">
        <w:rPr>
          <w:rFonts w:ascii="TimesNewRomanPSMT" w:hAnsi="TimesNewRomanPSMT" w:cs="TimesNewRomanPSMT"/>
          <w:color w:val="auto"/>
          <w:szCs w:val="22"/>
          <w:lang w:val="en-US" w:eastAsia="en-US"/>
        </w:rPr>
        <w:t xml:space="preserve">were </w:t>
      </w:r>
      <w:r w:rsidR="00780C5D" w:rsidRPr="00293F93">
        <w:rPr>
          <w:rFonts w:ascii="TimesNewRomanPSMT" w:hAnsi="TimesNewRomanPSMT" w:cs="TimesNewRomanPSMT"/>
          <w:color w:val="auto"/>
          <w:szCs w:val="22"/>
          <w:lang w:val="en-US" w:eastAsia="en-US"/>
        </w:rPr>
        <w:t xml:space="preserve">tabulated. </w:t>
      </w:r>
      <w:r w:rsidRPr="004323D7">
        <w:rPr>
          <w:rFonts w:ascii="TimesNewRomanPSMT" w:hAnsi="TimesNewRomanPSMT" w:cs="TimesNewRomanPSMT"/>
          <w:color w:val="auto"/>
          <w:szCs w:val="22"/>
          <w:lang w:val="en-US" w:eastAsia="en-US"/>
        </w:rPr>
        <w:t xml:space="preserve">It is </w:t>
      </w:r>
      <w:r w:rsidRPr="004323D7">
        <w:rPr>
          <w:rFonts w:ascii="TimesNewRomanPSMT" w:hAnsi="TimesNewRomanPSMT" w:cs="TimesNewRomanPSMT"/>
          <w:color w:val="auto"/>
          <w:szCs w:val="22"/>
          <w:lang w:val="en-US" w:eastAsia="en-US"/>
        </w:rPr>
        <w:lastRenderedPageBreak/>
        <w:t xml:space="preserve">noted that no </w:t>
      </w:r>
      <w:r w:rsidR="00DF62EA">
        <w:rPr>
          <w:rFonts w:ascii="TimesNewRomanPSMT" w:hAnsi="TimesNewRomanPSMT" w:cs="TimesNewRomanPSMT"/>
          <w:color w:val="auto"/>
          <w:szCs w:val="22"/>
          <w:lang w:val="en-US" w:eastAsia="en-US"/>
        </w:rPr>
        <w:t>dioxins/furans</w:t>
      </w:r>
      <w:r w:rsidRPr="004323D7">
        <w:rPr>
          <w:rFonts w:ascii="TimesNewRomanPSMT" w:hAnsi="TimesNewRomanPSMT" w:cs="TimesNewRomanPSMT"/>
          <w:color w:val="auto"/>
          <w:szCs w:val="22"/>
          <w:lang w:val="en-US" w:eastAsia="en-US"/>
        </w:rPr>
        <w:t xml:space="preserve"> </w:t>
      </w:r>
      <w:r w:rsidR="00780C5D" w:rsidRPr="004323D7">
        <w:rPr>
          <w:rFonts w:ascii="TimesNewRomanPSMT" w:hAnsi="TimesNewRomanPSMT" w:cs="TimesNewRomanPSMT"/>
          <w:color w:val="auto"/>
          <w:szCs w:val="22"/>
          <w:lang w:val="en-US" w:eastAsia="en-US"/>
        </w:rPr>
        <w:t xml:space="preserve">or particulates </w:t>
      </w:r>
      <w:r w:rsidRPr="004323D7">
        <w:rPr>
          <w:rFonts w:ascii="TimesNewRomanPSMT" w:hAnsi="TimesNewRomanPSMT" w:cs="TimesNewRomanPSMT"/>
          <w:color w:val="auto"/>
          <w:szCs w:val="22"/>
          <w:lang w:val="en-US" w:eastAsia="en-US"/>
        </w:rPr>
        <w:t>emission</w:t>
      </w:r>
      <w:r w:rsidR="00DF62EA">
        <w:rPr>
          <w:rFonts w:ascii="TimesNewRomanPSMT" w:hAnsi="TimesNewRomanPSMT" w:cs="TimesNewRomanPSMT"/>
          <w:color w:val="auto"/>
          <w:szCs w:val="22"/>
          <w:lang w:val="en-US" w:eastAsia="en-US"/>
        </w:rPr>
        <w:t>s</w:t>
      </w:r>
      <w:r w:rsidRPr="004323D7">
        <w:rPr>
          <w:rFonts w:ascii="TimesNewRomanPSMT" w:hAnsi="TimesNewRomanPSMT" w:cs="TimesNewRomanPSMT"/>
          <w:color w:val="auto"/>
          <w:szCs w:val="22"/>
          <w:lang w:val="en-US" w:eastAsia="en-US"/>
        </w:rPr>
        <w:t xml:space="preserve"> data is available. The converted substance was not identified in the information provided.</w:t>
      </w:r>
      <w:r w:rsidR="00780C5D" w:rsidRPr="00355437">
        <w:rPr>
          <w:rFonts w:ascii="TimesNewRomanPSMT" w:hAnsi="TimesNewRomanPSMT" w:cs="TimesNewRomanPSMT"/>
          <w:color w:val="auto"/>
          <w:szCs w:val="22"/>
          <w:lang w:val="en-US" w:eastAsia="en-US"/>
        </w:rPr>
        <w:t xml:space="preserve"> </w:t>
      </w:r>
    </w:p>
    <w:p w14:paraId="79F9BBB7" w14:textId="6C520172" w:rsidR="00580FD6" w:rsidRPr="00355437" w:rsidRDefault="002719F2" w:rsidP="00275CBE">
      <w:pPr>
        <w:pStyle w:val="Heading4"/>
      </w:pPr>
      <w:r w:rsidRPr="00355437">
        <w:t>4</w:t>
      </w:r>
      <w:r w:rsidR="00580FD6" w:rsidRPr="00355437">
        <w:t>.</w:t>
      </w:r>
      <w:r w:rsidRPr="00355437">
        <w:t>3</w:t>
      </w:r>
      <w:r w:rsidR="00580FD6" w:rsidRPr="00355437">
        <w:t>.</w:t>
      </w:r>
      <w:r w:rsidR="00582A26">
        <w:t>3</w:t>
      </w:r>
      <w:r w:rsidR="00580FD6" w:rsidRPr="00355437">
        <w:t>.3</w:t>
      </w:r>
      <w:r w:rsidR="00580FD6" w:rsidRPr="00355437">
        <w:tab/>
        <w:t xml:space="preserve">Technical capability for destruction of </w:t>
      </w:r>
      <w:r w:rsidR="00361CC7" w:rsidRPr="00355437">
        <w:t>controlled substances</w:t>
      </w:r>
    </w:p>
    <w:p w14:paraId="7CA362A6" w14:textId="1288A012" w:rsidR="00580FD6" w:rsidRPr="00355437" w:rsidRDefault="008E2721" w:rsidP="00580FD6">
      <w:pPr>
        <w:rPr>
          <w:lang w:eastAsia="en-US"/>
        </w:rPr>
      </w:pPr>
      <w:r w:rsidRPr="00355437">
        <w:rPr>
          <w:lang w:val="en-AU"/>
        </w:rPr>
        <w:t>At the time</w:t>
      </w:r>
      <w:r w:rsidR="00580FD6" w:rsidRPr="00355437">
        <w:rPr>
          <w:lang w:val="en-AU"/>
        </w:rPr>
        <w:t xml:space="preserve"> of writing, information regarding the current or historical technical capability has not yet been provided to the </w:t>
      </w:r>
      <w:r w:rsidRPr="00355437">
        <w:rPr>
          <w:lang w:val="en-AU"/>
        </w:rPr>
        <w:t>2018 TFDT.</w:t>
      </w:r>
      <w:r w:rsidR="00580FD6" w:rsidRPr="00355437">
        <w:rPr>
          <w:lang w:eastAsia="en-US"/>
        </w:rPr>
        <w:t xml:space="preserve"> </w:t>
      </w:r>
    </w:p>
    <w:p w14:paraId="230C6E39" w14:textId="210E67D4" w:rsidR="00580FD6" w:rsidRPr="00355437" w:rsidRDefault="002719F2" w:rsidP="00275CBE">
      <w:pPr>
        <w:pStyle w:val="Heading4"/>
      </w:pPr>
      <w:r w:rsidRPr="00355437">
        <w:t>4</w:t>
      </w:r>
      <w:r w:rsidR="00580FD6" w:rsidRPr="00355437">
        <w:t>.</w:t>
      </w:r>
      <w:r w:rsidRPr="00355437">
        <w:t>3</w:t>
      </w:r>
      <w:r w:rsidR="00580FD6" w:rsidRPr="00355437">
        <w:t>.</w:t>
      </w:r>
      <w:r w:rsidR="00582A26">
        <w:t>3</w:t>
      </w:r>
      <w:r w:rsidR="00580FD6" w:rsidRPr="00355437">
        <w:t>.4</w:t>
      </w:r>
      <w:r w:rsidR="00580FD6" w:rsidRPr="00355437">
        <w:tab/>
        <w:t>Other considerations</w:t>
      </w:r>
    </w:p>
    <w:p w14:paraId="2EED342F" w14:textId="68F5A3C9" w:rsidR="00580FD6" w:rsidRPr="00355437" w:rsidRDefault="00580FD6" w:rsidP="00580FD6">
      <w:pPr>
        <w:rPr>
          <w:color w:val="333333"/>
          <w:szCs w:val="22"/>
          <w:shd w:val="clear" w:color="auto" w:fill="FFFFFF"/>
        </w:rPr>
      </w:pPr>
      <w:r w:rsidRPr="00355437">
        <w:rPr>
          <w:color w:val="333333"/>
          <w:szCs w:val="22"/>
          <w:shd w:val="clear" w:color="auto" w:fill="FFFFFF"/>
        </w:rPr>
        <w:t>The production of solid products, such as halide salts and particulate carbon, yields numerous advantages in the collection and disposal of the resulting products.</w:t>
      </w:r>
    </w:p>
    <w:p w14:paraId="64759F41" w14:textId="395805C4" w:rsidR="0057009F" w:rsidRDefault="00AE326E">
      <w:pPr>
        <w:spacing w:after="0"/>
        <w:rPr>
          <w:lang w:val="en-AU"/>
        </w:rPr>
        <w:sectPr w:rsidR="0057009F" w:rsidSect="00C73234">
          <w:footnotePr>
            <w:numRestart w:val="eachSect"/>
          </w:footnotePr>
          <w:type w:val="oddPage"/>
          <w:pgSz w:w="11907" w:h="16839" w:code="9"/>
          <w:pgMar w:top="1526" w:right="1800" w:bottom="1440" w:left="1800" w:header="720" w:footer="792" w:gutter="0"/>
          <w:cols w:space="720"/>
          <w:docGrid w:linePitch="299"/>
        </w:sectPr>
      </w:pPr>
      <w:bookmarkStart w:id="142" w:name="_Toc356240453"/>
      <w:r w:rsidRPr="00355437">
        <w:rPr>
          <w:lang w:val="en-AU"/>
        </w:rPr>
        <w:br w:type="page"/>
      </w:r>
    </w:p>
    <w:p w14:paraId="2A11134B" w14:textId="4CBE328D" w:rsidR="00AE326E" w:rsidRPr="00A94275" w:rsidRDefault="00AE326E" w:rsidP="00A94275">
      <w:pPr>
        <w:pStyle w:val="Heading1"/>
        <w:rPr>
          <w:rStyle w:val="Heading1Char2"/>
        </w:rPr>
      </w:pPr>
      <w:bookmarkStart w:id="143" w:name="_Toc510531495"/>
      <w:r w:rsidRPr="00A94275">
        <w:rPr>
          <w:rStyle w:val="Heading1Char2"/>
        </w:rPr>
        <w:lastRenderedPageBreak/>
        <w:t>5</w:t>
      </w:r>
      <w:r w:rsidRPr="00A94275">
        <w:rPr>
          <w:rStyle w:val="Heading1Char2"/>
        </w:rPr>
        <w:tab/>
        <w:t>Recommendations for list of approved destruction technologies</w:t>
      </w:r>
      <w:bookmarkEnd w:id="143"/>
    </w:p>
    <w:p w14:paraId="39D0138B" w14:textId="0B3F6B09" w:rsidR="00D3008A" w:rsidRPr="00D3008A" w:rsidRDefault="00D3008A" w:rsidP="00D3008A">
      <w:r>
        <w:t xml:space="preserve">The existing list of approved destruction technologies is shown </w:t>
      </w:r>
      <w:r w:rsidR="000A3005">
        <w:t xml:space="preserve">in the table below </w:t>
      </w:r>
      <w:r>
        <w:t xml:space="preserve">in </w:t>
      </w:r>
      <w:r>
        <w:rPr>
          <w:color w:val="00B050"/>
        </w:rPr>
        <w:t>green</w:t>
      </w:r>
      <w:r>
        <w:t xml:space="preserve">. </w:t>
      </w:r>
      <w:r w:rsidR="00E9494D">
        <w:t>R</w:t>
      </w:r>
      <w:r>
        <w:t xml:space="preserve">ecommendations relevant to </w:t>
      </w:r>
      <w:r w:rsidR="00E9494D">
        <w:t xml:space="preserve">this assessment </w:t>
      </w:r>
      <w:r>
        <w:t xml:space="preserve">are shown </w:t>
      </w:r>
      <w:r w:rsidR="000A3005">
        <w:t xml:space="preserve">in the table below </w:t>
      </w:r>
      <w:r>
        <w:t xml:space="preserve">in </w:t>
      </w:r>
      <w:r w:rsidRPr="00D3008A">
        <w:rPr>
          <w:color w:val="FF0000"/>
        </w:rPr>
        <w:t>red</w:t>
      </w:r>
      <w:r w:rsidR="00E9494D">
        <w:rPr>
          <w:color w:val="FF0000"/>
        </w:rPr>
        <w:t xml:space="preserve"> (</w:t>
      </w:r>
      <w:r w:rsidR="002E4DD6">
        <w:rPr>
          <w:color w:val="FF0000"/>
        </w:rPr>
        <w:t xml:space="preserve">for the </w:t>
      </w:r>
      <w:r w:rsidR="00E9494D">
        <w:rPr>
          <w:color w:val="FF0000"/>
        </w:rPr>
        <w:t>assessment of</w:t>
      </w:r>
      <w:r w:rsidR="00E9494D">
        <w:t xml:space="preserve"> the applicability of approved destruction technologies to HFCs and any other </w:t>
      </w:r>
      <w:r w:rsidR="00E9494D" w:rsidRPr="00E9494D">
        <w:rPr>
          <w:lang w:val="en-AU"/>
        </w:rPr>
        <w:t xml:space="preserve">technologies for possible inclusion on the list of approved </w:t>
      </w:r>
      <w:r w:rsidR="000A3005">
        <w:rPr>
          <w:lang w:val="en-AU"/>
        </w:rPr>
        <w:t xml:space="preserve">destruction </w:t>
      </w:r>
      <w:r w:rsidR="00E9494D" w:rsidRPr="00E9494D">
        <w:rPr>
          <w:lang w:val="en-AU"/>
        </w:rPr>
        <w:t>technologies</w:t>
      </w:r>
      <w:r w:rsidR="00E9494D">
        <w:rPr>
          <w:lang w:val="en-AU"/>
        </w:rPr>
        <w:t>)</w:t>
      </w:r>
      <w:r>
        <w:t>.</w:t>
      </w:r>
      <w:r w:rsidR="000A3005">
        <w:t xml:space="preserve"> Appendix 3 presents a written summary of the recommendations included in Chapters 3 and 4.</w:t>
      </w:r>
    </w:p>
    <w:tbl>
      <w:tblPr>
        <w:tblW w:w="14341" w:type="dxa"/>
        <w:tblInd w:w="108" w:type="dxa"/>
        <w:tblBorders>
          <w:left w:val="nil"/>
          <w:right w:val="nil"/>
        </w:tblBorders>
        <w:tblLayout w:type="fixed"/>
        <w:tblLook w:val="0000" w:firstRow="0" w:lastRow="0" w:firstColumn="0" w:lastColumn="0" w:noHBand="0" w:noVBand="0"/>
      </w:tblPr>
      <w:tblGrid>
        <w:gridCol w:w="1725"/>
        <w:gridCol w:w="1134"/>
        <w:gridCol w:w="1134"/>
        <w:gridCol w:w="1134"/>
        <w:gridCol w:w="1276"/>
        <w:gridCol w:w="1276"/>
        <w:gridCol w:w="1134"/>
        <w:gridCol w:w="1134"/>
        <w:gridCol w:w="1134"/>
        <w:gridCol w:w="1134"/>
        <w:gridCol w:w="1063"/>
        <w:gridCol w:w="1063"/>
      </w:tblGrid>
      <w:tr w:rsidR="002B718A" w:rsidRPr="00A54649" w14:paraId="259AFFDD" w14:textId="77777777" w:rsidTr="005039EC">
        <w:tc>
          <w:tcPr>
            <w:tcW w:w="1725" w:type="dxa"/>
            <w:vMerge w:val="restart"/>
            <w:tcBorders>
              <w:top w:val="single" w:sz="8" w:space="0" w:color="000000"/>
              <w:left w:val="single" w:sz="8" w:space="0" w:color="000000"/>
              <w:right w:val="single" w:sz="8" w:space="0" w:color="000000"/>
            </w:tcBorders>
            <w:vAlign w:val="center"/>
          </w:tcPr>
          <w:p w14:paraId="4DB8DA76" w14:textId="77777777" w:rsidR="001D2563" w:rsidRPr="00A54649" w:rsidRDefault="001D2563" w:rsidP="00AD5E7E">
            <w:pPr>
              <w:rPr>
                <w:b/>
                <w:sz w:val="18"/>
                <w:szCs w:val="18"/>
                <w:lang w:val="en-AU" w:eastAsia="en-US"/>
              </w:rPr>
            </w:pPr>
            <w:r w:rsidRPr="00A54649">
              <w:rPr>
                <w:b/>
                <w:sz w:val="18"/>
                <w:szCs w:val="18"/>
                <w:lang w:val="en-AU" w:eastAsia="en-US"/>
              </w:rPr>
              <w:t>Technology</w:t>
            </w:r>
          </w:p>
        </w:tc>
        <w:tc>
          <w:tcPr>
            <w:tcW w:w="12616" w:type="dxa"/>
            <w:gridSpan w:val="11"/>
            <w:tcBorders>
              <w:top w:val="single" w:sz="8" w:space="0" w:color="000000"/>
              <w:bottom w:val="single" w:sz="8" w:space="0" w:color="000000"/>
              <w:right w:val="single" w:sz="8" w:space="0" w:color="000000"/>
            </w:tcBorders>
          </w:tcPr>
          <w:p w14:paraId="47A1CF50" w14:textId="7F6B8056" w:rsidR="001D2563" w:rsidRPr="00A54649" w:rsidRDefault="001D2563" w:rsidP="00AD5E7E">
            <w:pPr>
              <w:spacing w:after="0"/>
              <w:jc w:val="center"/>
              <w:rPr>
                <w:b/>
                <w:sz w:val="18"/>
                <w:szCs w:val="18"/>
                <w:lang w:val="en-AU" w:eastAsia="en-US"/>
              </w:rPr>
            </w:pPr>
            <w:r w:rsidRPr="00A54649">
              <w:rPr>
                <w:b/>
                <w:sz w:val="18"/>
                <w:szCs w:val="18"/>
                <w:lang w:val="en-AU" w:eastAsia="en-US"/>
              </w:rPr>
              <w:t>Applicability</w:t>
            </w:r>
          </w:p>
        </w:tc>
      </w:tr>
      <w:tr w:rsidR="002B718A" w:rsidRPr="00A54649" w14:paraId="151299D9" w14:textId="77777777" w:rsidTr="005039EC">
        <w:tc>
          <w:tcPr>
            <w:tcW w:w="1725" w:type="dxa"/>
            <w:vMerge/>
            <w:tcBorders>
              <w:left w:val="single" w:sz="8" w:space="0" w:color="000000"/>
              <w:right w:val="single" w:sz="8" w:space="0" w:color="000000"/>
            </w:tcBorders>
            <w:vAlign w:val="center"/>
          </w:tcPr>
          <w:p w14:paraId="465685EB" w14:textId="77777777" w:rsidR="001D2563" w:rsidRPr="00A54649" w:rsidRDefault="001D2563" w:rsidP="00AD5E7E">
            <w:pPr>
              <w:rPr>
                <w:b/>
                <w:sz w:val="18"/>
                <w:szCs w:val="18"/>
                <w:lang w:val="en-AU" w:eastAsia="en-US"/>
              </w:rPr>
            </w:pPr>
          </w:p>
        </w:tc>
        <w:tc>
          <w:tcPr>
            <w:tcW w:w="10490" w:type="dxa"/>
            <w:gridSpan w:val="9"/>
            <w:tcBorders>
              <w:top w:val="single" w:sz="8" w:space="0" w:color="000000"/>
              <w:bottom w:val="single" w:sz="8" w:space="0" w:color="000000"/>
              <w:right w:val="single" w:sz="8" w:space="0" w:color="000000"/>
            </w:tcBorders>
            <w:vAlign w:val="center"/>
          </w:tcPr>
          <w:p w14:paraId="372B41DA" w14:textId="7D9B0A0D" w:rsidR="001D2563" w:rsidRPr="00A54649" w:rsidRDefault="001D2563" w:rsidP="00AD5E7E">
            <w:pPr>
              <w:spacing w:after="0"/>
              <w:jc w:val="center"/>
              <w:rPr>
                <w:b/>
                <w:sz w:val="18"/>
                <w:szCs w:val="18"/>
                <w:lang w:val="en-AU" w:eastAsia="en-US"/>
              </w:rPr>
            </w:pPr>
            <w:r w:rsidRPr="00A54649">
              <w:rPr>
                <w:b/>
                <w:sz w:val="18"/>
                <w:szCs w:val="18"/>
                <w:lang w:val="en-AU" w:eastAsia="en-US"/>
              </w:rPr>
              <w:t>Concentrated Sources</w:t>
            </w:r>
          </w:p>
        </w:tc>
        <w:tc>
          <w:tcPr>
            <w:tcW w:w="2126" w:type="dxa"/>
            <w:gridSpan w:val="2"/>
            <w:tcBorders>
              <w:top w:val="single" w:sz="8" w:space="0" w:color="000000"/>
              <w:left w:val="single" w:sz="8" w:space="0" w:color="000000"/>
              <w:bottom w:val="single" w:sz="8" w:space="0" w:color="000000"/>
              <w:right w:val="single" w:sz="8" w:space="0" w:color="000000"/>
            </w:tcBorders>
          </w:tcPr>
          <w:p w14:paraId="7563E9F0" w14:textId="32671206" w:rsidR="001D2563" w:rsidRPr="00A54649" w:rsidRDefault="001D2563" w:rsidP="00AD5E7E">
            <w:pPr>
              <w:spacing w:after="0"/>
              <w:jc w:val="center"/>
              <w:rPr>
                <w:b/>
                <w:sz w:val="18"/>
                <w:szCs w:val="18"/>
                <w:lang w:val="en-AU" w:eastAsia="en-US"/>
              </w:rPr>
            </w:pPr>
            <w:r w:rsidRPr="00A54649">
              <w:rPr>
                <w:b/>
                <w:sz w:val="18"/>
                <w:szCs w:val="18"/>
                <w:lang w:val="en-AU" w:eastAsia="en-US"/>
              </w:rPr>
              <w:t>Dilute Sources</w:t>
            </w:r>
          </w:p>
        </w:tc>
      </w:tr>
      <w:tr w:rsidR="005039EC" w:rsidRPr="00A54649" w14:paraId="5B49C408" w14:textId="77777777" w:rsidTr="008361B4">
        <w:tc>
          <w:tcPr>
            <w:tcW w:w="1725" w:type="dxa"/>
            <w:vMerge/>
            <w:tcBorders>
              <w:left w:val="single" w:sz="8" w:space="0" w:color="000000"/>
              <w:right w:val="single" w:sz="8" w:space="0" w:color="000000"/>
            </w:tcBorders>
            <w:vAlign w:val="center"/>
          </w:tcPr>
          <w:p w14:paraId="05A4CCDD" w14:textId="77777777" w:rsidR="005039EC" w:rsidRPr="00A54649" w:rsidRDefault="005039EC" w:rsidP="00AD5E7E">
            <w:pPr>
              <w:rPr>
                <w:b/>
                <w:sz w:val="18"/>
                <w:szCs w:val="18"/>
                <w:lang w:val="en-AU" w:eastAsia="en-US"/>
              </w:rPr>
            </w:pPr>
          </w:p>
        </w:tc>
        <w:tc>
          <w:tcPr>
            <w:tcW w:w="2268" w:type="dxa"/>
            <w:gridSpan w:val="2"/>
            <w:tcBorders>
              <w:top w:val="single" w:sz="8" w:space="0" w:color="000000"/>
              <w:bottom w:val="single" w:sz="8" w:space="0" w:color="000000"/>
              <w:right w:val="single" w:sz="8" w:space="0" w:color="000000"/>
            </w:tcBorders>
            <w:vAlign w:val="center"/>
          </w:tcPr>
          <w:p w14:paraId="1E53E226" w14:textId="77777777" w:rsidR="005039EC" w:rsidRPr="00A54649" w:rsidRDefault="005039EC" w:rsidP="00AD5E7E">
            <w:pPr>
              <w:spacing w:after="0"/>
              <w:jc w:val="center"/>
              <w:rPr>
                <w:b/>
                <w:sz w:val="18"/>
                <w:szCs w:val="18"/>
                <w:lang w:val="en-AU" w:eastAsia="en-US"/>
              </w:rPr>
            </w:pPr>
            <w:r w:rsidRPr="00A54649">
              <w:rPr>
                <w:b/>
                <w:sz w:val="18"/>
                <w:szCs w:val="18"/>
                <w:lang w:val="en-AU" w:eastAsia="en-US"/>
              </w:rPr>
              <w:t>Annex A</w:t>
            </w:r>
          </w:p>
        </w:tc>
        <w:tc>
          <w:tcPr>
            <w:tcW w:w="3686" w:type="dxa"/>
            <w:gridSpan w:val="3"/>
            <w:tcBorders>
              <w:top w:val="single" w:sz="8" w:space="0" w:color="000000"/>
              <w:bottom w:val="single" w:sz="8" w:space="0" w:color="000000"/>
              <w:right w:val="single" w:sz="8" w:space="0" w:color="000000"/>
            </w:tcBorders>
            <w:vAlign w:val="center"/>
          </w:tcPr>
          <w:p w14:paraId="1317978F" w14:textId="77777777" w:rsidR="005039EC" w:rsidRPr="00A54649" w:rsidRDefault="005039EC" w:rsidP="00AD5E7E">
            <w:pPr>
              <w:spacing w:after="0"/>
              <w:jc w:val="center"/>
              <w:rPr>
                <w:b/>
                <w:sz w:val="18"/>
                <w:szCs w:val="18"/>
                <w:lang w:val="en-AU" w:eastAsia="en-US"/>
              </w:rPr>
            </w:pPr>
            <w:r w:rsidRPr="00A54649">
              <w:rPr>
                <w:b/>
                <w:sz w:val="18"/>
                <w:szCs w:val="18"/>
                <w:lang w:val="en-AU" w:eastAsia="en-US"/>
              </w:rPr>
              <w:t>Annex B</w:t>
            </w:r>
          </w:p>
        </w:tc>
        <w:tc>
          <w:tcPr>
            <w:tcW w:w="1134" w:type="dxa"/>
            <w:tcBorders>
              <w:bottom w:val="single" w:sz="8" w:space="0" w:color="000000"/>
              <w:right w:val="single" w:sz="8" w:space="0" w:color="000000"/>
            </w:tcBorders>
            <w:vAlign w:val="center"/>
          </w:tcPr>
          <w:p w14:paraId="0B1E14EE" w14:textId="77777777" w:rsidR="005039EC" w:rsidRPr="00A54649" w:rsidRDefault="005039EC" w:rsidP="00AD5E7E">
            <w:pPr>
              <w:spacing w:after="0"/>
              <w:jc w:val="center"/>
              <w:rPr>
                <w:b/>
                <w:sz w:val="18"/>
                <w:szCs w:val="18"/>
                <w:lang w:val="en-AU" w:eastAsia="en-US"/>
              </w:rPr>
            </w:pPr>
            <w:r w:rsidRPr="00A54649">
              <w:rPr>
                <w:b/>
                <w:sz w:val="18"/>
                <w:szCs w:val="18"/>
                <w:lang w:val="en-AU" w:eastAsia="en-US"/>
              </w:rPr>
              <w:t>Annex C</w:t>
            </w:r>
          </w:p>
        </w:tc>
        <w:tc>
          <w:tcPr>
            <w:tcW w:w="1134" w:type="dxa"/>
            <w:tcBorders>
              <w:bottom w:val="single" w:sz="8" w:space="0" w:color="000000"/>
              <w:right w:val="single" w:sz="8" w:space="0" w:color="000000"/>
            </w:tcBorders>
            <w:vAlign w:val="center"/>
          </w:tcPr>
          <w:p w14:paraId="1C15A8FC" w14:textId="77777777" w:rsidR="005039EC" w:rsidRPr="00A54649" w:rsidRDefault="005039EC" w:rsidP="00AD5E7E">
            <w:pPr>
              <w:spacing w:after="0"/>
              <w:jc w:val="center"/>
              <w:rPr>
                <w:b/>
                <w:sz w:val="18"/>
                <w:szCs w:val="18"/>
                <w:lang w:val="en-AU" w:eastAsia="en-US"/>
              </w:rPr>
            </w:pPr>
            <w:r w:rsidRPr="00A54649">
              <w:rPr>
                <w:b/>
                <w:sz w:val="18"/>
                <w:szCs w:val="18"/>
                <w:lang w:val="en-AU" w:eastAsia="en-US"/>
              </w:rPr>
              <w:t>Annex E</w:t>
            </w:r>
          </w:p>
        </w:tc>
        <w:tc>
          <w:tcPr>
            <w:tcW w:w="2268" w:type="dxa"/>
            <w:gridSpan w:val="2"/>
            <w:tcBorders>
              <w:top w:val="single" w:sz="8" w:space="0" w:color="000000"/>
              <w:bottom w:val="single" w:sz="8" w:space="0" w:color="000000"/>
              <w:right w:val="single" w:sz="8" w:space="0" w:color="000000"/>
            </w:tcBorders>
          </w:tcPr>
          <w:p w14:paraId="7B3745B7" w14:textId="38F61FDC" w:rsidR="005039EC" w:rsidRPr="00A54649" w:rsidRDefault="005039EC" w:rsidP="00AD5E7E">
            <w:pPr>
              <w:spacing w:after="0"/>
              <w:jc w:val="center"/>
              <w:rPr>
                <w:b/>
                <w:sz w:val="18"/>
                <w:szCs w:val="18"/>
                <w:lang w:val="en-AU" w:eastAsia="en-US"/>
              </w:rPr>
            </w:pPr>
            <w:r>
              <w:rPr>
                <w:b/>
                <w:sz w:val="18"/>
                <w:szCs w:val="18"/>
                <w:lang w:val="en-AU" w:eastAsia="en-US"/>
              </w:rPr>
              <w:t>Annex F</w:t>
            </w:r>
          </w:p>
        </w:tc>
        <w:tc>
          <w:tcPr>
            <w:tcW w:w="1063" w:type="dxa"/>
            <w:tcBorders>
              <w:top w:val="single" w:sz="8" w:space="0" w:color="000000"/>
              <w:left w:val="single" w:sz="8" w:space="0" w:color="000000"/>
              <w:bottom w:val="single" w:sz="8" w:space="0" w:color="000000"/>
              <w:right w:val="single" w:sz="8" w:space="0" w:color="000000"/>
            </w:tcBorders>
          </w:tcPr>
          <w:p w14:paraId="2016D331" w14:textId="77777777" w:rsidR="005039EC" w:rsidRPr="00A54649" w:rsidRDefault="005039EC" w:rsidP="00AD5E7E">
            <w:pPr>
              <w:spacing w:after="0"/>
              <w:jc w:val="center"/>
              <w:rPr>
                <w:b/>
                <w:sz w:val="18"/>
                <w:szCs w:val="18"/>
                <w:lang w:val="en-AU" w:eastAsia="en-US"/>
              </w:rPr>
            </w:pPr>
          </w:p>
        </w:tc>
        <w:tc>
          <w:tcPr>
            <w:tcW w:w="1063" w:type="dxa"/>
            <w:tcBorders>
              <w:top w:val="single" w:sz="8" w:space="0" w:color="000000"/>
              <w:left w:val="single" w:sz="8" w:space="0" w:color="000000"/>
              <w:bottom w:val="single" w:sz="8" w:space="0" w:color="000000"/>
              <w:right w:val="single" w:sz="8" w:space="0" w:color="000000"/>
            </w:tcBorders>
          </w:tcPr>
          <w:p w14:paraId="060079B5" w14:textId="1F4BAEC0" w:rsidR="005039EC" w:rsidRPr="00A54649" w:rsidRDefault="005039EC" w:rsidP="00AD5E7E">
            <w:pPr>
              <w:spacing w:after="0"/>
              <w:jc w:val="center"/>
              <w:rPr>
                <w:b/>
                <w:sz w:val="18"/>
                <w:szCs w:val="18"/>
                <w:lang w:val="en-AU" w:eastAsia="en-US"/>
              </w:rPr>
            </w:pPr>
            <w:r>
              <w:rPr>
                <w:b/>
                <w:sz w:val="18"/>
                <w:szCs w:val="18"/>
                <w:lang w:val="en-AU" w:eastAsia="en-US"/>
              </w:rPr>
              <w:t>Annex F</w:t>
            </w:r>
          </w:p>
        </w:tc>
      </w:tr>
      <w:tr w:rsidR="005039EC" w:rsidRPr="00A54649" w14:paraId="53C2F3B1" w14:textId="77777777" w:rsidTr="008361B4">
        <w:tc>
          <w:tcPr>
            <w:tcW w:w="1725" w:type="dxa"/>
            <w:vMerge/>
            <w:tcBorders>
              <w:left w:val="single" w:sz="8" w:space="0" w:color="000000"/>
              <w:right w:val="single" w:sz="8" w:space="0" w:color="000000"/>
            </w:tcBorders>
            <w:vAlign w:val="center"/>
          </w:tcPr>
          <w:p w14:paraId="37F25859" w14:textId="77777777" w:rsidR="005039EC" w:rsidRPr="00A54649" w:rsidRDefault="005039EC" w:rsidP="00AD5E7E">
            <w:pPr>
              <w:rPr>
                <w:b/>
                <w:sz w:val="18"/>
                <w:szCs w:val="18"/>
                <w:lang w:val="en-AU" w:eastAsia="en-US"/>
              </w:rPr>
            </w:pPr>
          </w:p>
        </w:tc>
        <w:tc>
          <w:tcPr>
            <w:tcW w:w="1134" w:type="dxa"/>
            <w:tcBorders>
              <w:bottom w:val="single" w:sz="8" w:space="0" w:color="000000"/>
              <w:right w:val="single" w:sz="8" w:space="0" w:color="000000"/>
            </w:tcBorders>
            <w:vAlign w:val="center"/>
          </w:tcPr>
          <w:p w14:paraId="67342852" w14:textId="77777777" w:rsidR="005039EC" w:rsidRPr="00A54649" w:rsidRDefault="005039EC" w:rsidP="001D2563">
            <w:pPr>
              <w:spacing w:after="0"/>
              <w:jc w:val="center"/>
              <w:rPr>
                <w:b/>
                <w:sz w:val="18"/>
                <w:szCs w:val="18"/>
                <w:lang w:val="en-AU" w:eastAsia="en-US"/>
              </w:rPr>
            </w:pPr>
            <w:r w:rsidRPr="00A54649">
              <w:rPr>
                <w:b/>
                <w:sz w:val="18"/>
                <w:szCs w:val="18"/>
                <w:lang w:val="en-AU" w:eastAsia="en-US"/>
              </w:rPr>
              <w:t>Group 1</w:t>
            </w:r>
          </w:p>
        </w:tc>
        <w:tc>
          <w:tcPr>
            <w:tcW w:w="1134" w:type="dxa"/>
            <w:tcBorders>
              <w:bottom w:val="single" w:sz="8" w:space="0" w:color="000000"/>
              <w:right w:val="single" w:sz="8" w:space="0" w:color="000000"/>
            </w:tcBorders>
            <w:vAlign w:val="center"/>
          </w:tcPr>
          <w:p w14:paraId="56FBB166" w14:textId="77777777" w:rsidR="005039EC" w:rsidRPr="00A54649" w:rsidRDefault="005039EC" w:rsidP="001D2563">
            <w:pPr>
              <w:spacing w:after="0"/>
              <w:jc w:val="center"/>
              <w:rPr>
                <w:b/>
                <w:sz w:val="18"/>
                <w:szCs w:val="18"/>
                <w:lang w:val="en-AU" w:eastAsia="en-US"/>
              </w:rPr>
            </w:pPr>
            <w:r w:rsidRPr="00A54649">
              <w:rPr>
                <w:b/>
                <w:sz w:val="18"/>
                <w:szCs w:val="18"/>
                <w:lang w:val="en-AU" w:eastAsia="en-US"/>
              </w:rPr>
              <w:t>Group 2</w:t>
            </w:r>
          </w:p>
        </w:tc>
        <w:tc>
          <w:tcPr>
            <w:tcW w:w="1134" w:type="dxa"/>
            <w:tcBorders>
              <w:bottom w:val="single" w:sz="8" w:space="0" w:color="000000"/>
              <w:right w:val="single" w:sz="8" w:space="0" w:color="000000"/>
            </w:tcBorders>
            <w:vAlign w:val="center"/>
          </w:tcPr>
          <w:p w14:paraId="10D16735" w14:textId="77777777" w:rsidR="005039EC" w:rsidRPr="00A54649" w:rsidRDefault="005039EC" w:rsidP="001D2563">
            <w:pPr>
              <w:spacing w:after="0"/>
              <w:jc w:val="center"/>
              <w:rPr>
                <w:b/>
                <w:sz w:val="18"/>
                <w:szCs w:val="18"/>
                <w:lang w:val="en-AU" w:eastAsia="en-US"/>
              </w:rPr>
            </w:pPr>
            <w:r w:rsidRPr="00A54649">
              <w:rPr>
                <w:b/>
                <w:sz w:val="18"/>
                <w:szCs w:val="18"/>
                <w:lang w:val="en-AU" w:eastAsia="en-US"/>
              </w:rPr>
              <w:t>Group 1</w:t>
            </w:r>
          </w:p>
        </w:tc>
        <w:tc>
          <w:tcPr>
            <w:tcW w:w="1276" w:type="dxa"/>
            <w:tcBorders>
              <w:bottom w:val="single" w:sz="8" w:space="0" w:color="000000"/>
              <w:right w:val="single" w:sz="8" w:space="0" w:color="000000"/>
            </w:tcBorders>
            <w:vAlign w:val="center"/>
          </w:tcPr>
          <w:p w14:paraId="4C7104DD" w14:textId="77777777" w:rsidR="005039EC" w:rsidRPr="00A54649" w:rsidRDefault="005039EC" w:rsidP="001D2563">
            <w:pPr>
              <w:spacing w:after="0"/>
              <w:jc w:val="center"/>
              <w:rPr>
                <w:b/>
                <w:sz w:val="18"/>
                <w:szCs w:val="18"/>
                <w:lang w:val="en-AU" w:eastAsia="en-US"/>
              </w:rPr>
            </w:pPr>
            <w:r w:rsidRPr="00A54649">
              <w:rPr>
                <w:b/>
                <w:sz w:val="18"/>
                <w:szCs w:val="18"/>
                <w:lang w:val="en-AU" w:eastAsia="en-US"/>
              </w:rPr>
              <w:t>Group 2</w:t>
            </w:r>
          </w:p>
        </w:tc>
        <w:tc>
          <w:tcPr>
            <w:tcW w:w="1276" w:type="dxa"/>
            <w:tcBorders>
              <w:bottom w:val="single" w:sz="8" w:space="0" w:color="000000"/>
              <w:right w:val="single" w:sz="8" w:space="0" w:color="000000"/>
            </w:tcBorders>
            <w:vAlign w:val="center"/>
          </w:tcPr>
          <w:p w14:paraId="26D47D5C" w14:textId="77777777" w:rsidR="005039EC" w:rsidRPr="00A54649" w:rsidRDefault="005039EC" w:rsidP="001D2563">
            <w:pPr>
              <w:spacing w:after="0"/>
              <w:jc w:val="center"/>
              <w:rPr>
                <w:b/>
                <w:sz w:val="18"/>
                <w:szCs w:val="18"/>
                <w:lang w:val="en-AU" w:eastAsia="en-US"/>
              </w:rPr>
            </w:pPr>
            <w:r w:rsidRPr="00A54649">
              <w:rPr>
                <w:b/>
                <w:sz w:val="18"/>
                <w:szCs w:val="18"/>
                <w:lang w:val="en-AU" w:eastAsia="en-US"/>
              </w:rPr>
              <w:t>Group 3</w:t>
            </w:r>
          </w:p>
        </w:tc>
        <w:tc>
          <w:tcPr>
            <w:tcW w:w="1134" w:type="dxa"/>
            <w:tcBorders>
              <w:bottom w:val="single" w:sz="8" w:space="0" w:color="000000"/>
              <w:right w:val="single" w:sz="8" w:space="0" w:color="000000"/>
            </w:tcBorders>
            <w:vAlign w:val="center"/>
          </w:tcPr>
          <w:p w14:paraId="40D9FB8D" w14:textId="77777777" w:rsidR="005039EC" w:rsidRPr="00A54649" w:rsidRDefault="005039EC" w:rsidP="001D2563">
            <w:pPr>
              <w:spacing w:after="0"/>
              <w:jc w:val="center"/>
              <w:rPr>
                <w:b/>
                <w:sz w:val="18"/>
                <w:szCs w:val="18"/>
                <w:lang w:val="en-AU" w:eastAsia="en-US"/>
              </w:rPr>
            </w:pPr>
            <w:r w:rsidRPr="00A54649">
              <w:rPr>
                <w:b/>
                <w:sz w:val="18"/>
                <w:szCs w:val="18"/>
                <w:lang w:val="en-AU" w:eastAsia="en-US"/>
              </w:rPr>
              <w:t>Group 1</w:t>
            </w:r>
          </w:p>
        </w:tc>
        <w:tc>
          <w:tcPr>
            <w:tcW w:w="1134" w:type="dxa"/>
            <w:tcBorders>
              <w:bottom w:val="single" w:sz="8" w:space="0" w:color="000000"/>
              <w:right w:val="single" w:sz="8" w:space="0" w:color="000000"/>
            </w:tcBorders>
            <w:vAlign w:val="center"/>
          </w:tcPr>
          <w:p w14:paraId="059434DB" w14:textId="77777777" w:rsidR="005039EC" w:rsidRPr="00A54649" w:rsidRDefault="005039EC" w:rsidP="001D2563">
            <w:pPr>
              <w:spacing w:after="0"/>
              <w:jc w:val="center"/>
              <w:rPr>
                <w:b/>
                <w:sz w:val="18"/>
                <w:szCs w:val="18"/>
                <w:lang w:val="en-AU" w:eastAsia="en-US"/>
              </w:rPr>
            </w:pPr>
            <w:r w:rsidRPr="00A54649">
              <w:rPr>
                <w:b/>
                <w:sz w:val="18"/>
                <w:szCs w:val="18"/>
                <w:lang w:val="en-AU" w:eastAsia="en-US"/>
              </w:rPr>
              <w:t>Group 1</w:t>
            </w:r>
          </w:p>
        </w:tc>
        <w:tc>
          <w:tcPr>
            <w:tcW w:w="1134" w:type="dxa"/>
            <w:tcBorders>
              <w:top w:val="single" w:sz="8" w:space="0" w:color="000000"/>
              <w:bottom w:val="single" w:sz="8" w:space="0" w:color="000000"/>
              <w:right w:val="single" w:sz="8" w:space="0" w:color="000000"/>
            </w:tcBorders>
            <w:vAlign w:val="center"/>
          </w:tcPr>
          <w:p w14:paraId="772B2B3C" w14:textId="63E7EC71" w:rsidR="005039EC" w:rsidRPr="00A54649" w:rsidRDefault="005039EC" w:rsidP="001D2563">
            <w:pPr>
              <w:spacing w:after="0"/>
              <w:jc w:val="center"/>
              <w:rPr>
                <w:b/>
                <w:sz w:val="18"/>
                <w:szCs w:val="18"/>
                <w:lang w:val="en-AU" w:eastAsia="en-US"/>
              </w:rPr>
            </w:pPr>
            <w:r>
              <w:rPr>
                <w:b/>
                <w:sz w:val="18"/>
                <w:szCs w:val="18"/>
                <w:lang w:val="en-AU" w:eastAsia="en-US"/>
              </w:rPr>
              <w:t>Group 1</w:t>
            </w:r>
          </w:p>
        </w:tc>
        <w:tc>
          <w:tcPr>
            <w:tcW w:w="1134" w:type="dxa"/>
            <w:tcBorders>
              <w:top w:val="single" w:sz="8" w:space="0" w:color="000000"/>
              <w:left w:val="single" w:sz="8" w:space="0" w:color="000000"/>
              <w:bottom w:val="single" w:sz="8" w:space="0" w:color="000000"/>
              <w:right w:val="single" w:sz="8" w:space="0" w:color="000000"/>
            </w:tcBorders>
            <w:vAlign w:val="center"/>
          </w:tcPr>
          <w:p w14:paraId="7E180CA1" w14:textId="67DE860F" w:rsidR="005039EC" w:rsidRPr="00A54649" w:rsidRDefault="005039EC" w:rsidP="001D2563">
            <w:pPr>
              <w:spacing w:after="0"/>
              <w:jc w:val="center"/>
              <w:rPr>
                <w:b/>
                <w:sz w:val="18"/>
                <w:szCs w:val="18"/>
                <w:lang w:val="en-AU" w:eastAsia="en-US"/>
              </w:rPr>
            </w:pPr>
            <w:r>
              <w:rPr>
                <w:b/>
                <w:sz w:val="18"/>
                <w:szCs w:val="18"/>
                <w:lang w:val="en-AU" w:eastAsia="en-US"/>
              </w:rPr>
              <w:t>Group 2</w:t>
            </w:r>
          </w:p>
        </w:tc>
        <w:tc>
          <w:tcPr>
            <w:tcW w:w="1063" w:type="dxa"/>
            <w:tcBorders>
              <w:top w:val="single" w:sz="8" w:space="0" w:color="000000"/>
              <w:left w:val="single" w:sz="8" w:space="0" w:color="000000"/>
              <w:bottom w:val="single" w:sz="8" w:space="0" w:color="000000"/>
              <w:right w:val="single" w:sz="8" w:space="0" w:color="000000"/>
            </w:tcBorders>
            <w:vAlign w:val="center"/>
          </w:tcPr>
          <w:p w14:paraId="192367EB" w14:textId="77777777" w:rsidR="005039EC" w:rsidRPr="00A54649" w:rsidRDefault="005039EC" w:rsidP="001D2563">
            <w:pPr>
              <w:spacing w:after="0"/>
              <w:jc w:val="center"/>
              <w:rPr>
                <w:b/>
                <w:sz w:val="18"/>
                <w:szCs w:val="18"/>
                <w:lang w:val="en-AU" w:eastAsia="en-US"/>
              </w:rPr>
            </w:pPr>
          </w:p>
        </w:tc>
        <w:tc>
          <w:tcPr>
            <w:tcW w:w="1063" w:type="dxa"/>
            <w:tcBorders>
              <w:top w:val="single" w:sz="8" w:space="0" w:color="000000"/>
              <w:left w:val="single" w:sz="8" w:space="0" w:color="000000"/>
              <w:bottom w:val="single" w:sz="8" w:space="0" w:color="000000"/>
              <w:right w:val="single" w:sz="8" w:space="0" w:color="000000"/>
            </w:tcBorders>
            <w:vAlign w:val="center"/>
          </w:tcPr>
          <w:p w14:paraId="21BC66DD" w14:textId="62907A84" w:rsidR="005039EC" w:rsidRPr="00A54649" w:rsidRDefault="005039EC" w:rsidP="001D2563">
            <w:pPr>
              <w:spacing w:after="0"/>
              <w:jc w:val="center"/>
              <w:rPr>
                <w:b/>
                <w:sz w:val="18"/>
                <w:szCs w:val="18"/>
                <w:lang w:val="en-AU" w:eastAsia="en-US"/>
              </w:rPr>
            </w:pPr>
            <w:r>
              <w:rPr>
                <w:b/>
                <w:sz w:val="18"/>
                <w:szCs w:val="18"/>
                <w:lang w:val="en-AU" w:eastAsia="en-US"/>
              </w:rPr>
              <w:t>Group 1</w:t>
            </w:r>
          </w:p>
        </w:tc>
      </w:tr>
      <w:tr w:rsidR="00960ADF" w:rsidRPr="00A54649" w14:paraId="7FCD0AAF" w14:textId="77777777" w:rsidTr="008361B4">
        <w:tc>
          <w:tcPr>
            <w:tcW w:w="1725" w:type="dxa"/>
            <w:vMerge/>
            <w:tcBorders>
              <w:left w:val="single" w:sz="8" w:space="0" w:color="000000"/>
              <w:bottom w:val="single" w:sz="8" w:space="0" w:color="000000"/>
              <w:right w:val="single" w:sz="8" w:space="0" w:color="000000"/>
            </w:tcBorders>
            <w:vAlign w:val="center"/>
          </w:tcPr>
          <w:p w14:paraId="790BAB1C" w14:textId="77777777" w:rsidR="00960ADF" w:rsidRPr="00A54649" w:rsidRDefault="00960ADF" w:rsidP="00AD5E7E">
            <w:pPr>
              <w:rPr>
                <w:b/>
                <w:sz w:val="18"/>
                <w:szCs w:val="18"/>
                <w:lang w:val="en-AU" w:eastAsia="en-US"/>
              </w:rPr>
            </w:pPr>
          </w:p>
        </w:tc>
        <w:tc>
          <w:tcPr>
            <w:tcW w:w="1134" w:type="dxa"/>
            <w:tcBorders>
              <w:bottom w:val="single" w:sz="8" w:space="0" w:color="000000"/>
              <w:right w:val="single" w:sz="8" w:space="0" w:color="000000"/>
            </w:tcBorders>
            <w:vAlign w:val="center"/>
          </w:tcPr>
          <w:p w14:paraId="4FB03AE5" w14:textId="77777777" w:rsidR="00960ADF" w:rsidRPr="00A54649" w:rsidRDefault="00960ADF" w:rsidP="001D2563">
            <w:pPr>
              <w:spacing w:after="0"/>
              <w:jc w:val="center"/>
              <w:rPr>
                <w:b/>
                <w:sz w:val="18"/>
                <w:szCs w:val="18"/>
                <w:lang w:val="en-AU" w:eastAsia="en-US"/>
              </w:rPr>
            </w:pPr>
            <w:r w:rsidRPr="00A54649">
              <w:rPr>
                <w:b/>
                <w:sz w:val="18"/>
                <w:szCs w:val="18"/>
                <w:lang w:val="en-AU" w:eastAsia="en-US"/>
              </w:rPr>
              <w:t>Primary CFCs</w:t>
            </w:r>
          </w:p>
        </w:tc>
        <w:tc>
          <w:tcPr>
            <w:tcW w:w="1134" w:type="dxa"/>
            <w:tcBorders>
              <w:bottom w:val="single" w:sz="8" w:space="0" w:color="000000"/>
              <w:right w:val="single" w:sz="8" w:space="0" w:color="000000"/>
            </w:tcBorders>
            <w:vAlign w:val="center"/>
          </w:tcPr>
          <w:p w14:paraId="36D0486C" w14:textId="77777777" w:rsidR="00960ADF" w:rsidRPr="00A54649" w:rsidRDefault="00960ADF" w:rsidP="001D2563">
            <w:pPr>
              <w:spacing w:after="0"/>
              <w:jc w:val="center"/>
              <w:rPr>
                <w:b/>
                <w:sz w:val="18"/>
                <w:szCs w:val="18"/>
                <w:lang w:val="en-AU" w:eastAsia="en-US"/>
              </w:rPr>
            </w:pPr>
            <w:r w:rsidRPr="00A54649">
              <w:rPr>
                <w:b/>
                <w:sz w:val="18"/>
                <w:szCs w:val="18"/>
                <w:lang w:val="en-AU" w:eastAsia="en-US"/>
              </w:rPr>
              <w:t>Halons</w:t>
            </w:r>
          </w:p>
        </w:tc>
        <w:tc>
          <w:tcPr>
            <w:tcW w:w="1134" w:type="dxa"/>
            <w:tcBorders>
              <w:bottom w:val="single" w:sz="8" w:space="0" w:color="000000"/>
              <w:right w:val="single" w:sz="8" w:space="0" w:color="000000"/>
            </w:tcBorders>
            <w:vAlign w:val="center"/>
          </w:tcPr>
          <w:p w14:paraId="6F7719EB" w14:textId="77777777" w:rsidR="00960ADF" w:rsidRPr="00A54649" w:rsidRDefault="00960ADF" w:rsidP="001D2563">
            <w:pPr>
              <w:spacing w:after="0"/>
              <w:jc w:val="center"/>
              <w:rPr>
                <w:b/>
                <w:sz w:val="18"/>
                <w:szCs w:val="18"/>
                <w:lang w:val="en-AU" w:eastAsia="en-US"/>
              </w:rPr>
            </w:pPr>
            <w:r w:rsidRPr="00A54649">
              <w:rPr>
                <w:b/>
                <w:sz w:val="18"/>
                <w:szCs w:val="18"/>
                <w:lang w:val="en-AU" w:eastAsia="en-US"/>
              </w:rPr>
              <w:t>Other CFCs</w:t>
            </w:r>
          </w:p>
        </w:tc>
        <w:tc>
          <w:tcPr>
            <w:tcW w:w="1276" w:type="dxa"/>
            <w:tcBorders>
              <w:bottom w:val="single" w:sz="8" w:space="0" w:color="000000"/>
              <w:right w:val="single" w:sz="8" w:space="0" w:color="000000"/>
            </w:tcBorders>
            <w:vAlign w:val="center"/>
          </w:tcPr>
          <w:p w14:paraId="472A3F89" w14:textId="77777777" w:rsidR="00960ADF" w:rsidRPr="00A54649" w:rsidRDefault="00960ADF" w:rsidP="001D2563">
            <w:pPr>
              <w:spacing w:after="0"/>
              <w:jc w:val="center"/>
              <w:rPr>
                <w:b/>
                <w:sz w:val="18"/>
                <w:szCs w:val="18"/>
                <w:lang w:val="en-AU" w:eastAsia="en-US"/>
              </w:rPr>
            </w:pPr>
            <w:r w:rsidRPr="00A54649">
              <w:rPr>
                <w:b/>
                <w:sz w:val="18"/>
                <w:szCs w:val="18"/>
                <w:lang w:val="en-AU" w:eastAsia="en-US"/>
              </w:rPr>
              <w:t>Carbon Tetrachloride</w:t>
            </w:r>
          </w:p>
        </w:tc>
        <w:tc>
          <w:tcPr>
            <w:tcW w:w="1276" w:type="dxa"/>
            <w:tcBorders>
              <w:bottom w:val="single" w:sz="8" w:space="0" w:color="000000"/>
              <w:right w:val="single" w:sz="8" w:space="0" w:color="000000"/>
            </w:tcBorders>
            <w:vAlign w:val="center"/>
          </w:tcPr>
          <w:p w14:paraId="3AD44BA7" w14:textId="77777777" w:rsidR="00960ADF" w:rsidRPr="00A54649" w:rsidRDefault="00960ADF" w:rsidP="001D2563">
            <w:pPr>
              <w:spacing w:after="0"/>
              <w:jc w:val="center"/>
              <w:rPr>
                <w:b/>
                <w:sz w:val="18"/>
                <w:szCs w:val="18"/>
                <w:lang w:val="en-AU" w:eastAsia="en-US"/>
              </w:rPr>
            </w:pPr>
            <w:r w:rsidRPr="00A54649">
              <w:rPr>
                <w:b/>
                <w:sz w:val="18"/>
                <w:szCs w:val="18"/>
                <w:lang w:val="en-AU" w:eastAsia="en-US"/>
              </w:rPr>
              <w:t>Methyl Chloroform</w:t>
            </w:r>
          </w:p>
        </w:tc>
        <w:tc>
          <w:tcPr>
            <w:tcW w:w="1134" w:type="dxa"/>
            <w:tcBorders>
              <w:bottom w:val="single" w:sz="8" w:space="0" w:color="000000"/>
              <w:right w:val="single" w:sz="8" w:space="0" w:color="000000"/>
            </w:tcBorders>
            <w:vAlign w:val="center"/>
          </w:tcPr>
          <w:p w14:paraId="7D671A2F" w14:textId="77777777" w:rsidR="00960ADF" w:rsidRPr="00A54649" w:rsidRDefault="00960ADF" w:rsidP="001D2563">
            <w:pPr>
              <w:spacing w:after="0"/>
              <w:jc w:val="center"/>
              <w:rPr>
                <w:b/>
                <w:sz w:val="18"/>
                <w:szCs w:val="18"/>
                <w:lang w:val="en-AU" w:eastAsia="en-US"/>
              </w:rPr>
            </w:pPr>
            <w:r w:rsidRPr="00A54649">
              <w:rPr>
                <w:b/>
                <w:sz w:val="18"/>
                <w:szCs w:val="18"/>
                <w:lang w:val="en-AU" w:eastAsia="en-US"/>
              </w:rPr>
              <w:t>HCFCs</w:t>
            </w:r>
          </w:p>
        </w:tc>
        <w:tc>
          <w:tcPr>
            <w:tcW w:w="1134" w:type="dxa"/>
            <w:tcBorders>
              <w:bottom w:val="single" w:sz="8" w:space="0" w:color="000000"/>
              <w:right w:val="single" w:sz="8" w:space="0" w:color="000000"/>
            </w:tcBorders>
            <w:vAlign w:val="center"/>
          </w:tcPr>
          <w:p w14:paraId="77647914" w14:textId="77777777" w:rsidR="00960ADF" w:rsidRPr="00A54649" w:rsidRDefault="00960ADF" w:rsidP="001D2563">
            <w:pPr>
              <w:spacing w:after="0"/>
              <w:jc w:val="center"/>
              <w:rPr>
                <w:b/>
                <w:sz w:val="18"/>
                <w:szCs w:val="18"/>
                <w:lang w:val="en-AU" w:eastAsia="en-US"/>
              </w:rPr>
            </w:pPr>
            <w:r w:rsidRPr="00A54649">
              <w:rPr>
                <w:b/>
                <w:sz w:val="18"/>
                <w:szCs w:val="18"/>
                <w:lang w:val="en-AU" w:eastAsia="en-US"/>
              </w:rPr>
              <w:t>Methyl Bromide</w:t>
            </w:r>
          </w:p>
        </w:tc>
        <w:tc>
          <w:tcPr>
            <w:tcW w:w="1134" w:type="dxa"/>
            <w:tcBorders>
              <w:top w:val="single" w:sz="8" w:space="0" w:color="000000"/>
              <w:bottom w:val="single" w:sz="8" w:space="0" w:color="000000"/>
              <w:right w:val="single" w:sz="8" w:space="0" w:color="000000"/>
            </w:tcBorders>
            <w:vAlign w:val="center"/>
          </w:tcPr>
          <w:p w14:paraId="36D86369" w14:textId="0F0E5FF1" w:rsidR="00960ADF" w:rsidRPr="00A54649" w:rsidRDefault="00960ADF" w:rsidP="001D2563">
            <w:pPr>
              <w:spacing w:after="0"/>
              <w:jc w:val="center"/>
              <w:rPr>
                <w:b/>
                <w:sz w:val="18"/>
                <w:szCs w:val="18"/>
                <w:lang w:val="en-AU" w:eastAsia="en-US"/>
              </w:rPr>
            </w:pPr>
            <w:r>
              <w:rPr>
                <w:b/>
                <w:sz w:val="18"/>
                <w:szCs w:val="18"/>
                <w:lang w:val="en-AU" w:eastAsia="en-US"/>
              </w:rPr>
              <w:t>HFCs</w:t>
            </w:r>
          </w:p>
        </w:tc>
        <w:tc>
          <w:tcPr>
            <w:tcW w:w="1134" w:type="dxa"/>
            <w:tcBorders>
              <w:top w:val="single" w:sz="8" w:space="0" w:color="000000"/>
              <w:left w:val="single" w:sz="8" w:space="0" w:color="000000"/>
              <w:bottom w:val="single" w:sz="8" w:space="0" w:color="000000"/>
              <w:right w:val="single" w:sz="8" w:space="0" w:color="000000"/>
            </w:tcBorders>
            <w:vAlign w:val="center"/>
          </w:tcPr>
          <w:p w14:paraId="323AEBF1" w14:textId="7719E3F3" w:rsidR="00960ADF" w:rsidRPr="00A54649" w:rsidRDefault="00960ADF" w:rsidP="001D2563">
            <w:pPr>
              <w:spacing w:after="0"/>
              <w:jc w:val="center"/>
              <w:rPr>
                <w:b/>
                <w:sz w:val="18"/>
                <w:szCs w:val="18"/>
                <w:lang w:val="en-AU" w:eastAsia="en-US"/>
              </w:rPr>
            </w:pPr>
            <w:r>
              <w:rPr>
                <w:b/>
                <w:sz w:val="18"/>
                <w:szCs w:val="18"/>
                <w:lang w:val="en-AU" w:eastAsia="en-US"/>
              </w:rPr>
              <w:t>HFC-23</w:t>
            </w:r>
          </w:p>
        </w:tc>
        <w:tc>
          <w:tcPr>
            <w:tcW w:w="1063" w:type="dxa"/>
            <w:tcBorders>
              <w:top w:val="single" w:sz="8" w:space="0" w:color="000000"/>
              <w:left w:val="single" w:sz="8" w:space="0" w:color="000000"/>
              <w:bottom w:val="single" w:sz="8" w:space="0" w:color="000000"/>
              <w:right w:val="single" w:sz="8" w:space="0" w:color="000000"/>
            </w:tcBorders>
            <w:vAlign w:val="center"/>
          </w:tcPr>
          <w:p w14:paraId="53735A24" w14:textId="29223261" w:rsidR="00960ADF" w:rsidRPr="00A54649" w:rsidRDefault="00960ADF" w:rsidP="001D2563">
            <w:pPr>
              <w:spacing w:after="0"/>
              <w:jc w:val="center"/>
              <w:rPr>
                <w:b/>
                <w:sz w:val="18"/>
                <w:szCs w:val="18"/>
                <w:lang w:val="en-AU" w:eastAsia="en-US"/>
              </w:rPr>
            </w:pPr>
            <w:r>
              <w:rPr>
                <w:b/>
                <w:sz w:val="18"/>
                <w:szCs w:val="18"/>
                <w:lang w:val="en-AU" w:eastAsia="en-US"/>
              </w:rPr>
              <w:t>ODS</w:t>
            </w:r>
          </w:p>
        </w:tc>
        <w:tc>
          <w:tcPr>
            <w:tcW w:w="1063" w:type="dxa"/>
            <w:tcBorders>
              <w:top w:val="single" w:sz="8" w:space="0" w:color="000000"/>
              <w:left w:val="single" w:sz="8" w:space="0" w:color="000000"/>
              <w:bottom w:val="single" w:sz="8" w:space="0" w:color="000000"/>
              <w:right w:val="single" w:sz="8" w:space="0" w:color="000000"/>
            </w:tcBorders>
            <w:vAlign w:val="center"/>
          </w:tcPr>
          <w:p w14:paraId="6485E5C8" w14:textId="5F0CA0C6" w:rsidR="00960ADF" w:rsidRPr="00A54649" w:rsidRDefault="00960ADF" w:rsidP="001D2563">
            <w:pPr>
              <w:spacing w:after="0"/>
              <w:jc w:val="center"/>
              <w:rPr>
                <w:b/>
                <w:sz w:val="18"/>
                <w:szCs w:val="18"/>
                <w:lang w:val="en-AU" w:eastAsia="en-US"/>
              </w:rPr>
            </w:pPr>
            <w:r>
              <w:rPr>
                <w:b/>
                <w:sz w:val="18"/>
                <w:szCs w:val="18"/>
                <w:lang w:val="en-AU" w:eastAsia="en-US"/>
              </w:rPr>
              <w:t>HFC</w:t>
            </w:r>
            <w:r w:rsidR="005039EC">
              <w:rPr>
                <w:b/>
                <w:sz w:val="18"/>
                <w:szCs w:val="18"/>
                <w:lang w:val="en-AU" w:eastAsia="en-US"/>
              </w:rPr>
              <w:t>s</w:t>
            </w:r>
          </w:p>
        </w:tc>
      </w:tr>
      <w:tr w:rsidR="005039EC" w:rsidRPr="00A54649" w14:paraId="6BDF3064" w14:textId="77777777" w:rsidTr="008361B4">
        <w:tc>
          <w:tcPr>
            <w:tcW w:w="1725" w:type="dxa"/>
            <w:tcBorders>
              <w:left w:val="single" w:sz="8" w:space="0" w:color="000000"/>
              <w:bottom w:val="single" w:sz="8" w:space="0" w:color="000000"/>
              <w:right w:val="single" w:sz="8" w:space="0" w:color="000000"/>
            </w:tcBorders>
            <w:vAlign w:val="center"/>
          </w:tcPr>
          <w:p w14:paraId="781FE464" w14:textId="77777777" w:rsidR="005039EC" w:rsidRPr="00A54649" w:rsidRDefault="005039EC" w:rsidP="00AD5E7E">
            <w:pPr>
              <w:spacing w:after="0"/>
              <w:rPr>
                <w:b/>
                <w:sz w:val="18"/>
                <w:szCs w:val="18"/>
                <w:lang w:val="en-AU" w:eastAsia="en-US"/>
              </w:rPr>
            </w:pPr>
            <w:r w:rsidRPr="00A54649">
              <w:rPr>
                <w:b/>
                <w:sz w:val="18"/>
                <w:szCs w:val="18"/>
                <w:lang w:val="en-AU" w:eastAsia="en-US"/>
              </w:rPr>
              <w:t>DRE</w:t>
            </w:r>
            <w:r>
              <w:rPr>
                <w:b/>
                <w:sz w:val="18"/>
                <w:szCs w:val="18"/>
                <w:lang w:val="en-AU" w:eastAsia="en-US"/>
              </w:rPr>
              <w:t>*</w:t>
            </w:r>
          </w:p>
        </w:tc>
        <w:tc>
          <w:tcPr>
            <w:tcW w:w="1134" w:type="dxa"/>
            <w:tcBorders>
              <w:bottom w:val="single" w:sz="8" w:space="0" w:color="000000"/>
              <w:right w:val="single" w:sz="8" w:space="0" w:color="000000"/>
            </w:tcBorders>
            <w:vAlign w:val="center"/>
          </w:tcPr>
          <w:p w14:paraId="7A89C43D" w14:textId="77777777" w:rsidR="005039EC" w:rsidRPr="00A54649" w:rsidRDefault="005039EC" w:rsidP="001D2563">
            <w:pPr>
              <w:spacing w:after="0"/>
              <w:jc w:val="center"/>
              <w:rPr>
                <w:sz w:val="18"/>
                <w:szCs w:val="18"/>
                <w:lang w:val="en-AU" w:eastAsia="en-US"/>
              </w:rPr>
            </w:pPr>
            <w:r w:rsidRPr="00A54649">
              <w:rPr>
                <w:sz w:val="18"/>
                <w:szCs w:val="18"/>
                <w:lang w:val="en-AU" w:eastAsia="en-US"/>
              </w:rPr>
              <w:t>99.99%</w:t>
            </w:r>
          </w:p>
        </w:tc>
        <w:tc>
          <w:tcPr>
            <w:tcW w:w="1134" w:type="dxa"/>
            <w:tcBorders>
              <w:bottom w:val="single" w:sz="8" w:space="0" w:color="000000"/>
              <w:right w:val="single" w:sz="8" w:space="0" w:color="000000"/>
            </w:tcBorders>
            <w:vAlign w:val="center"/>
          </w:tcPr>
          <w:p w14:paraId="123A585E" w14:textId="77777777" w:rsidR="005039EC" w:rsidRPr="00A54649" w:rsidRDefault="005039EC" w:rsidP="001D2563">
            <w:pPr>
              <w:spacing w:after="0"/>
              <w:jc w:val="center"/>
              <w:rPr>
                <w:sz w:val="18"/>
                <w:szCs w:val="18"/>
                <w:lang w:val="en-AU" w:eastAsia="en-US"/>
              </w:rPr>
            </w:pPr>
            <w:r w:rsidRPr="00A54649">
              <w:rPr>
                <w:sz w:val="18"/>
                <w:szCs w:val="18"/>
                <w:lang w:val="en-AU" w:eastAsia="en-US"/>
              </w:rPr>
              <w:t>99.99%</w:t>
            </w:r>
          </w:p>
        </w:tc>
        <w:tc>
          <w:tcPr>
            <w:tcW w:w="1134" w:type="dxa"/>
            <w:tcBorders>
              <w:bottom w:val="single" w:sz="8" w:space="0" w:color="000000"/>
              <w:right w:val="single" w:sz="8" w:space="0" w:color="000000"/>
            </w:tcBorders>
            <w:vAlign w:val="center"/>
          </w:tcPr>
          <w:p w14:paraId="635CB988" w14:textId="77777777" w:rsidR="005039EC" w:rsidRPr="00A54649" w:rsidRDefault="005039EC" w:rsidP="001D2563">
            <w:pPr>
              <w:spacing w:after="0"/>
              <w:jc w:val="center"/>
              <w:rPr>
                <w:sz w:val="18"/>
                <w:szCs w:val="18"/>
                <w:lang w:val="en-AU" w:eastAsia="en-US"/>
              </w:rPr>
            </w:pPr>
            <w:r w:rsidRPr="00A54649">
              <w:rPr>
                <w:sz w:val="18"/>
                <w:szCs w:val="18"/>
                <w:lang w:val="en-AU" w:eastAsia="en-US"/>
              </w:rPr>
              <w:t>99.99%</w:t>
            </w:r>
          </w:p>
        </w:tc>
        <w:tc>
          <w:tcPr>
            <w:tcW w:w="1276" w:type="dxa"/>
            <w:tcBorders>
              <w:bottom w:val="single" w:sz="8" w:space="0" w:color="000000"/>
              <w:right w:val="single" w:sz="8" w:space="0" w:color="000000"/>
            </w:tcBorders>
            <w:vAlign w:val="center"/>
          </w:tcPr>
          <w:p w14:paraId="774676C3" w14:textId="77777777" w:rsidR="005039EC" w:rsidRPr="00A54649" w:rsidRDefault="005039EC" w:rsidP="001D2563">
            <w:pPr>
              <w:spacing w:after="0"/>
              <w:jc w:val="center"/>
              <w:rPr>
                <w:sz w:val="18"/>
                <w:szCs w:val="18"/>
                <w:lang w:val="en-AU" w:eastAsia="en-US"/>
              </w:rPr>
            </w:pPr>
            <w:r w:rsidRPr="00A54649">
              <w:rPr>
                <w:sz w:val="18"/>
                <w:szCs w:val="18"/>
                <w:lang w:val="en-AU" w:eastAsia="en-US"/>
              </w:rPr>
              <w:t>99.99%</w:t>
            </w:r>
          </w:p>
        </w:tc>
        <w:tc>
          <w:tcPr>
            <w:tcW w:w="1276" w:type="dxa"/>
            <w:tcBorders>
              <w:bottom w:val="single" w:sz="8" w:space="0" w:color="000000"/>
              <w:right w:val="single" w:sz="8" w:space="0" w:color="000000"/>
            </w:tcBorders>
            <w:vAlign w:val="center"/>
          </w:tcPr>
          <w:p w14:paraId="6547074E" w14:textId="77777777" w:rsidR="005039EC" w:rsidRPr="00A54649" w:rsidRDefault="005039EC" w:rsidP="001D2563">
            <w:pPr>
              <w:spacing w:after="0"/>
              <w:jc w:val="center"/>
              <w:rPr>
                <w:sz w:val="18"/>
                <w:szCs w:val="18"/>
                <w:lang w:val="en-AU" w:eastAsia="en-US"/>
              </w:rPr>
            </w:pPr>
            <w:r w:rsidRPr="00A54649">
              <w:rPr>
                <w:sz w:val="18"/>
                <w:szCs w:val="18"/>
                <w:lang w:val="en-AU" w:eastAsia="en-US"/>
              </w:rPr>
              <w:t>99.99%</w:t>
            </w:r>
          </w:p>
        </w:tc>
        <w:tc>
          <w:tcPr>
            <w:tcW w:w="1134" w:type="dxa"/>
            <w:tcBorders>
              <w:bottom w:val="single" w:sz="8" w:space="0" w:color="000000"/>
              <w:right w:val="single" w:sz="8" w:space="0" w:color="000000"/>
            </w:tcBorders>
            <w:vAlign w:val="center"/>
          </w:tcPr>
          <w:p w14:paraId="70F02DE6" w14:textId="77777777" w:rsidR="005039EC" w:rsidRPr="00A54649" w:rsidRDefault="005039EC" w:rsidP="001D2563">
            <w:pPr>
              <w:spacing w:after="0"/>
              <w:jc w:val="center"/>
              <w:rPr>
                <w:sz w:val="18"/>
                <w:szCs w:val="18"/>
                <w:lang w:val="en-AU" w:eastAsia="en-US"/>
              </w:rPr>
            </w:pPr>
            <w:r w:rsidRPr="00A54649">
              <w:rPr>
                <w:sz w:val="18"/>
                <w:szCs w:val="18"/>
                <w:lang w:val="en-AU" w:eastAsia="en-US"/>
              </w:rPr>
              <w:t>99.99%</w:t>
            </w:r>
          </w:p>
        </w:tc>
        <w:tc>
          <w:tcPr>
            <w:tcW w:w="1134" w:type="dxa"/>
            <w:tcBorders>
              <w:bottom w:val="single" w:sz="8" w:space="0" w:color="000000"/>
              <w:right w:val="single" w:sz="8" w:space="0" w:color="000000"/>
            </w:tcBorders>
            <w:vAlign w:val="center"/>
          </w:tcPr>
          <w:p w14:paraId="491DC657" w14:textId="77777777" w:rsidR="005039EC" w:rsidRPr="00A54649" w:rsidRDefault="005039EC" w:rsidP="001D2563">
            <w:pPr>
              <w:spacing w:after="0"/>
              <w:jc w:val="center"/>
              <w:rPr>
                <w:sz w:val="18"/>
                <w:szCs w:val="18"/>
                <w:lang w:val="en-AU" w:eastAsia="en-US"/>
              </w:rPr>
            </w:pPr>
            <w:r w:rsidRPr="00A54649">
              <w:rPr>
                <w:sz w:val="18"/>
                <w:szCs w:val="18"/>
                <w:lang w:val="en-AU" w:eastAsia="en-US"/>
              </w:rPr>
              <w:t>99.99%</w:t>
            </w:r>
          </w:p>
        </w:tc>
        <w:tc>
          <w:tcPr>
            <w:tcW w:w="1134" w:type="dxa"/>
            <w:tcBorders>
              <w:top w:val="single" w:sz="8" w:space="0" w:color="000000"/>
              <w:bottom w:val="single" w:sz="8" w:space="0" w:color="000000"/>
              <w:right w:val="single" w:sz="8" w:space="0" w:color="000000"/>
            </w:tcBorders>
            <w:vAlign w:val="center"/>
          </w:tcPr>
          <w:p w14:paraId="5FAF9CBA" w14:textId="2A9CFCE5" w:rsidR="005039EC" w:rsidRPr="00A54649" w:rsidRDefault="005039EC" w:rsidP="001D2563">
            <w:pPr>
              <w:spacing w:after="0"/>
              <w:jc w:val="center"/>
              <w:rPr>
                <w:sz w:val="18"/>
                <w:szCs w:val="18"/>
                <w:lang w:val="en-AU" w:eastAsia="en-US"/>
              </w:rPr>
            </w:pPr>
            <w:r>
              <w:rPr>
                <w:sz w:val="18"/>
                <w:szCs w:val="18"/>
                <w:lang w:val="en-AU" w:eastAsia="en-US"/>
              </w:rPr>
              <w:t>99.99%</w:t>
            </w:r>
          </w:p>
        </w:tc>
        <w:tc>
          <w:tcPr>
            <w:tcW w:w="1134" w:type="dxa"/>
            <w:tcBorders>
              <w:top w:val="single" w:sz="8" w:space="0" w:color="000000"/>
              <w:left w:val="single" w:sz="8" w:space="0" w:color="000000"/>
              <w:bottom w:val="single" w:sz="8" w:space="0" w:color="000000"/>
              <w:right w:val="single" w:sz="8" w:space="0" w:color="000000"/>
            </w:tcBorders>
            <w:vAlign w:val="center"/>
          </w:tcPr>
          <w:p w14:paraId="01183CA1" w14:textId="69504269" w:rsidR="005039EC" w:rsidRPr="00A54649" w:rsidRDefault="005039EC" w:rsidP="001D2563">
            <w:pPr>
              <w:spacing w:after="0"/>
              <w:jc w:val="center"/>
              <w:rPr>
                <w:sz w:val="18"/>
                <w:szCs w:val="18"/>
                <w:lang w:val="en-AU" w:eastAsia="en-US"/>
              </w:rPr>
            </w:pPr>
            <w:r>
              <w:rPr>
                <w:sz w:val="18"/>
                <w:szCs w:val="18"/>
                <w:lang w:val="en-AU" w:eastAsia="en-US"/>
              </w:rPr>
              <w:t>99.99%</w:t>
            </w:r>
          </w:p>
        </w:tc>
        <w:tc>
          <w:tcPr>
            <w:tcW w:w="1063" w:type="dxa"/>
            <w:tcBorders>
              <w:top w:val="single" w:sz="8" w:space="0" w:color="000000"/>
              <w:left w:val="single" w:sz="8" w:space="0" w:color="000000"/>
              <w:bottom w:val="single" w:sz="8" w:space="0" w:color="000000"/>
              <w:right w:val="single" w:sz="8" w:space="0" w:color="000000"/>
            </w:tcBorders>
            <w:vAlign w:val="center"/>
          </w:tcPr>
          <w:p w14:paraId="453FE4BC" w14:textId="77777777" w:rsidR="005039EC" w:rsidRPr="00A54649" w:rsidRDefault="005039EC" w:rsidP="001D2563">
            <w:pPr>
              <w:spacing w:after="0"/>
              <w:jc w:val="center"/>
              <w:rPr>
                <w:sz w:val="18"/>
                <w:szCs w:val="18"/>
                <w:lang w:val="en-AU" w:eastAsia="en-US"/>
              </w:rPr>
            </w:pPr>
            <w:r w:rsidRPr="00A54649">
              <w:rPr>
                <w:sz w:val="18"/>
                <w:szCs w:val="18"/>
                <w:lang w:val="en-AU" w:eastAsia="en-US"/>
              </w:rPr>
              <w:t>95%</w:t>
            </w:r>
          </w:p>
        </w:tc>
        <w:tc>
          <w:tcPr>
            <w:tcW w:w="1063" w:type="dxa"/>
            <w:tcBorders>
              <w:top w:val="single" w:sz="8" w:space="0" w:color="000000"/>
              <w:left w:val="single" w:sz="8" w:space="0" w:color="000000"/>
              <w:bottom w:val="single" w:sz="8" w:space="0" w:color="000000"/>
              <w:right w:val="single" w:sz="8" w:space="0" w:color="000000"/>
            </w:tcBorders>
            <w:vAlign w:val="center"/>
          </w:tcPr>
          <w:p w14:paraId="164EE621" w14:textId="7F0B253E" w:rsidR="005039EC" w:rsidRPr="00A54649" w:rsidRDefault="005039EC" w:rsidP="001D2563">
            <w:pPr>
              <w:spacing w:after="0"/>
              <w:jc w:val="center"/>
              <w:rPr>
                <w:sz w:val="18"/>
                <w:szCs w:val="18"/>
                <w:lang w:val="en-AU" w:eastAsia="en-US"/>
              </w:rPr>
            </w:pPr>
            <w:r>
              <w:rPr>
                <w:sz w:val="18"/>
                <w:szCs w:val="18"/>
                <w:lang w:val="en-AU" w:eastAsia="en-US"/>
              </w:rPr>
              <w:t>95%</w:t>
            </w:r>
          </w:p>
        </w:tc>
      </w:tr>
      <w:tr w:rsidR="005039EC" w:rsidRPr="00A54649" w14:paraId="232B1702" w14:textId="77777777" w:rsidTr="008361B4">
        <w:tc>
          <w:tcPr>
            <w:tcW w:w="1725" w:type="dxa"/>
            <w:tcBorders>
              <w:left w:val="single" w:sz="8" w:space="0" w:color="000000"/>
              <w:bottom w:val="single" w:sz="8" w:space="0" w:color="000000"/>
              <w:right w:val="single" w:sz="8" w:space="0" w:color="000000"/>
            </w:tcBorders>
            <w:vAlign w:val="center"/>
          </w:tcPr>
          <w:p w14:paraId="6C505334" w14:textId="77777777" w:rsidR="005039EC" w:rsidRPr="00A54649" w:rsidRDefault="005039EC" w:rsidP="00AD5E7E">
            <w:pPr>
              <w:spacing w:after="0"/>
              <w:rPr>
                <w:sz w:val="18"/>
                <w:szCs w:val="18"/>
                <w:lang w:val="en-AU" w:eastAsia="en-US"/>
              </w:rPr>
            </w:pPr>
            <w:r w:rsidRPr="00A54649">
              <w:rPr>
                <w:sz w:val="18"/>
                <w:szCs w:val="18"/>
                <w:lang w:val="en-AU" w:eastAsia="en-US"/>
              </w:rPr>
              <w:t>Cement Kilns</w:t>
            </w:r>
          </w:p>
        </w:tc>
        <w:tc>
          <w:tcPr>
            <w:tcW w:w="1134" w:type="dxa"/>
            <w:tcBorders>
              <w:bottom w:val="single" w:sz="8" w:space="0" w:color="000000"/>
              <w:right w:val="single" w:sz="8" w:space="0" w:color="000000"/>
            </w:tcBorders>
            <w:vAlign w:val="center"/>
          </w:tcPr>
          <w:p w14:paraId="6094DADD" w14:textId="77777777" w:rsidR="005039EC" w:rsidRPr="00D3008A" w:rsidRDefault="005039EC" w:rsidP="001D2563">
            <w:pPr>
              <w:spacing w:after="0"/>
              <w:jc w:val="center"/>
              <w:rPr>
                <w:color w:val="00B050"/>
                <w:sz w:val="18"/>
                <w:szCs w:val="18"/>
                <w:lang w:val="en-AU" w:eastAsia="en-US"/>
              </w:rPr>
            </w:pPr>
            <w:r w:rsidRPr="00D3008A">
              <w:rPr>
                <w:color w:val="00B050"/>
                <w:sz w:val="18"/>
                <w:szCs w:val="18"/>
                <w:lang w:val="en-AU" w:eastAsia="en-US"/>
              </w:rPr>
              <w:t>Approved</w:t>
            </w:r>
          </w:p>
        </w:tc>
        <w:tc>
          <w:tcPr>
            <w:tcW w:w="1134" w:type="dxa"/>
            <w:tcBorders>
              <w:bottom w:val="single" w:sz="8" w:space="0" w:color="000000"/>
              <w:right w:val="single" w:sz="8" w:space="0" w:color="000000"/>
            </w:tcBorders>
            <w:vAlign w:val="center"/>
          </w:tcPr>
          <w:p w14:paraId="499D3C8E" w14:textId="77777777" w:rsidR="005039EC" w:rsidRPr="00D3008A" w:rsidRDefault="005039EC" w:rsidP="001D2563">
            <w:pPr>
              <w:spacing w:after="0"/>
              <w:jc w:val="center"/>
              <w:rPr>
                <w:color w:val="00B050"/>
                <w:sz w:val="18"/>
                <w:szCs w:val="18"/>
                <w:lang w:val="en-AU" w:eastAsia="en-US"/>
              </w:rPr>
            </w:pPr>
            <w:r w:rsidRPr="00D3008A">
              <w:rPr>
                <w:color w:val="00B050"/>
                <w:sz w:val="18"/>
                <w:szCs w:val="18"/>
                <w:lang w:val="en-AU" w:eastAsia="en-US"/>
              </w:rPr>
              <w:t>Not Approved</w:t>
            </w:r>
          </w:p>
        </w:tc>
        <w:tc>
          <w:tcPr>
            <w:tcW w:w="1134" w:type="dxa"/>
            <w:tcBorders>
              <w:bottom w:val="single" w:sz="8" w:space="0" w:color="000000"/>
              <w:right w:val="single" w:sz="8" w:space="0" w:color="000000"/>
            </w:tcBorders>
            <w:vAlign w:val="center"/>
          </w:tcPr>
          <w:p w14:paraId="3028FF7C" w14:textId="77777777" w:rsidR="005039EC" w:rsidRPr="00D3008A" w:rsidRDefault="005039EC" w:rsidP="001D2563">
            <w:pPr>
              <w:spacing w:after="0"/>
              <w:jc w:val="center"/>
              <w:rPr>
                <w:color w:val="00B050"/>
                <w:sz w:val="18"/>
                <w:szCs w:val="18"/>
                <w:lang w:val="en-AU" w:eastAsia="en-US"/>
              </w:rPr>
            </w:pPr>
            <w:r w:rsidRPr="00D3008A">
              <w:rPr>
                <w:color w:val="00B050"/>
                <w:sz w:val="18"/>
                <w:szCs w:val="18"/>
                <w:lang w:val="en-AU" w:eastAsia="en-US"/>
              </w:rPr>
              <w:t>Approved</w:t>
            </w:r>
          </w:p>
        </w:tc>
        <w:tc>
          <w:tcPr>
            <w:tcW w:w="1276" w:type="dxa"/>
            <w:tcBorders>
              <w:bottom w:val="single" w:sz="8" w:space="0" w:color="000000"/>
              <w:right w:val="single" w:sz="8" w:space="0" w:color="000000"/>
            </w:tcBorders>
            <w:vAlign w:val="center"/>
          </w:tcPr>
          <w:p w14:paraId="2FDE011A" w14:textId="77777777" w:rsidR="005039EC" w:rsidRPr="00D3008A" w:rsidRDefault="005039EC" w:rsidP="001D2563">
            <w:pPr>
              <w:spacing w:after="0"/>
              <w:jc w:val="center"/>
              <w:rPr>
                <w:color w:val="00B050"/>
                <w:sz w:val="18"/>
                <w:szCs w:val="18"/>
                <w:lang w:val="en-AU" w:eastAsia="en-US"/>
              </w:rPr>
            </w:pPr>
            <w:r w:rsidRPr="00D3008A">
              <w:rPr>
                <w:color w:val="00B050"/>
                <w:sz w:val="18"/>
                <w:szCs w:val="18"/>
                <w:lang w:val="en-AU" w:eastAsia="en-US"/>
              </w:rPr>
              <w:t>Approved</w:t>
            </w:r>
          </w:p>
        </w:tc>
        <w:tc>
          <w:tcPr>
            <w:tcW w:w="1276" w:type="dxa"/>
            <w:tcBorders>
              <w:bottom w:val="single" w:sz="8" w:space="0" w:color="000000"/>
              <w:right w:val="single" w:sz="8" w:space="0" w:color="000000"/>
            </w:tcBorders>
            <w:vAlign w:val="center"/>
          </w:tcPr>
          <w:p w14:paraId="72DD201A" w14:textId="77777777" w:rsidR="005039EC" w:rsidRPr="00D3008A" w:rsidRDefault="005039EC" w:rsidP="001D2563">
            <w:pPr>
              <w:spacing w:after="0"/>
              <w:jc w:val="center"/>
              <w:rPr>
                <w:color w:val="00B050"/>
                <w:sz w:val="18"/>
                <w:szCs w:val="18"/>
                <w:lang w:val="en-AU" w:eastAsia="en-US"/>
              </w:rPr>
            </w:pPr>
            <w:r w:rsidRPr="00D3008A">
              <w:rPr>
                <w:color w:val="00B050"/>
                <w:sz w:val="18"/>
                <w:szCs w:val="18"/>
                <w:lang w:val="en-AU" w:eastAsia="en-US"/>
              </w:rPr>
              <w:t>Approved</w:t>
            </w:r>
          </w:p>
        </w:tc>
        <w:tc>
          <w:tcPr>
            <w:tcW w:w="1134" w:type="dxa"/>
            <w:tcBorders>
              <w:bottom w:val="single" w:sz="8" w:space="0" w:color="000000"/>
              <w:right w:val="single" w:sz="8" w:space="0" w:color="000000"/>
            </w:tcBorders>
            <w:vAlign w:val="center"/>
          </w:tcPr>
          <w:p w14:paraId="28258799" w14:textId="77777777" w:rsidR="005039EC" w:rsidRPr="00D3008A" w:rsidRDefault="005039EC" w:rsidP="001D2563">
            <w:pPr>
              <w:spacing w:after="0"/>
              <w:jc w:val="center"/>
              <w:rPr>
                <w:color w:val="00B050"/>
                <w:sz w:val="18"/>
                <w:szCs w:val="18"/>
                <w:lang w:val="en-AU" w:eastAsia="en-US"/>
              </w:rPr>
            </w:pPr>
            <w:r w:rsidRPr="00D3008A">
              <w:rPr>
                <w:color w:val="00B050"/>
                <w:sz w:val="18"/>
                <w:szCs w:val="18"/>
                <w:lang w:val="en-AU" w:eastAsia="en-US"/>
              </w:rPr>
              <w:t>Approved</w:t>
            </w:r>
          </w:p>
        </w:tc>
        <w:tc>
          <w:tcPr>
            <w:tcW w:w="1134" w:type="dxa"/>
            <w:tcBorders>
              <w:bottom w:val="single" w:sz="8" w:space="0" w:color="000000"/>
              <w:right w:val="single" w:sz="8" w:space="0" w:color="000000"/>
            </w:tcBorders>
            <w:vAlign w:val="center"/>
          </w:tcPr>
          <w:p w14:paraId="42CFBFB0" w14:textId="77777777" w:rsidR="005039EC" w:rsidRPr="00D3008A" w:rsidRDefault="005039EC" w:rsidP="001D2563">
            <w:pPr>
              <w:spacing w:after="0"/>
              <w:jc w:val="center"/>
              <w:rPr>
                <w:color w:val="00B050"/>
                <w:sz w:val="18"/>
                <w:szCs w:val="18"/>
                <w:lang w:val="en-AU" w:eastAsia="en-US"/>
              </w:rPr>
            </w:pPr>
            <w:r w:rsidRPr="00D3008A">
              <w:rPr>
                <w:color w:val="00B050"/>
                <w:sz w:val="18"/>
                <w:szCs w:val="18"/>
                <w:lang w:val="en-AU" w:eastAsia="en-US"/>
              </w:rPr>
              <w:t>Not Determined</w:t>
            </w:r>
          </w:p>
        </w:tc>
        <w:tc>
          <w:tcPr>
            <w:tcW w:w="1134" w:type="dxa"/>
            <w:tcBorders>
              <w:top w:val="single" w:sz="8" w:space="0" w:color="000000"/>
              <w:bottom w:val="single" w:sz="8" w:space="0" w:color="000000"/>
              <w:right w:val="single" w:sz="8" w:space="0" w:color="000000"/>
            </w:tcBorders>
            <w:shd w:val="solid" w:color="F2DBDB" w:themeColor="accent2" w:themeTint="33" w:fill="F2DBDB" w:themeFill="accent2" w:themeFillTint="33"/>
            <w:vAlign w:val="center"/>
          </w:tcPr>
          <w:p w14:paraId="3292FA7A" w14:textId="00DD13BD" w:rsidR="005039EC" w:rsidRPr="00A54649" w:rsidRDefault="005039EC" w:rsidP="001D2563">
            <w:pPr>
              <w:spacing w:after="0"/>
              <w:jc w:val="center"/>
              <w:rPr>
                <w:sz w:val="18"/>
                <w:szCs w:val="18"/>
                <w:lang w:val="en-AU" w:eastAsia="en-US"/>
              </w:rPr>
            </w:pPr>
            <w:r w:rsidRPr="0098413B">
              <w:rPr>
                <w:color w:val="FF0000"/>
                <w:sz w:val="18"/>
                <w:szCs w:val="18"/>
                <w:lang w:val="en-AU" w:eastAsia="en-US"/>
              </w:rPr>
              <w:t>High Potential</w:t>
            </w:r>
          </w:p>
        </w:tc>
        <w:tc>
          <w:tcPr>
            <w:tcW w:w="1134" w:type="dxa"/>
            <w:tcBorders>
              <w:top w:val="single" w:sz="8" w:space="0" w:color="000000"/>
              <w:left w:val="single" w:sz="8" w:space="0" w:color="000000"/>
              <w:bottom w:val="single" w:sz="8" w:space="0" w:color="000000"/>
              <w:right w:val="single" w:sz="8" w:space="0" w:color="000000"/>
            </w:tcBorders>
            <w:shd w:val="solid" w:color="F2DBDB" w:themeColor="accent2" w:themeTint="33" w:fill="F2DBDB" w:themeFill="accent2" w:themeFillTint="33"/>
            <w:vAlign w:val="center"/>
          </w:tcPr>
          <w:p w14:paraId="75653F50" w14:textId="2024F8A7" w:rsidR="005039EC" w:rsidRPr="00A54649" w:rsidRDefault="005039EC" w:rsidP="001D2563">
            <w:pPr>
              <w:spacing w:after="0"/>
              <w:jc w:val="center"/>
              <w:rPr>
                <w:sz w:val="18"/>
                <w:szCs w:val="18"/>
                <w:lang w:val="en-AU" w:eastAsia="en-US"/>
              </w:rPr>
            </w:pPr>
            <w:r w:rsidRPr="00D05E5C">
              <w:rPr>
                <w:color w:val="FF0000"/>
                <w:sz w:val="18"/>
                <w:szCs w:val="18"/>
                <w:lang w:val="en-AU" w:eastAsia="en-US"/>
              </w:rPr>
              <w:t>High Potential</w:t>
            </w:r>
          </w:p>
        </w:tc>
        <w:tc>
          <w:tcPr>
            <w:tcW w:w="1063" w:type="dxa"/>
            <w:tcBorders>
              <w:top w:val="single" w:sz="8" w:space="0" w:color="000000"/>
              <w:left w:val="single" w:sz="8" w:space="0" w:color="000000"/>
              <w:bottom w:val="single" w:sz="8" w:space="0" w:color="000000"/>
              <w:right w:val="single" w:sz="8" w:space="0" w:color="000000"/>
            </w:tcBorders>
            <w:vAlign w:val="center"/>
          </w:tcPr>
          <w:p w14:paraId="5D44F1DC" w14:textId="77777777" w:rsidR="005039EC" w:rsidRPr="00A54649" w:rsidRDefault="005039EC" w:rsidP="001D2563">
            <w:pPr>
              <w:spacing w:after="0"/>
              <w:jc w:val="center"/>
              <w:rPr>
                <w:sz w:val="18"/>
                <w:szCs w:val="18"/>
                <w:lang w:val="en-AU" w:eastAsia="en-US"/>
              </w:rPr>
            </w:pPr>
          </w:p>
        </w:tc>
        <w:tc>
          <w:tcPr>
            <w:tcW w:w="1063" w:type="dxa"/>
            <w:tcBorders>
              <w:top w:val="single" w:sz="8" w:space="0" w:color="000000"/>
              <w:left w:val="single" w:sz="8" w:space="0" w:color="000000"/>
              <w:bottom w:val="single" w:sz="8" w:space="0" w:color="000000"/>
              <w:right w:val="single" w:sz="8" w:space="0" w:color="000000"/>
            </w:tcBorders>
            <w:vAlign w:val="center"/>
          </w:tcPr>
          <w:p w14:paraId="36F9AB3D" w14:textId="12EE5BD0" w:rsidR="005039EC" w:rsidRPr="00A54649" w:rsidRDefault="005039EC" w:rsidP="001D2563">
            <w:pPr>
              <w:spacing w:after="0"/>
              <w:jc w:val="center"/>
              <w:rPr>
                <w:sz w:val="18"/>
                <w:szCs w:val="18"/>
                <w:lang w:val="en-AU" w:eastAsia="en-US"/>
              </w:rPr>
            </w:pPr>
          </w:p>
        </w:tc>
      </w:tr>
      <w:tr w:rsidR="005039EC" w:rsidRPr="00A54649" w14:paraId="2DCD5F59" w14:textId="77777777" w:rsidTr="008361B4">
        <w:tc>
          <w:tcPr>
            <w:tcW w:w="1725" w:type="dxa"/>
            <w:tcBorders>
              <w:left w:val="single" w:sz="8" w:space="0" w:color="000000"/>
              <w:bottom w:val="single" w:sz="8" w:space="0" w:color="000000"/>
              <w:right w:val="single" w:sz="8" w:space="0" w:color="000000"/>
            </w:tcBorders>
            <w:vAlign w:val="center"/>
          </w:tcPr>
          <w:p w14:paraId="471E6505" w14:textId="77777777" w:rsidR="005039EC" w:rsidRPr="00A54649" w:rsidRDefault="005039EC" w:rsidP="00AD5E7E">
            <w:pPr>
              <w:spacing w:after="0"/>
              <w:rPr>
                <w:sz w:val="18"/>
                <w:szCs w:val="18"/>
                <w:lang w:val="en-AU" w:eastAsia="en-US"/>
              </w:rPr>
            </w:pPr>
            <w:r w:rsidRPr="00A54649">
              <w:rPr>
                <w:sz w:val="18"/>
                <w:szCs w:val="18"/>
                <w:lang w:val="en-AU" w:eastAsia="en-US"/>
              </w:rPr>
              <w:t>Gaseous/Fume Oxidation</w:t>
            </w:r>
          </w:p>
        </w:tc>
        <w:tc>
          <w:tcPr>
            <w:tcW w:w="1134" w:type="dxa"/>
            <w:tcBorders>
              <w:bottom w:val="single" w:sz="8" w:space="0" w:color="000000"/>
              <w:right w:val="single" w:sz="8" w:space="0" w:color="000000"/>
            </w:tcBorders>
            <w:vAlign w:val="center"/>
          </w:tcPr>
          <w:p w14:paraId="74163A9E" w14:textId="77777777" w:rsidR="005039EC" w:rsidRPr="00D3008A" w:rsidRDefault="005039EC" w:rsidP="001D2563">
            <w:pPr>
              <w:spacing w:after="0"/>
              <w:jc w:val="center"/>
              <w:rPr>
                <w:color w:val="00B050"/>
                <w:sz w:val="18"/>
                <w:szCs w:val="18"/>
                <w:lang w:val="en-AU" w:eastAsia="en-US"/>
              </w:rPr>
            </w:pPr>
            <w:r w:rsidRPr="00D3008A">
              <w:rPr>
                <w:color w:val="00B050"/>
                <w:sz w:val="18"/>
                <w:szCs w:val="18"/>
                <w:lang w:val="en-AU" w:eastAsia="en-US"/>
              </w:rPr>
              <w:t>Approved</w:t>
            </w:r>
          </w:p>
        </w:tc>
        <w:tc>
          <w:tcPr>
            <w:tcW w:w="1134" w:type="dxa"/>
            <w:tcBorders>
              <w:bottom w:val="single" w:sz="8" w:space="0" w:color="000000"/>
              <w:right w:val="single" w:sz="8" w:space="0" w:color="000000"/>
            </w:tcBorders>
            <w:vAlign w:val="center"/>
          </w:tcPr>
          <w:p w14:paraId="13D3BC62" w14:textId="77777777" w:rsidR="005039EC" w:rsidRPr="00D3008A" w:rsidRDefault="005039EC" w:rsidP="001D2563">
            <w:pPr>
              <w:spacing w:after="0"/>
              <w:jc w:val="center"/>
              <w:rPr>
                <w:color w:val="00B050"/>
                <w:sz w:val="18"/>
                <w:szCs w:val="18"/>
                <w:lang w:val="en-AU" w:eastAsia="en-US"/>
              </w:rPr>
            </w:pPr>
            <w:r w:rsidRPr="00D3008A">
              <w:rPr>
                <w:color w:val="00B050"/>
                <w:sz w:val="18"/>
                <w:szCs w:val="18"/>
                <w:lang w:val="en-AU" w:eastAsia="en-US"/>
              </w:rPr>
              <w:t>Not Determined</w:t>
            </w:r>
          </w:p>
        </w:tc>
        <w:tc>
          <w:tcPr>
            <w:tcW w:w="1134" w:type="dxa"/>
            <w:tcBorders>
              <w:bottom w:val="single" w:sz="8" w:space="0" w:color="000000"/>
              <w:right w:val="single" w:sz="8" w:space="0" w:color="000000"/>
            </w:tcBorders>
            <w:vAlign w:val="center"/>
          </w:tcPr>
          <w:p w14:paraId="3CEEAE2E" w14:textId="77777777" w:rsidR="005039EC" w:rsidRPr="00D3008A" w:rsidRDefault="005039EC" w:rsidP="001D2563">
            <w:pPr>
              <w:spacing w:after="0"/>
              <w:jc w:val="center"/>
              <w:rPr>
                <w:color w:val="00B050"/>
                <w:sz w:val="18"/>
                <w:szCs w:val="18"/>
                <w:lang w:val="en-AU" w:eastAsia="en-US"/>
              </w:rPr>
            </w:pPr>
            <w:r w:rsidRPr="00D3008A">
              <w:rPr>
                <w:color w:val="00B050"/>
                <w:sz w:val="18"/>
                <w:szCs w:val="18"/>
                <w:lang w:val="en-AU" w:eastAsia="en-US"/>
              </w:rPr>
              <w:t>Approved</w:t>
            </w:r>
          </w:p>
        </w:tc>
        <w:tc>
          <w:tcPr>
            <w:tcW w:w="1276" w:type="dxa"/>
            <w:tcBorders>
              <w:bottom w:val="single" w:sz="8" w:space="0" w:color="000000"/>
              <w:right w:val="single" w:sz="8" w:space="0" w:color="000000"/>
            </w:tcBorders>
            <w:vAlign w:val="center"/>
          </w:tcPr>
          <w:p w14:paraId="2B9CE57E" w14:textId="77777777" w:rsidR="005039EC" w:rsidRPr="00D3008A" w:rsidRDefault="005039EC" w:rsidP="001D2563">
            <w:pPr>
              <w:spacing w:after="0"/>
              <w:jc w:val="center"/>
              <w:rPr>
                <w:color w:val="00B050"/>
                <w:sz w:val="18"/>
                <w:szCs w:val="18"/>
                <w:lang w:val="en-AU" w:eastAsia="en-US"/>
              </w:rPr>
            </w:pPr>
            <w:r w:rsidRPr="00D3008A">
              <w:rPr>
                <w:color w:val="00B050"/>
                <w:sz w:val="18"/>
                <w:szCs w:val="18"/>
                <w:lang w:val="en-AU" w:eastAsia="en-US"/>
              </w:rPr>
              <w:t>Approved</w:t>
            </w:r>
          </w:p>
        </w:tc>
        <w:tc>
          <w:tcPr>
            <w:tcW w:w="1276" w:type="dxa"/>
            <w:tcBorders>
              <w:bottom w:val="single" w:sz="8" w:space="0" w:color="000000"/>
              <w:right w:val="single" w:sz="8" w:space="0" w:color="000000"/>
            </w:tcBorders>
            <w:vAlign w:val="center"/>
          </w:tcPr>
          <w:p w14:paraId="3D1CD0E4" w14:textId="77777777" w:rsidR="005039EC" w:rsidRPr="00D3008A" w:rsidRDefault="005039EC" w:rsidP="001D2563">
            <w:pPr>
              <w:spacing w:after="0"/>
              <w:jc w:val="center"/>
              <w:rPr>
                <w:color w:val="00B050"/>
                <w:sz w:val="18"/>
                <w:szCs w:val="18"/>
                <w:lang w:val="en-AU" w:eastAsia="en-US"/>
              </w:rPr>
            </w:pPr>
            <w:r w:rsidRPr="00D3008A">
              <w:rPr>
                <w:color w:val="00B050"/>
                <w:sz w:val="18"/>
                <w:szCs w:val="18"/>
                <w:lang w:val="en-AU" w:eastAsia="en-US"/>
              </w:rPr>
              <w:t>Approved</w:t>
            </w:r>
          </w:p>
        </w:tc>
        <w:tc>
          <w:tcPr>
            <w:tcW w:w="1134" w:type="dxa"/>
            <w:tcBorders>
              <w:bottom w:val="single" w:sz="8" w:space="0" w:color="000000"/>
              <w:right w:val="single" w:sz="8" w:space="0" w:color="000000"/>
            </w:tcBorders>
            <w:vAlign w:val="center"/>
          </w:tcPr>
          <w:p w14:paraId="1586848F" w14:textId="77777777" w:rsidR="005039EC" w:rsidRPr="00D3008A" w:rsidRDefault="005039EC" w:rsidP="001D2563">
            <w:pPr>
              <w:spacing w:after="0"/>
              <w:jc w:val="center"/>
              <w:rPr>
                <w:color w:val="00B050"/>
                <w:sz w:val="18"/>
                <w:szCs w:val="18"/>
                <w:lang w:val="en-AU" w:eastAsia="en-US"/>
              </w:rPr>
            </w:pPr>
            <w:r w:rsidRPr="00D3008A">
              <w:rPr>
                <w:color w:val="00B050"/>
                <w:sz w:val="18"/>
                <w:szCs w:val="18"/>
                <w:lang w:val="en-AU" w:eastAsia="en-US"/>
              </w:rPr>
              <w:t>Approved</w:t>
            </w:r>
          </w:p>
        </w:tc>
        <w:tc>
          <w:tcPr>
            <w:tcW w:w="1134" w:type="dxa"/>
            <w:tcBorders>
              <w:bottom w:val="single" w:sz="8" w:space="0" w:color="000000"/>
              <w:right w:val="single" w:sz="8" w:space="0" w:color="000000"/>
            </w:tcBorders>
            <w:vAlign w:val="center"/>
          </w:tcPr>
          <w:p w14:paraId="64983199" w14:textId="77777777" w:rsidR="005039EC" w:rsidRPr="00D3008A" w:rsidRDefault="005039EC" w:rsidP="001D2563">
            <w:pPr>
              <w:spacing w:after="0"/>
              <w:jc w:val="center"/>
              <w:rPr>
                <w:color w:val="00B050"/>
                <w:sz w:val="18"/>
                <w:szCs w:val="18"/>
                <w:lang w:val="en-AU" w:eastAsia="en-US"/>
              </w:rPr>
            </w:pPr>
            <w:r w:rsidRPr="00D3008A">
              <w:rPr>
                <w:color w:val="00B050"/>
                <w:sz w:val="18"/>
                <w:szCs w:val="18"/>
                <w:lang w:val="en-AU" w:eastAsia="en-US"/>
              </w:rPr>
              <w:t>Not Determined</w:t>
            </w:r>
          </w:p>
        </w:tc>
        <w:tc>
          <w:tcPr>
            <w:tcW w:w="1134" w:type="dxa"/>
            <w:tcBorders>
              <w:top w:val="single" w:sz="8" w:space="0" w:color="000000"/>
              <w:bottom w:val="single" w:sz="8" w:space="0" w:color="000000"/>
              <w:right w:val="single" w:sz="8" w:space="0" w:color="000000"/>
            </w:tcBorders>
            <w:shd w:val="solid" w:color="F2DBDB" w:themeColor="accent2" w:themeTint="33" w:fill="F2DBDB" w:themeFill="accent2" w:themeFillTint="33"/>
            <w:vAlign w:val="center"/>
          </w:tcPr>
          <w:p w14:paraId="51472780" w14:textId="3C7749EE" w:rsidR="005039EC" w:rsidRPr="00A54649" w:rsidRDefault="005039EC" w:rsidP="001D2563">
            <w:pPr>
              <w:spacing w:after="0"/>
              <w:jc w:val="center"/>
              <w:rPr>
                <w:sz w:val="18"/>
                <w:szCs w:val="18"/>
                <w:lang w:val="en-AU" w:eastAsia="en-US"/>
              </w:rPr>
            </w:pPr>
            <w:r w:rsidRPr="0098413B">
              <w:rPr>
                <w:color w:val="FF0000"/>
                <w:sz w:val="18"/>
                <w:szCs w:val="18"/>
                <w:lang w:val="en-AU" w:eastAsia="en-US"/>
              </w:rPr>
              <w:t>Recommend for Approval</w:t>
            </w:r>
          </w:p>
        </w:tc>
        <w:tc>
          <w:tcPr>
            <w:tcW w:w="1134" w:type="dxa"/>
            <w:tcBorders>
              <w:top w:val="single" w:sz="8" w:space="0" w:color="000000"/>
              <w:left w:val="single" w:sz="8" w:space="0" w:color="000000"/>
              <w:bottom w:val="single" w:sz="8" w:space="0" w:color="000000"/>
              <w:right w:val="single" w:sz="8" w:space="0" w:color="000000"/>
            </w:tcBorders>
            <w:shd w:val="solid" w:color="F2DBDB" w:themeColor="accent2" w:themeTint="33" w:fill="F2DBDB" w:themeFill="accent2" w:themeFillTint="33"/>
            <w:vAlign w:val="center"/>
          </w:tcPr>
          <w:p w14:paraId="128E5706" w14:textId="6CB5AA04" w:rsidR="005039EC" w:rsidRPr="00A54649" w:rsidRDefault="005039EC" w:rsidP="001D2563">
            <w:pPr>
              <w:spacing w:after="0"/>
              <w:jc w:val="center"/>
              <w:rPr>
                <w:sz w:val="18"/>
                <w:szCs w:val="18"/>
                <w:lang w:val="en-AU" w:eastAsia="en-US"/>
              </w:rPr>
            </w:pPr>
            <w:r w:rsidRPr="00D05E5C">
              <w:rPr>
                <w:color w:val="FF0000"/>
                <w:sz w:val="18"/>
                <w:szCs w:val="18"/>
                <w:lang w:val="en-AU" w:eastAsia="en-US"/>
              </w:rPr>
              <w:t>Recommend for Approval</w:t>
            </w:r>
          </w:p>
        </w:tc>
        <w:tc>
          <w:tcPr>
            <w:tcW w:w="1063" w:type="dxa"/>
            <w:tcBorders>
              <w:top w:val="single" w:sz="8" w:space="0" w:color="000000"/>
              <w:left w:val="single" w:sz="8" w:space="0" w:color="000000"/>
              <w:bottom w:val="single" w:sz="8" w:space="0" w:color="000000"/>
              <w:right w:val="single" w:sz="8" w:space="0" w:color="000000"/>
            </w:tcBorders>
            <w:vAlign w:val="center"/>
          </w:tcPr>
          <w:p w14:paraId="00D64A70" w14:textId="77777777" w:rsidR="005039EC" w:rsidRPr="00A54649" w:rsidRDefault="005039EC" w:rsidP="001D2563">
            <w:pPr>
              <w:spacing w:after="0"/>
              <w:jc w:val="center"/>
              <w:rPr>
                <w:sz w:val="18"/>
                <w:szCs w:val="18"/>
                <w:lang w:val="en-AU" w:eastAsia="en-US"/>
              </w:rPr>
            </w:pPr>
          </w:p>
        </w:tc>
        <w:tc>
          <w:tcPr>
            <w:tcW w:w="1063" w:type="dxa"/>
            <w:tcBorders>
              <w:top w:val="single" w:sz="8" w:space="0" w:color="000000"/>
              <w:left w:val="single" w:sz="8" w:space="0" w:color="000000"/>
              <w:bottom w:val="single" w:sz="8" w:space="0" w:color="000000"/>
              <w:right w:val="single" w:sz="8" w:space="0" w:color="000000"/>
            </w:tcBorders>
            <w:vAlign w:val="center"/>
          </w:tcPr>
          <w:p w14:paraId="3DB397A5" w14:textId="2131715A" w:rsidR="005039EC" w:rsidRPr="00A54649" w:rsidRDefault="005039EC" w:rsidP="001D2563">
            <w:pPr>
              <w:spacing w:after="0"/>
              <w:jc w:val="center"/>
              <w:rPr>
                <w:sz w:val="18"/>
                <w:szCs w:val="18"/>
                <w:lang w:val="en-AU" w:eastAsia="en-US"/>
              </w:rPr>
            </w:pPr>
          </w:p>
        </w:tc>
      </w:tr>
      <w:tr w:rsidR="005039EC" w:rsidRPr="00A54649" w14:paraId="4B0EADB2" w14:textId="77777777" w:rsidTr="008361B4">
        <w:tc>
          <w:tcPr>
            <w:tcW w:w="1725" w:type="dxa"/>
            <w:tcBorders>
              <w:left w:val="single" w:sz="8" w:space="0" w:color="000000"/>
              <w:bottom w:val="single" w:sz="8" w:space="0" w:color="000000"/>
              <w:right w:val="single" w:sz="8" w:space="0" w:color="000000"/>
            </w:tcBorders>
            <w:vAlign w:val="center"/>
          </w:tcPr>
          <w:p w14:paraId="3ACF9AF8" w14:textId="77777777" w:rsidR="005039EC" w:rsidRPr="00A54649" w:rsidRDefault="005039EC" w:rsidP="00AD5E7E">
            <w:pPr>
              <w:spacing w:after="0"/>
              <w:rPr>
                <w:sz w:val="18"/>
                <w:szCs w:val="18"/>
                <w:lang w:val="en-AU" w:eastAsia="en-US"/>
              </w:rPr>
            </w:pPr>
            <w:r w:rsidRPr="00A54649">
              <w:rPr>
                <w:sz w:val="18"/>
                <w:szCs w:val="18"/>
                <w:lang w:val="en-AU" w:eastAsia="en-US"/>
              </w:rPr>
              <w:t>Liquid Injection Incineration</w:t>
            </w:r>
          </w:p>
        </w:tc>
        <w:tc>
          <w:tcPr>
            <w:tcW w:w="1134" w:type="dxa"/>
            <w:tcBorders>
              <w:bottom w:val="single" w:sz="8" w:space="0" w:color="000000"/>
              <w:right w:val="single" w:sz="8" w:space="0" w:color="000000"/>
            </w:tcBorders>
            <w:vAlign w:val="center"/>
          </w:tcPr>
          <w:p w14:paraId="4978FA6E" w14:textId="77777777" w:rsidR="005039EC" w:rsidRPr="00D3008A" w:rsidRDefault="005039EC" w:rsidP="001D2563">
            <w:pPr>
              <w:spacing w:after="0"/>
              <w:jc w:val="center"/>
              <w:rPr>
                <w:color w:val="00B050"/>
                <w:sz w:val="18"/>
                <w:szCs w:val="18"/>
                <w:lang w:val="en-AU" w:eastAsia="en-US"/>
              </w:rPr>
            </w:pPr>
            <w:r w:rsidRPr="00D3008A">
              <w:rPr>
                <w:color w:val="00B050"/>
                <w:sz w:val="18"/>
                <w:szCs w:val="18"/>
                <w:lang w:val="en-AU" w:eastAsia="en-US"/>
              </w:rPr>
              <w:t>Approved</w:t>
            </w:r>
          </w:p>
        </w:tc>
        <w:tc>
          <w:tcPr>
            <w:tcW w:w="1134" w:type="dxa"/>
            <w:tcBorders>
              <w:bottom w:val="single" w:sz="8" w:space="0" w:color="000000"/>
              <w:right w:val="single" w:sz="8" w:space="0" w:color="000000"/>
            </w:tcBorders>
            <w:vAlign w:val="center"/>
          </w:tcPr>
          <w:p w14:paraId="412C1BBD" w14:textId="77777777" w:rsidR="005039EC" w:rsidRPr="00D3008A" w:rsidRDefault="005039EC" w:rsidP="001D2563">
            <w:pPr>
              <w:spacing w:after="0"/>
              <w:jc w:val="center"/>
              <w:rPr>
                <w:color w:val="00B050"/>
                <w:sz w:val="18"/>
                <w:szCs w:val="18"/>
                <w:lang w:val="en-AU" w:eastAsia="en-US"/>
              </w:rPr>
            </w:pPr>
            <w:r w:rsidRPr="00D3008A">
              <w:rPr>
                <w:color w:val="00B050"/>
                <w:sz w:val="18"/>
                <w:szCs w:val="18"/>
                <w:lang w:val="en-AU" w:eastAsia="en-US"/>
              </w:rPr>
              <w:t>Approved</w:t>
            </w:r>
          </w:p>
        </w:tc>
        <w:tc>
          <w:tcPr>
            <w:tcW w:w="1134" w:type="dxa"/>
            <w:tcBorders>
              <w:bottom w:val="single" w:sz="8" w:space="0" w:color="000000"/>
              <w:right w:val="single" w:sz="8" w:space="0" w:color="000000"/>
            </w:tcBorders>
            <w:vAlign w:val="center"/>
          </w:tcPr>
          <w:p w14:paraId="5430E9F7" w14:textId="77777777" w:rsidR="005039EC" w:rsidRPr="00D3008A" w:rsidRDefault="005039EC" w:rsidP="001D2563">
            <w:pPr>
              <w:spacing w:after="0"/>
              <w:jc w:val="center"/>
              <w:rPr>
                <w:color w:val="00B050"/>
                <w:sz w:val="18"/>
                <w:szCs w:val="18"/>
                <w:lang w:val="en-AU" w:eastAsia="en-US"/>
              </w:rPr>
            </w:pPr>
            <w:r w:rsidRPr="00D3008A">
              <w:rPr>
                <w:color w:val="00B050"/>
                <w:sz w:val="18"/>
                <w:szCs w:val="18"/>
                <w:lang w:val="en-AU" w:eastAsia="en-US"/>
              </w:rPr>
              <w:t>Approved</w:t>
            </w:r>
          </w:p>
        </w:tc>
        <w:tc>
          <w:tcPr>
            <w:tcW w:w="1276" w:type="dxa"/>
            <w:tcBorders>
              <w:bottom w:val="single" w:sz="8" w:space="0" w:color="000000"/>
              <w:right w:val="single" w:sz="8" w:space="0" w:color="000000"/>
            </w:tcBorders>
            <w:vAlign w:val="center"/>
          </w:tcPr>
          <w:p w14:paraId="738C8D6E" w14:textId="77777777" w:rsidR="005039EC" w:rsidRPr="00D3008A" w:rsidRDefault="005039EC" w:rsidP="001D2563">
            <w:pPr>
              <w:spacing w:after="0"/>
              <w:jc w:val="center"/>
              <w:rPr>
                <w:color w:val="00B050"/>
                <w:sz w:val="18"/>
                <w:szCs w:val="18"/>
                <w:lang w:val="en-AU" w:eastAsia="en-US"/>
              </w:rPr>
            </w:pPr>
            <w:r w:rsidRPr="00D3008A">
              <w:rPr>
                <w:color w:val="00B050"/>
                <w:sz w:val="18"/>
                <w:szCs w:val="18"/>
                <w:lang w:val="en-AU" w:eastAsia="en-US"/>
              </w:rPr>
              <w:t>Approved</w:t>
            </w:r>
          </w:p>
        </w:tc>
        <w:tc>
          <w:tcPr>
            <w:tcW w:w="1276" w:type="dxa"/>
            <w:tcBorders>
              <w:bottom w:val="single" w:sz="8" w:space="0" w:color="000000"/>
              <w:right w:val="single" w:sz="8" w:space="0" w:color="000000"/>
            </w:tcBorders>
            <w:vAlign w:val="center"/>
          </w:tcPr>
          <w:p w14:paraId="721AB9F5" w14:textId="77777777" w:rsidR="005039EC" w:rsidRPr="00D3008A" w:rsidRDefault="005039EC" w:rsidP="001D2563">
            <w:pPr>
              <w:spacing w:after="0"/>
              <w:jc w:val="center"/>
              <w:rPr>
                <w:color w:val="00B050"/>
                <w:sz w:val="18"/>
                <w:szCs w:val="18"/>
                <w:lang w:val="en-AU" w:eastAsia="en-US"/>
              </w:rPr>
            </w:pPr>
            <w:r w:rsidRPr="00D3008A">
              <w:rPr>
                <w:color w:val="00B050"/>
                <w:sz w:val="18"/>
                <w:szCs w:val="18"/>
                <w:lang w:val="en-AU" w:eastAsia="en-US"/>
              </w:rPr>
              <w:t>Approved</w:t>
            </w:r>
          </w:p>
        </w:tc>
        <w:tc>
          <w:tcPr>
            <w:tcW w:w="1134" w:type="dxa"/>
            <w:tcBorders>
              <w:bottom w:val="single" w:sz="8" w:space="0" w:color="000000"/>
              <w:right w:val="single" w:sz="8" w:space="0" w:color="000000"/>
            </w:tcBorders>
            <w:vAlign w:val="center"/>
          </w:tcPr>
          <w:p w14:paraId="065CD5BB" w14:textId="77777777" w:rsidR="005039EC" w:rsidRPr="00D3008A" w:rsidRDefault="005039EC" w:rsidP="001D2563">
            <w:pPr>
              <w:spacing w:after="0"/>
              <w:jc w:val="center"/>
              <w:rPr>
                <w:color w:val="00B050"/>
                <w:sz w:val="18"/>
                <w:szCs w:val="18"/>
                <w:lang w:val="en-AU" w:eastAsia="en-US"/>
              </w:rPr>
            </w:pPr>
            <w:r w:rsidRPr="00D3008A">
              <w:rPr>
                <w:color w:val="00B050"/>
                <w:sz w:val="18"/>
                <w:szCs w:val="18"/>
                <w:lang w:val="en-AU" w:eastAsia="en-US"/>
              </w:rPr>
              <w:t>Approved</w:t>
            </w:r>
          </w:p>
        </w:tc>
        <w:tc>
          <w:tcPr>
            <w:tcW w:w="1134" w:type="dxa"/>
            <w:tcBorders>
              <w:bottom w:val="single" w:sz="8" w:space="0" w:color="000000"/>
              <w:right w:val="single" w:sz="8" w:space="0" w:color="000000"/>
            </w:tcBorders>
            <w:vAlign w:val="center"/>
          </w:tcPr>
          <w:p w14:paraId="328025CD" w14:textId="77777777" w:rsidR="005039EC" w:rsidRPr="00D3008A" w:rsidRDefault="005039EC" w:rsidP="001D2563">
            <w:pPr>
              <w:spacing w:after="0"/>
              <w:jc w:val="center"/>
              <w:rPr>
                <w:color w:val="00B050"/>
                <w:sz w:val="18"/>
                <w:szCs w:val="18"/>
                <w:lang w:val="en-AU" w:eastAsia="en-US"/>
              </w:rPr>
            </w:pPr>
            <w:r w:rsidRPr="00D3008A">
              <w:rPr>
                <w:color w:val="00B050"/>
                <w:sz w:val="18"/>
                <w:szCs w:val="18"/>
                <w:lang w:val="en-AU" w:eastAsia="en-US"/>
              </w:rPr>
              <w:t>Not Determined</w:t>
            </w:r>
          </w:p>
        </w:tc>
        <w:tc>
          <w:tcPr>
            <w:tcW w:w="1134" w:type="dxa"/>
            <w:tcBorders>
              <w:top w:val="single" w:sz="8" w:space="0" w:color="000000"/>
              <w:bottom w:val="single" w:sz="8" w:space="0" w:color="000000"/>
              <w:right w:val="single" w:sz="8" w:space="0" w:color="000000"/>
            </w:tcBorders>
            <w:shd w:val="solid" w:color="F2DBDB" w:themeColor="accent2" w:themeTint="33" w:fill="F2DBDB" w:themeFill="accent2" w:themeFillTint="33"/>
            <w:vAlign w:val="center"/>
          </w:tcPr>
          <w:p w14:paraId="2708B420" w14:textId="49E2A66F" w:rsidR="005039EC" w:rsidRPr="00A54649" w:rsidRDefault="005039EC" w:rsidP="001D2563">
            <w:pPr>
              <w:spacing w:after="0"/>
              <w:jc w:val="center"/>
              <w:rPr>
                <w:sz w:val="18"/>
                <w:szCs w:val="18"/>
                <w:lang w:val="en-AU" w:eastAsia="en-US"/>
              </w:rPr>
            </w:pPr>
            <w:r w:rsidRPr="00D05E5C">
              <w:rPr>
                <w:color w:val="FF0000"/>
                <w:sz w:val="18"/>
                <w:szCs w:val="18"/>
                <w:lang w:val="en-AU" w:eastAsia="en-US"/>
              </w:rPr>
              <w:t>High Potential</w:t>
            </w:r>
            <w:r w:rsidRPr="00D05E5C" w:rsidDel="008F1045">
              <w:rPr>
                <w:color w:val="FF0000"/>
                <w:sz w:val="18"/>
                <w:szCs w:val="18"/>
                <w:lang w:val="en-AU" w:eastAsia="en-US"/>
              </w:rPr>
              <w:t xml:space="preserve"> </w:t>
            </w:r>
          </w:p>
        </w:tc>
        <w:tc>
          <w:tcPr>
            <w:tcW w:w="1134" w:type="dxa"/>
            <w:tcBorders>
              <w:top w:val="single" w:sz="8" w:space="0" w:color="000000"/>
              <w:left w:val="single" w:sz="8" w:space="0" w:color="000000"/>
              <w:bottom w:val="single" w:sz="8" w:space="0" w:color="000000"/>
              <w:right w:val="single" w:sz="8" w:space="0" w:color="000000"/>
            </w:tcBorders>
            <w:shd w:val="solid" w:color="F2DBDB" w:themeColor="accent2" w:themeTint="33" w:fill="F2DBDB" w:themeFill="accent2" w:themeFillTint="33"/>
            <w:vAlign w:val="center"/>
          </w:tcPr>
          <w:p w14:paraId="0847DA7D" w14:textId="6158829E" w:rsidR="005039EC" w:rsidRPr="00A54649" w:rsidRDefault="005039EC" w:rsidP="001D2563">
            <w:pPr>
              <w:spacing w:after="0"/>
              <w:jc w:val="center"/>
              <w:rPr>
                <w:sz w:val="18"/>
                <w:szCs w:val="18"/>
                <w:lang w:val="en-AU" w:eastAsia="en-US"/>
              </w:rPr>
            </w:pPr>
            <w:r w:rsidRPr="00D05E5C">
              <w:rPr>
                <w:color w:val="FF0000"/>
                <w:sz w:val="18"/>
                <w:szCs w:val="18"/>
                <w:lang w:val="en-AU" w:eastAsia="en-US"/>
              </w:rPr>
              <w:t>High Potential</w:t>
            </w:r>
          </w:p>
        </w:tc>
        <w:tc>
          <w:tcPr>
            <w:tcW w:w="1063" w:type="dxa"/>
            <w:tcBorders>
              <w:top w:val="single" w:sz="8" w:space="0" w:color="000000"/>
              <w:left w:val="single" w:sz="8" w:space="0" w:color="000000"/>
              <w:bottom w:val="single" w:sz="8" w:space="0" w:color="000000"/>
              <w:right w:val="single" w:sz="8" w:space="0" w:color="000000"/>
            </w:tcBorders>
            <w:vAlign w:val="center"/>
          </w:tcPr>
          <w:p w14:paraId="602AED36" w14:textId="77777777" w:rsidR="005039EC" w:rsidRPr="00A54649" w:rsidRDefault="005039EC" w:rsidP="001D2563">
            <w:pPr>
              <w:spacing w:after="0"/>
              <w:jc w:val="center"/>
              <w:rPr>
                <w:sz w:val="18"/>
                <w:szCs w:val="18"/>
                <w:lang w:val="en-AU" w:eastAsia="en-US"/>
              </w:rPr>
            </w:pPr>
          </w:p>
        </w:tc>
        <w:tc>
          <w:tcPr>
            <w:tcW w:w="1063" w:type="dxa"/>
            <w:tcBorders>
              <w:top w:val="single" w:sz="8" w:space="0" w:color="000000"/>
              <w:left w:val="single" w:sz="8" w:space="0" w:color="000000"/>
              <w:bottom w:val="single" w:sz="8" w:space="0" w:color="000000"/>
              <w:right w:val="single" w:sz="8" w:space="0" w:color="000000"/>
            </w:tcBorders>
            <w:vAlign w:val="center"/>
          </w:tcPr>
          <w:p w14:paraId="7936EC28" w14:textId="20B879F2" w:rsidR="005039EC" w:rsidRPr="00A54649" w:rsidRDefault="005039EC" w:rsidP="001D2563">
            <w:pPr>
              <w:spacing w:after="0"/>
              <w:jc w:val="center"/>
              <w:rPr>
                <w:sz w:val="18"/>
                <w:szCs w:val="18"/>
                <w:lang w:val="en-AU" w:eastAsia="en-US"/>
              </w:rPr>
            </w:pPr>
          </w:p>
        </w:tc>
      </w:tr>
      <w:tr w:rsidR="005039EC" w:rsidRPr="00A54649" w14:paraId="51CCED30" w14:textId="77777777" w:rsidTr="005039EC">
        <w:tc>
          <w:tcPr>
            <w:tcW w:w="1725" w:type="dxa"/>
            <w:tcBorders>
              <w:left w:val="single" w:sz="8" w:space="0" w:color="000000"/>
              <w:bottom w:val="single" w:sz="8" w:space="0" w:color="000000"/>
              <w:right w:val="single" w:sz="8" w:space="0" w:color="000000"/>
            </w:tcBorders>
            <w:vAlign w:val="center"/>
          </w:tcPr>
          <w:p w14:paraId="0D2A668D" w14:textId="77777777" w:rsidR="005039EC" w:rsidRPr="00A54649" w:rsidRDefault="005039EC" w:rsidP="00AD5E7E">
            <w:pPr>
              <w:spacing w:after="0"/>
              <w:rPr>
                <w:sz w:val="18"/>
                <w:szCs w:val="18"/>
                <w:lang w:val="en-AU" w:eastAsia="en-US"/>
              </w:rPr>
            </w:pPr>
            <w:r w:rsidRPr="00A54649">
              <w:rPr>
                <w:sz w:val="18"/>
                <w:szCs w:val="18"/>
                <w:lang w:val="en-AU" w:eastAsia="en-US"/>
              </w:rPr>
              <w:t>Municipal Solid Waste Incineration</w:t>
            </w:r>
          </w:p>
        </w:tc>
        <w:tc>
          <w:tcPr>
            <w:tcW w:w="1134" w:type="dxa"/>
            <w:tcBorders>
              <w:bottom w:val="single" w:sz="8" w:space="0" w:color="000000"/>
              <w:right w:val="single" w:sz="8" w:space="0" w:color="000000"/>
            </w:tcBorders>
            <w:vAlign w:val="center"/>
          </w:tcPr>
          <w:p w14:paraId="2EACDD61" w14:textId="77777777" w:rsidR="005039EC" w:rsidRPr="00D3008A" w:rsidRDefault="005039EC" w:rsidP="001D2563">
            <w:pPr>
              <w:spacing w:after="0"/>
              <w:jc w:val="center"/>
              <w:rPr>
                <w:color w:val="00B050"/>
                <w:sz w:val="18"/>
                <w:szCs w:val="18"/>
                <w:lang w:val="en-AU" w:eastAsia="en-US"/>
              </w:rPr>
            </w:pPr>
          </w:p>
        </w:tc>
        <w:tc>
          <w:tcPr>
            <w:tcW w:w="1134" w:type="dxa"/>
            <w:tcBorders>
              <w:bottom w:val="single" w:sz="8" w:space="0" w:color="000000"/>
              <w:right w:val="single" w:sz="8" w:space="0" w:color="000000"/>
            </w:tcBorders>
            <w:vAlign w:val="center"/>
          </w:tcPr>
          <w:p w14:paraId="38B5A7E2" w14:textId="77777777" w:rsidR="005039EC" w:rsidRPr="00D3008A" w:rsidRDefault="005039EC" w:rsidP="001D2563">
            <w:pPr>
              <w:spacing w:after="0"/>
              <w:jc w:val="center"/>
              <w:rPr>
                <w:color w:val="00B050"/>
                <w:sz w:val="18"/>
                <w:szCs w:val="18"/>
                <w:lang w:val="en-AU" w:eastAsia="en-US"/>
              </w:rPr>
            </w:pPr>
          </w:p>
        </w:tc>
        <w:tc>
          <w:tcPr>
            <w:tcW w:w="1134" w:type="dxa"/>
            <w:tcBorders>
              <w:bottom w:val="single" w:sz="8" w:space="0" w:color="000000"/>
              <w:right w:val="single" w:sz="8" w:space="0" w:color="000000"/>
            </w:tcBorders>
            <w:vAlign w:val="center"/>
          </w:tcPr>
          <w:p w14:paraId="2BF6542E" w14:textId="77777777" w:rsidR="005039EC" w:rsidRPr="00D3008A" w:rsidRDefault="005039EC" w:rsidP="001D2563">
            <w:pPr>
              <w:spacing w:after="0"/>
              <w:jc w:val="center"/>
              <w:rPr>
                <w:color w:val="00B050"/>
                <w:sz w:val="18"/>
                <w:szCs w:val="18"/>
                <w:lang w:val="en-AU" w:eastAsia="en-US"/>
              </w:rPr>
            </w:pPr>
          </w:p>
        </w:tc>
        <w:tc>
          <w:tcPr>
            <w:tcW w:w="1276" w:type="dxa"/>
            <w:tcBorders>
              <w:bottom w:val="single" w:sz="8" w:space="0" w:color="000000"/>
              <w:right w:val="single" w:sz="8" w:space="0" w:color="000000"/>
            </w:tcBorders>
            <w:vAlign w:val="center"/>
          </w:tcPr>
          <w:p w14:paraId="240842B4" w14:textId="77777777" w:rsidR="005039EC" w:rsidRPr="00D3008A" w:rsidRDefault="005039EC" w:rsidP="001D2563">
            <w:pPr>
              <w:spacing w:after="0"/>
              <w:jc w:val="center"/>
              <w:rPr>
                <w:color w:val="00B050"/>
                <w:sz w:val="18"/>
                <w:szCs w:val="18"/>
                <w:lang w:val="en-AU" w:eastAsia="en-US"/>
              </w:rPr>
            </w:pPr>
          </w:p>
        </w:tc>
        <w:tc>
          <w:tcPr>
            <w:tcW w:w="1276" w:type="dxa"/>
            <w:tcBorders>
              <w:bottom w:val="single" w:sz="8" w:space="0" w:color="000000"/>
              <w:right w:val="single" w:sz="8" w:space="0" w:color="000000"/>
            </w:tcBorders>
            <w:vAlign w:val="center"/>
          </w:tcPr>
          <w:p w14:paraId="6BF3ACA2" w14:textId="77777777" w:rsidR="005039EC" w:rsidRPr="00D3008A" w:rsidRDefault="005039EC" w:rsidP="001D2563">
            <w:pPr>
              <w:spacing w:after="0"/>
              <w:jc w:val="center"/>
              <w:rPr>
                <w:color w:val="00B050"/>
                <w:sz w:val="18"/>
                <w:szCs w:val="18"/>
                <w:lang w:val="en-AU" w:eastAsia="en-US"/>
              </w:rPr>
            </w:pPr>
          </w:p>
        </w:tc>
        <w:tc>
          <w:tcPr>
            <w:tcW w:w="1134" w:type="dxa"/>
            <w:tcBorders>
              <w:bottom w:val="single" w:sz="8" w:space="0" w:color="000000"/>
              <w:right w:val="single" w:sz="8" w:space="0" w:color="000000"/>
            </w:tcBorders>
            <w:vAlign w:val="center"/>
          </w:tcPr>
          <w:p w14:paraId="7E32BA5C" w14:textId="77777777" w:rsidR="005039EC" w:rsidRPr="00D3008A" w:rsidRDefault="005039EC" w:rsidP="001D2563">
            <w:pPr>
              <w:spacing w:after="0"/>
              <w:jc w:val="center"/>
              <w:rPr>
                <w:color w:val="00B050"/>
                <w:sz w:val="18"/>
                <w:szCs w:val="18"/>
                <w:lang w:val="en-AU" w:eastAsia="en-US"/>
              </w:rPr>
            </w:pPr>
          </w:p>
        </w:tc>
        <w:tc>
          <w:tcPr>
            <w:tcW w:w="1134" w:type="dxa"/>
            <w:tcBorders>
              <w:bottom w:val="single" w:sz="8" w:space="0" w:color="000000"/>
              <w:right w:val="single" w:sz="8" w:space="0" w:color="000000"/>
            </w:tcBorders>
            <w:vAlign w:val="center"/>
          </w:tcPr>
          <w:p w14:paraId="7B2450D5" w14:textId="77777777" w:rsidR="005039EC" w:rsidRPr="00D3008A" w:rsidRDefault="005039EC" w:rsidP="001D2563">
            <w:pPr>
              <w:spacing w:after="0"/>
              <w:jc w:val="center"/>
              <w:rPr>
                <w:color w:val="00B050"/>
                <w:sz w:val="18"/>
                <w:szCs w:val="18"/>
                <w:lang w:val="en-AU" w:eastAsia="en-US"/>
              </w:rPr>
            </w:pPr>
          </w:p>
        </w:tc>
        <w:tc>
          <w:tcPr>
            <w:tcW w:w="1134" w:type="dxa"/>
            <w:tcBorders>
              <w:top w:val="single" w:sz="8" w:space="0" w:color="000000"/>
              <w:bottom w:val="single" w:sz="8" w:space="0" w:color="000000"/>
              <w:right w:val="single" w:sz="8" w:space="0" w:color="000000"/>
            </w:tcBorders>
            <w:vAlign w:val="center"/>
          </w:tcPr>
          <w:p w14:paraId="6CAAF851" w14:textId="77777777" w:rsidR="005039EC" w:rsidRPr="00A54649" w:rsidRDefault="005039EC" w:rsidP="001D2563">
            <w:pPr>
              <w:spacing w:after="0"/>
              <w:jc w:val="center"/>
              <w:rPr>
                <w:sz w:val="18"/>
                <w:szCs w:val="18"/>
                <w:lang w:val="en-AU" w:eastAsia="en-US"/>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4FE2D1D0" w14:textId="77777777" w:rsidR="005039EC" w:rsidRPr="00A54649" w:rsidRDefault="005039EC" w:rsidP="001D2563">
            <w:pPr>
              <w:spacing w:after="0"/>
              <w:jc w:val="center"/>
              <w:rPr>
                <w:sz w:val="18"/>
                <w:szCs w:val="18"/>
                <w:lang w:val="en-AU" w:eastAsia="en-US"/>
              </w:rPr>
            </w:pPr>
          </w:p>
        </w:tc>
        <w:tc>
          <w:tcPr>
            <w:tcW w:w="106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1255F6B" w14:textId="77777777" w:rsidR="005039EC" w:rsidRDefault="005039EC" w:rsidP="001D2563">
            <w:pPr>
              <w:spacing w:after="0"/>
              <w:jc w:val="center"/>
              <w:rPr>
                <w:color w:val="00B050"/>
                <w:sz w:val="18"/>
                <w:szCs w:val="18"/>
                <w:lang w:val="en-AU" w:eastAsia="en-US"/>
              </w:rPr>
            </w:pPr>
            <w:r w:rsidRPr="00D3008A">
              <w:rPr>
                <w:color w:val="00B050"/>
                <w:sz w:val="18"/>
                <w:szCs w:val="18"/>
                <w:lang w:val="en-AU" w:eastAsia="en-US"/>
              </w:rPr>
              <w:t>Approved</w:t>
            </w:r>
          </w:p>
        </w:tc>
        <w:tc>
          <w:tcPr>
            <w:tcW w:w="1063" w:type="dxa"/>
            <w:tcBorders>
              <w:top w:val="single" w:sz="8" w:space="0" w:color="000000"/>
              <w:left w:val="single" w:sz="8" w:space="0" w:color="000000"/>
              <w:bottom w:val="single" w:sz="8" w:space="0" w:color="000000"/>
              <w:right w:val="single" w:sz="8" w:space="0" w:color="000000"/>
            </w:tcBorders>
            <w:shd w:val="solid" w:color="F2DBDB" w:themeColor="accent2" w:themeTint="33" w:fill="F2DBDB" w:themeFill="accent2" w:themeFillTint="33"/>
            <w:vAlign w:val="center"/>
          </w:tcPr>
          <w:p w14:paraId="3B3DED7F" w14:textId="3481F1E4" w:rsidR="005039EC" w:rsidRPr="00A54649" w:rsidRDefault="005039EC" w:rsidP="001D2563">
            <w:pPr>
              <w:spacing w:after="0"/>
              <w:jc w:val="center"/>
              <w:rPr>
                <w:sz w:val="18"/>
                <w:szCs w:val="18"/>
                <w:lang w:val="en-AU" w:eastAsia="en-US"/>
              </w:rPr>
            </w:pPr>
            <w:r>
              <w:rPr>
                <w:color w:val="FF0000"/>
                <w:sz w:val="18"/>
                <w:szCs w:val="18"/>
                <w:lang w:val="en-AU" w:eastAsia="en-US"/>
              </w:rPr>
              <w:t>High Potential</w:t>
            </w:r>
            <w:r w:rsidRPr="0098413B">
              <w:rPr>
                <w:color w:val="FF0000"/>
                <w:sz w:val="18"/>
                <w:szCs w:val="18"/>
                <w:lang w:val="en-AU" w:eastAsia="en-US"/>
              </w:rPr>
              <w:t xml:space="preserve"> </w:t>
            </w:r>
          </w:p>
        </w:tc>
      </w:tr>
      <w:tr w:rsidR="005039EC" w:rsidRPr="00A54649" w14:paraId="09799040" w14:textId="77777777" w:rsidTr="008361B4">
        <w:trPr>
          <w:trHeight w:val="697"/>
        </w:trPr>
        <w:tc>
          <w:tcPr>
            <w:tcW w:w="1725" w:type="dxa"/>
            <w:tcBorders>
              <w:left w:val="single" w:sz="8" w:space="0" w:color="000000"/>
              <w:bottom w:val="single" w:sz="8" w:space="0" w:color="000000"/>
              <w:right w:val="single" w:sz="8" w:space="0" w:color="000000"/>
            </w:tcBorders>
            <w:vAlign w:val="center"/>
          </w:tcPr>
          <w:p w14:paraId="3DB4324A" w14:textId="77777777" w:rsidR="005039EC" w:rsidRPr="00A54649" w:rsidRDefault="005039EC" w:rsidP="006642C3">
            <w:pPr>
              <w:spacing w:after="0"/>
              <w:rPr>
                <w:sz w:val="18"/>
                <w:szCs w:val="18"/>
                <w:lang w:val="en-AU" w:eastAsia="en-US"/>
              </w:rPr>
            </w:pPr>
            <w:r w:rsidRPr="00A54649">
              <w:rPr>
                <w:sz w:val="18"/>
                <w:szCs w:val="18"/>
                <w:lang w:val="en-AU" w:eastAsia="en-US"/>
              </w:rPr>
              <w:t>Porous Thermal Reactor</w:t>
            </w:r>
          </w:p>
        </w:tc>
        <w:tc>
          <w:tcPr>
            <w:tcW w:w="1134" w:type="dxa"/>
            <w:tcBorders>
              <w:bottom w:val="single" w:sz="8" w:space="0" w:color="000000"/>
              <w:right w:val="single" w:sz="8" w:space="0" w:color="000000"/>
            </w:tcBorders>
            <w:vAlign w:val="center"/>
          </w:tcPr>
          <w:p w14:paraId="44FA1148" w14:textId="77777777" w:rsidR="005039EC" w:rsidRPr="00D3008A" w:rsidRDefault="005039EC" w:rsidP="006642C3">
            <w:pPr>
              <w:spacing w:after="0"/>
              <w:jc w:val="center"/>
              <w:rPr>
                <w:color w:val="00B050"/>
                <w:sz w:val="18"/>
                <w:szCs w:val="18"/>
                <w:lang w:val="en-AU" w:eastAsia="en-US"/>
              </w:rPr>
            </w:pPr>
            <w:r w:rsidRPr="00D3008A">
              <w:rPr>
                <w:color w:val="00B050"/>
                <w:sz w:val="18"/>
                <w:szCs w:val="18"/>
                <w:lang w:val="en-AU" w:eastAsia="en-US"/>
              </w:rPr>
              <w:t>Approved</w:t>
            </w:r>
          </w:p>
        </w:tc>
        <w:tc>
          <w:tcPr>
            <w:tcW w:w="1134" w:type="dxa"/>
            <w:tcBorders>
              <w:bottom w:val="single" w:sz="8" w:space="0" w:color="000000"/>
              <w:right w:val="single" w:sz="8" w:space="0" w:color="000000"/>
            </w:tcBorders>
            <w:vAlign w:val="center"/>
          </w:tcPr>
          <w:p w14:paraId="4875CD2C" w14:textId="77777777" w:rsidR="005039EC" w:rsidRPr="00D3008A" w:rsidRDefault="005039EC" w:rsidP="006642C3">
            <w:pPr>
              <w:spacing w:after="0"/>
              <w:jc w:val="center"/>
              <w:rPr>
                <w:color w:val="00B050"/>
                <w:sz w:val="18"/>
                <w:szCs w:val="18"/>
                <w:lang w:val="en-AU" w:eastAsia="en-US"/>
              </w:rPr>
            </w:pPr>
            <w:r w:rsidRPr="00D3008A">
              <w:rPr>
                <w:color w:val="00B050"/>
                <w:sz w:val="18"/>
                <w:szCs w:val="18"/>
                <w:lang w:val="en-AU" w:eastAsia="en-US"/>
              </w:rPr>
              <w:t>Not Determined</w:t>
            </w:r>
          </w:p>
        </w:tc>
        <w:tc>
          <w:tcPr>
            <w:tcW w:w="1134" w:type="dxa"/>
            <w:tcBorders>
              <w:bottom w:val="single" w:sz="8" w:space="0" w:color="000000"/>
              <w:right w:val="single" w:sz="8" w:space="0" w:color="000000"/>
            </w:tcBorders>
            <w:vAlign w:val="center"/>
          </w:tcPr>
          <w:p w14:paraId="6A4CFEE7" w14:textId="77777777" w:rsidR="005039EC" w:rsidRPr="00D3008A" w:rsidRDefault="005039EC" w:rsidP="006642C3">
            <w:pPr>
              <w:spacing w:after="0"/>
              <w:jc w:val="center"/>
              <w:rPr>
                <w:color w:val="00B050"/>
                <w:sz w:val="18"/>
                <w:szCs w:val="18"/>
                <w:lang w:val="en-AU" w:eastAsia="en-US"/>
              </w:rPr>
            </w:pPr>
            <w:r w:rsidRPr="00D3008A">
              <w:rPr>
                <w:color w:val="00B050"/>
                <w:sz w:val="18"/>
                <w:szCs w:val="18"/>
                <w:lang w:val="en-AU" w:eastAsia="en-US"/>
              </w:rPr>
              <w:t>Approved</w:t>
            </w:r>
          </w:p>
        </w:tc>
        <w:tc>
          <w:tcPr>
            <w:tcW w:w="1276" w:type="dxa"/>
            <w:tcBorders>
              <w:bottom w:val="single" w:sz="8" w:space="0" w:color="000000"/>
              <w:right w:val="single" w:sz="8" w:space="0" w:color="000000"/>
            </w:tcBorders>
            <w:vAlign w:val="center"/>
          </w:tcPr>
          <w:p w14:paraId="26DBCFAB" w14:textId="77777777" w:rsidR="005039EC" w:rsidRPr="00D3008A" w:rsidRDefault="005039EC" w:rsidP="006642C3">
            <w:pPr>
              <w:spacing w:after="0"/>
              <w:jc w:val="center"/>
              <w:rPr>
                <w:color w:val="00B050"/>
                <w:sz w:val="18"/>
                <w:szCs w:val="18"/>
                <w:lang w:val="en-AU" w:eastAsia="en-US"/>
              </w:rPr>
            </w:pPr>
            <w:r w:rsidRPr="00D3008A">
              <w:rPr>
                <w:color w:val="00B050"/>
                <w:sz w:val="18"/>
                <w:szCs w:val="18"/>
                <w:lang w:val="en-AU" w:eastAsia="en-US"/>
              </w:rPr>
              <w:t>Approved</w:t>
            </w:r>
          </w:p>
        </w:tc>
        <w:tc>
          <w:tcPr>
            <w:tcW w:w="1276" w:type="dxa"/>
            <w:tcBorders>
              <w:bottom w:val="single" w:sz="8" w:space="0" w:color="000000"/>
              <w:right w:val="single" w:sz="8" w:space="0" w:color="000000"/>
            </w:tcBorders>
            <w:vAlign w:val="center"/>
          </w:tcPr>
          <w:p w14:paraId="59BA8E3D" w14:textId="77777777" w:rsidR="005039EC" w:rsidRPr="00D3008A" w:rsidRDefault="005039EC" w:rsidP="006642C3">
            <w:pPr>
              <w:spacing w:after="0"/>
              <w:jc w:val="center"/>
              <w:rPr>
                <w:color w:val="00B050"/>
                <w:sz w:val="18"/>
                <w:szCs w:val="18"/>
                <w:lang w:val="en-AU" w:eastAsia="en-US"/>
              </w:rPr>
            </w:pPr>
            <w:r w:rsidRPr="00D3008A">
              <w:rPr>
                <w:color w:val="00B050"/>
                <w:sz w:val="18"/>
                <w:szCs w:val="18"/>
                <w:lang w:val="en-AU" w:eastAsia="en-US"/>
              </w:rPr>
              <w:t>Approved</w:t>
            </w:r>
          </w:p>
        </w:tc>
        <w:tc>
          <w:tcPr>
            <w:tcW w:w="1134" w:type="dxa"/>
            <w:tcBorders>
              <w:bottom w:val="single" w:sz="8" w:space="0" w:color="000000"/>
              <w:right w:val="single" w:sz="8" w:space="0" w:color="000000"/>
            </w:tcBorders>
            <w:vAlign w:val="center"/>
          </w:tcPr>
          <w:p w14:paraId="64EFA010" w14:textId="77777777" w:rsidR="005039EC" w:rsidRPr="00D3008A" w:rsidRDefault="005039EC" w:rsidP="006642C3">
            <w:pPr>
              <w:spacing w:after="0"/>
              <w:jc w:val="center"/>
              <w:rPr>
                <w:color w:val="00B050"/>
                <w:sz w:val="18"/>
                <w:szCs w:val="18"/>
                <w:lang w:val="en-AU" w:eastAsia="en-US"/>
              </w:rPr>
            </w:pPr>
            <w:r w:rsidRPr="00D3008A">
              <w:rPr>
                <w:color w:val="00B050"/>
                <w:sz w:val="18"/>
                <w:szCs w:val="18"/>
                <w:lang w:val="en-AU" w:eastAsia="en-US"/>
              </w:rPr>
              <w:t>Approved</w:t>
            </w:r>
          </w:p>
        </w:tc>
        <w:tc>
          <w:tcPr>
            <w:tcW w:w="1134" w:type="dxa"/>
            <w:tcBorders>
              <w:bottom w:val="single" w:sz="8" w:space="0" w:color="000000"/>
              <w:right w:val="single" w:sz="8" w:space="0" w:color="000000"/>
            </w:tcBorders>
            <w:vAlign w:val="center"/>
          </w:tcPr>
          <w:p w14:paraId="57DC60D9" w14:textId="77777777" w:rsidR="005039EC" w:rsidRPr="00D3008A" w:rsidRDefault="005039EC" w:rsidP="006642C3">
            <w:pPr>
              <w:spacing w:after="0"/>
              <w:jc w:val="center"/>
              <w:rPr>
                <w:color w:val="00B050"/>
                <w:sz w:val="18"/>
                <w:szCs w:val="18"/>
                <w:lang w:val="en-AU" w:eastAsia="en-US"/>
              </w:rPr>
            </w:pPr>
            <w:r w:rsidRPr="00D3008A">
              <w:rPr>
                <w:color w:val="00B050"/>
                <w:sz w:val="18"/>
                <w:szCs w:val="18"/>
                <w:lang w:val="en-AU" w:eastAsia="en-US"/>
              </w:rPr>
              <w:t>Not Determined</w:t>
            </w:r>
          </w:p>
        </w:tc>
        <w:tc>
          <w:tcPr>
            <w:tcW w:w="1134" w:type="dxa"/>
            <w:tcBorders>
              <w:top w:val="single" w:sz="8" w:space="0" w:color="000000"/>
              <w:bottom w:val="single" w:sz="8" w:space="0" w:color="000000"/>
              <w:right w:val="single" w:sz="8" w:space="0" w:color="000000"/>
            </w:tcBorders>
            <w:shd w:val="solid" w:color="F2DBDB" w:themeColor="accent2" w:themeTint="33" w:fill="F2DBDB" w:themeFill="accent2" w:themeFillTint="33"/>
            <w:vAlign w:val="center"/>
          </w:tcPr>
          <w:p w14:paraId="3DC84F89" w14:textId="4123A4F1" w:rsidR="005039EC" w:rsidRPr="00A54649" w:rsidRDefault="005039EC" w:rsidP="006642C3">
            <w:pPr>
              <w:spacing w:after="0"/>
              <w:jc w:val="center"/>
              <w:rPr>
                <w:sz w:val="18"/>
                <w:szCs w:val="18"/>
                <w:lang w:val="en-AU" w:eastAsia="en-US"/>
              </w:rPr>
            </w:pPr>
            <w:r w:rsidRPr="00D05E5C">
              <w:rPr>
                <w:color w:val="FF0000"/>
                <w:sz w:val="18"/>
                <w:szCs w:val="18"/>
                <w:lang w:val="en-AU" w:eastAsia="en-US"/>
              </w:rPr>
              <w:t>Recommend for Approval</w:t>
            </w:r>
          </w:p>
        </w:tc>
        <w:tc>
          <w:tcPr>
            <w:tcW w:w="1134" w:type="dxa"/>
            <w:tcBorders>
              <w:top w:val="single" w:sz="8" w:space="0" w:color="000000"/>
              <w:left w:val="single" w:sz="8" w:space="0" w:color="000000"/>
              <w:bottom w:val="single" w:sz="8" w:space="0" w:color="000000"/>
              <w:right w:val="single" w:sz="8" w:space="0" w:color="000000"/>
            </w:tcBorders>
            <w:shd w:val="solid" w:color="F2DBDB" w:themeColor="accent2" w:themeTint="33" w:fill="F2DBDB" w:themeFill="accent2" w:themeFillTint="33"/>
            <w:vAlign w:val="center"/>
          </w:tcPr>
          <w:p w14:paraId="1F18ACA5" w14:textId="0F7B804E" w:rsidR="005039EC" w:rsidRPr="00A54649" w:rsidRDefault="005039EC" w:rsidP="006642C3">
            <w:pPr>
              <w:spacing w:after="0"/>
              <w:jc w:val="center"/>
              <w:rPr>
                <w:sz w:val="18"/>
                <w:szCs w:val="18"/>
                <w:lang w:val="en-AU" w:eastAsia="en-US"/>
              </w:rPr>
            </w:pPr>
            <w:r w:rsidRPr="00D05E5C">
              <w:rPr>
                <w:color w:val="FF0000"/>
                <w:sz w:val="18"/>
                <w:szCs w:val="18"/>
                <w:lang w:val="en-AU" w:eastAsia="en-US"/>
              </w:rPr>
              <w:t>High Potential</w:t>
            </w:r>
          </w:p>
        </w:tc>
        <w:tc>
          <w:tcPr>
            <w:tcW w:w="1063" w:type="dxa"/>
            <w:tcBorders>
              <w:top w:val="single" w:sz="8" w:space="0" w:color="000000"/>
              <w:left w:val="single" w:sz="8" w:space="0" w:color="000000"/>
              <w:bottom w:val="single" w:sz="8" w:space="0" w:color="000000"/>
              <w:right w:val="single" w:sz="8" w:space="0" w:color="000000"/>
            </w:tcBorders>
            <w:vAlign w:val="center"/>
          </w:tcPr>
          <w:p w14:paraId="56086E95" w14:textId="77777777" w:rsidR="005039EC" w:rsidRPr="00A54649" w:rsidRDefault="005039EC" w:rsidP="006642C3">
            <w:pPr>
              <w:spacing w:after="0"/>
              <w:jc w:val="center"/>
              <w:rPr>
                <w:sz w:val="18"/>
                <w:szCs w:val="18"/>
                <w:lang w:val="en-AU" w:eastAsia="en-US"/>
              </w:rPr>
            </w:pPr>
          </w:p>
        </w:tc>
        <w:tc>
          <w:tcPr>
            <w:tcW w:w="1063" w:type="dxa"/>
            <w:tcBorders>
              <w:top w:val="single" w:sz="8" w:space="0" w:color="000000"/>
              <w:left w:val="single" w:sz="8" w:space="0" w:color="000000"/>
              <w:bottom w:val="single" w:sz="8" w:space="0" w:color="000000"/>
              <w:right w:val="single" w:sz="8" w:space="0" w:color="000000"/>
            </w:tcBorders>
            <w:vAlign w:val="center"/>
          </w:tcPr>
          <w:p w14:paraId="3C7C5945" w14:textId="4E380443" w:rsidR="005039EC" w:rsidRPr="00A54649" w:rsidRDefault="005039EC" w:rsidP="006642C3">
            <w:pPr>
              <w:spacing w:after="0"/>
              <w:jc w:val="center"/>
              <w:rPr>
                <w:sz w:val="18"/>
                <w:szCs w:val="18"/>
                <w:lang w:val="en-AU" w:eastAsia="en-US"/>
              </w:rPr>
            </w:pPr>
          </w:p>
        </w:tc>
      </w:tr>
      <w:tr w:rsidR="005039EC" w:rsidRPr="00A54649" w14:paraId="5D6AACBF" w14:textId="77777777" w:rsidTr="008361B4">
        <w:tc>
          <w:tcPr>
            <w:tcW w:w="1725" w:type="dxa"/>
            <w:tcBorders>
              <w:left w:val="single" w:sz="8" w:space="0" w:color="000000"/>
              <w:bottom w:val="single" w:sz="8" w:space="0" w:color="000000"/>
              <w:right w:val="single" w:sz="8" w:space="0" w:color="000000"/>
            </w:tcBorders>
            <w:vAlign w:val="center"/>
          </w:tcPr>
          <w:p w14:paraId="179F951C" w14:textId="77777777" w:rsidR="005039EC" w:rsidRPr="00A54649" w:rsidRDefault="005039EC" w:rsidP="006642C3">
            <w:pPr>
              <w:spacing w:after="0"/>
              <w:rPr>
                <w:sz w:val="18"/>
                <w:szCs w:val="18"/>
                <w:lang w:val="en-AU" w:eastAsia="en-US"/>
              </w:rPr>
            </w:pPr>
            <w:r w:rsidRPr="00A54649">
              <w:rPr>
                <w:sz w:val="18"/>
                <w:szCs w:val="18"/>
                <w:lang w:val="en-AU" w:eastAsia="en-US"/>
              </w:rPr>
              <w:t>Reactor Cracking</w:t>
            </w:r>
          </w:p>
        </w:tc>
        <w:tc>
          <w:tcPr>
            <w:tcW w:w="1134" w:type="dxa"/>
            <w:tcBorders>
              <w:bottom w:val="single" w:sz="8" w:space="0" w:color="000000"/>
              <w:right w:val="single" w:sz="8" w:space="0" w:color="000000"/>
            </w:tcBorders>
            <w:vAlign w:val="center"/>
          </w:tcPr>
          <w:p w14:paraId="60280CF1" w14:textId="77777777" w:rsidR="005039EC" w:rsidRPr="00D3008A" w:rsidRDefault="005039EC" w:rsidP="006642C3">
            <w:pPr>
              <w:spacing w:after="0"/>
              <w:jc w:val="center"/>
              <w:rPr>
                <w:color w:val="00B050"/>
                <w:sz w:val="18"/>
                <w:szCs w:val="18"/>
                <w:lang w:val="en-AU" w:eastAsia="en-US"/>
              </w:rPr>
            </w:pPr>
            <w:r w:rsidRPr="00D3008A">
              <w:rPr>
                <w:color w:val="00B050"/>
                <w:sz w:val="18"/>
                <w:szCs w:val="18"/>
                <w:lang w:val="en-AU" w:eastAsia="en-US"/>
              </w:rPr>
              <w:t>Approved</w:t>
            </w:r>
          </w:p>
        </w:tc>
        <w:tc>
          <w:tcPr>
            <w:tcW w:w="1134" w:type="dxa"/>
            <w:tcBorders>
              <w:bottom w:val="single" w:sz="8" w:space="0" w:color="000000"/>
              <w:right w:val="single" w:sz="8" w:space="0" w:color="000000"/>
            </w:tcBorders>
            <w:vAlign w:val="center"/>
          </w:tcPr>
          <w:p w14:paraId="7B85551C" w14:textId="77777777" w:rsidR="005039EC" w:rsidRPr="00D3008A" w:rsidRDefault="005039EC" w:rsidP="006642C3">
            <w:pPr>
              <w:spacing w:after="0"/>
              <w:jc w:val="center"/>
              <w:rPr>
                <w:color w:val="00B050"/>
                <w:sz w:val="18"/>
                <w:szCs w:val="18"/>
                <w:lang w:val="en-AU" w:eastAsia="en-US"/>
              </w:rPr>
            </w:pPr>
            <w:r w:rsidRPr="00D3008A">
              <w:rPr>
                <w:color w:val="00B050"/>
                <w:sz w:val="18"/>
                <w:szCs w:val="18"/>
                <w:lang w:val="en-AU" w:eastAsia="en-US"/>
              </w:rPr>
              <w:t>Not Approved</w:t>
            </w:r>
          </w:p>
        </w:tc>
        <w:tc>
          <w:tcPr>
            <w:tcW w:w="1134" w:type="dxa"/>
            <w:tcBorders>
              <w:bottom w:val="single" w:sz="8" w:space="0" w:color="000000"/>
              <w:right w:val="single" w:sz="8" w:space="0" w:color="000000"/>
            </w:tcBorders>
            <w:vAlign w:val="center"/>
          </w:tcPr>
          <w:p w14:paraId="451F1207" w14:textId="77777777" w:rsidR="005039EC" w:rsidRPr="00D3008A" w:rsidRDefault="005039EC" w:rsidP="006642C3">
            <w:pPr>
              <w:spacing w:after="0"/>
              <w:jc w:val="center"/>
              <w:rPr>
                <w:color w:val="00B050"/>
                <w:sz w:val="18"/>
                <w:szCs w:val="18"/>
                <w:lang w:val="en-AU" w:eastAsia="en-US"/>
              </w:rPr>
            </w:pPr>
            <w:r w:rsidRPr="00D3008A">
              <w:rPr>
                <w:color w:val="00B050"/>
                <w:sz w:val="18"/>
                <w:szCs w:val="18"/>
                <w:lang w:val="en-AU" w:eastAsia="en-US"/>
              </w:rPr>
              <w:t>Approved</w:t>
            </w:r>
          </w:p>
        </w:tc>
        <w:tc>
          <w:tcPr>
            <w:tcW w:w="1276" w:type="dxa"/>
            <w:tcBorders>
              <w:bottom w:val="single" w:sz="8" w:space="0" w:color="000000"/>
              <w:right w:val="single" w:sz="8" w:space="0" w:color="000000"/>
            </w:tcBorders>
            <w:vAlign w:val="center"/>
          </w:tcPr>
          <w:p w14:paraId="54035DF3" w14:textId="77777777" w:rsidR="005039EC" w:rsidRPr="00D3008A" w:rsidRDefault="005039EC" w:rsidP="006642C3">
            <w:pPr>
              <w:spacing w:after="0"/>
              <w:jc w:val="center"/>
              <w:rPr>
                <w:color w:val="00B050"/>
                <w:sz w:val="18"/>
                <w:szCs w:val="18"/>
                <w:lang w:val="en-AU" w:eastAsia="en-US"/>
              </w:rPr>
            </w:pPr>
            <w:r w:rsidRPr="00D3008A">
              <w:rPr>
                <w:color w:val="00B050"/>
                <w:sz w:val="18"/>
                <w:szCs w:val="18"/>
                <w:lang w:val="en-AU" w:eastAsia="en-US"/>
              </w:rPr>
              <w:t>Approved</w:t>
            </w:r>
          </w:p>
        </w:tc>
        <w:tc>
          <w:tcPr>
            <w:tcW w:w="1276" w:type="dxa"/>
            <w:tcBorders>
              <w:bottom w:val="single" w:sz="8" w:space="0" w:color="000000"/>
              <w:right w:val="single" w:sz="8" w:space="0" w:color="000000"/>
            </w:tcBorders>
            <w:vAlign w:val="center"/>
          </w:tcPr>
          <w:p w14:paraId="20381117" w14:textId="77777777" w:rsidR="005039EC" w:rsidRPr="00D3008A" w:rsidRDefault="005039EC" w:rsidP="006642C3">
            <w:pPr>
              <w:spacing w:after="0"/>
              <w:jc w:val="center"/>
              <w:rPr>
                <w:color w:val="00B050"/>
                <w:sz w:val="18"/>
                <w:szCs w:val="18"/>
                <w:lang w:val="en-AU" w:eastAsia="en-US"/>
              </w:rPr>
            </w:pPr>
            <w:r w:rsidRPr="00D3008A">
              <w:rPr>
                <w:color w:val="00B050"/>
                <w:sz w:val="18"/>
                <w:szCs w:val="18"/>
                <w:lang w:val="en-AU" w:eastAsia="en-US"/>
              </w:rPr>
              <w:t>Approved</w:t>
            </w:r>
          </w:p>
        </w:tc>
        <w:tc>
          <w:tcPr>
            <w:tcW w:w="1134" w:type="dxa"/>
            <w:tcBorders>
              <w:bottom w:val="single" w:sz="8" w:space="0" w:color="000000"/>
              <w:right w:val="single" w:sz="8" w:space="0" w:color="000000"/>
            </w:tcBorders>
            <w:vAlign w:val="center"/>
          </w:tcPr>
          <w:p w14:paraId="21F462B8" w14:textId="77777777" w:rsidR="005039EC" w:rsidRPr="00D3008A" w:rsidRDefault="005039EC" w:rsidP="006642C3">
            <w:pPr>
              <w:spacing w:after="0"/>
              <w:jc w:val="center"/>
              <w:rPr>
                <w:color w:val="00B050"/>
                <w:sz w:val="18"/>
                <w:szCs w:val="18"/>
                <w:lang w:val="en-AU" w:eastAsia="en-US"/>
              </w:rPr>
            </w:pPr>
            <w:r w:rsidRPr="00D3008A">
              <w:rPr>
                <w:color w:val="00B050"/>
                <w:sz w:val="18"/>
                <w:szCs w:val="18"/>
                <w:lang w:val="en-AU" w:eastAsia="en-US"/>
              </w:rPr>
              <w:t>Approved</w:t>
            </w:r>
          </w:p>
        </w:tc>
        <w:tc>
          <w:tcPr>
            <w:tcW w:w="1134" w:type="dxa"/>
            <w:tcBorders>
              <w:bottom w:val="single" w:sz="8" w:space="0" w:color="000000"/>
              <w:right w:val="single" w:sz="8" w:space="0" w:color="000000"/>
            </w:tcBorders>
            <w:vAlign w:val="center"/>
          </w:tcPr>
          <w:p w14:paraId="377BEBA2" w14:textId="77777777" w:rsidR="005039EC" w:rsidRPr="00D3008A" w:rsidRDefault="005039EC" w:rsidP="006642C3">
            <w:pPr>
              <w:spacing w:after="0"/>
              <w:jc w:val="center"/>
              <w:rPr>
                <w:color w:val="00B050"/>
                <w:sz w:val="18"/>
                <w:szCs w:val="18"/>
                <w:lang w:val="en-AU" w:eastAsia="en-US"/>
              </w:rPr>
            </w:pPr>
            <w:r w:rsidRPr="00D3008A">
              <w:rPr>
                <w:color w:val="00B050"/>
                <w:sz w:val="18"/>
                <w:szCs w:val="18"/>
                <w:lang w:val="en-AU" w:eastAsia="en-US"/>
              </w:rPr>
              <w:t>Not Determined</w:t>
            </w:r>
          </w:p>
        </w:tc>
        <w:tc>
          <w:tcPr>
            <w:tcW w:w="1134" w:type="dxa"/>
            <w:tcBorders>
              <w:top w:val="single" w:sz="8" w:space="0" w:color="000000"/>
              <w:bottom w:val="single" w:sz="8" w:space="0" w:color="000000"/>
              <w:right w:val="single" w:sz="8" w:space="0" w:color="000000"/>
            </w:tcBorders>
            <w:shd w:val="solid" w:color="F2DBDB" w:themeColor="accent2" w:themeTint="33" w:fill="F2DBDB" w:themeFill="accent2" w:themeFillTint="33"/>
            <w:vAlign w:val="center"/>
          </w:tcPr>
          <w:p w14:paraId="3E214EEB" w14:textId="65695C06" w:rsidR="005039EC" w:rsidRPr="00A54649" w:rsidRDefault="005039EC" w:rsidP="006642C3">
            <w:pPr>
              <w:spacing w:after="0"/>
              <w:jc w:val="center"/>
              <w:rPr>
                <w:sz w:val="18"/>
                <w:szCs w:val="18"/>
                <w:lang w:val="en-AU" w:eastAsia="en-US"/>
              </w:rPr>
            </w:pPr>
            <w:r>
              <w:rPr>
                <w:color w:val="FF0000"/>
                <w:sz w:val="18"/>
                <w:szCs w:val="18"/>
                <w:lang w:val="en-AU" w:eastAsia="en-US"/>
              </w:rPr>
              <w:t>High Potential</w:t>
            </w:r>
          </w:p>
        </w:tc>
        <w:tc>
          <w:tcPr>
            <w:tcW w:w="1134" w:type="dxa"/>
            <w:tcBorders>
              <w:top w:val="single" w:sz="8" w:space="0" w:color="000000"/>
              <w:left w:val="single" w:sz="8" w:space="0" w:color="000000"/>
              <w:bottom w:val="single" w:sz="8" w:space="0" w:color="000000"/>
              <w:right w:val="single" w:sz="8" w:space="0" w:color="000000"/>
            </w:tcBorders>
            <w:shd w:val="solid" w:color="F2DBDB" w:themeColor="accent2" w:themeTint="33" w:fill="F2DBDB" w:themeFill="accent2" w:themeFillTint="33"/>
            <w:vAlign w:val="center"/>
          </w:tcPr>
          <w:p w14:paraId="7CD6AD2D" w14:textId="263BB94F" w:rsidR="005039EC" w:rsidRPr="00A54649" w:rsidRDefault="005039EC" w:rsidP="006642C3">
            <w:pPr>
              <w:spacing w:after="0"/>
              <w:jc w:val="center"/>
              <w:rPr>
                <w:sz w:val="18"/>
                <w:szCs w:val="18"/>
                <w:lang w:val="en-AU" w:eastAsia="en-US"/>
              </w:rPr>
            </w:pPr>
            <w:r>
              <w:rPr>
                <w:color w:val="FF0000"/>
                <w:sz w:val="18"/>
                <w:szCs w:val="18"/>
                <w:lang w:val="en-AU" w:eastAsia="en-US"/>
              </w:rPr>
              <w:t>High Potential</w:t>
            </w:r>
          </w:p>
        </w:tc>
        <w:tc>
          <w:tcPr>
            <w:tcW w:w="1063" w:type="dxa"/>
            <w:tcBorders>
              <w:top w:val="single" w:sz="8" w:space="0" w:color="000000"/>
              <w:left w:val="single" w:sz="8" w:space="0" w:color="000000"/>
              <w:bottom w:val="single" w:sz="8" w:space="0" w:color="000000"/>
              <w:right w:val="single" w:sz="8" w:space="0" w:color="000000"/>
            </w:tcBorders>
            <w:vAlign w:val="center"/>
          </w:tcPr>
          <w:p w14:paraId="254D02E8" w14:textId="77777777" w:rsidR="005039EC" w:rsidRPr="00A54649" w:rsidRDefault="005039EC" w:rsidP="006642C3">
            <w:pPr>
              <w:spacing w:after="0"/>
              <w:jc w:val="center"/>
              <w:rPr>
                <w:sz w:val="18"/>
                <w:szCs w:val="18"/>
                <w:lang w:val="en-AU" w:eastAsia="en-US"/>
              </w:rPr>
            </w:pPr>
          </w:p>
        </w:tc>
        <w:tc>
          <w:tcPr>
            <w:tcW w:w="1063" w:type="dxa"/>
            <w:tcBorders>
              <w:top w:val="single" w:sz="8" w:space="0" w:color="000000"/>
              <w:left w:val="single" w:sz="8" w:space="0" w:color="000000"/>
              <w:bottom w:val="single" w:sz="8" w:space="0" w:color="000000"/>
              <w:right w:val="single" w:sz="8" w:space="0" w:color="000000"/>
            </w:tcBorders>
            <w:vAlign w:val="center"/>
          </w:tcPr>
          <w:p w14:paraId="280B87EF" w14:textId="757BB148" w:rsidR="005039EC" w:rsidRPr="00A54649" w:rsidRDefault="005039EC" w:rsidP="006642C3">
            <w:pPr>
              <w:spacing w:after="0"/>
              <w:jc w:val="center"/>
              <w:rPr>
                <w:sz w:val="18"/>
                <w:szCs w:val="18"/>
                <w:lang w:val="en-AU" w:eastAsia="en-US"/>
              </w:rPr>
            </w:pPr>
          </w:p>
        </w:tc>
      </w:tr>
      <w:tr w:rsidR="005039EC" w:rsidRPr="00A54649" w14:paraId="21E9CBD6" w14:textId="77777777" w:rsidTr="008361B4">
        <w:tc>
          <w:tcPr>
            <w:tcW w:w="1725" w:type="dxa"/>
            <w:tcBorders>
              <w:left w:val="single" w:sz="8" w:space="0" w:color="000000"/>
              <w:bottom w:val="single" w:sz="8" w:space="0" w:color="000000"/>
              <w:right w:val="single" w:sz="8" w:space="0" w:color="000000"/>
            </w:tcBorders>
            <w:vAlign w:val="center"/>
          </w:tcPr>
          <w:p w14:paraId="6071FBD1" w14:textId="77777777" w:rsidR="005039EC" w:rsidRPr="00A54649" w:rsidRDefault="005039EC" w:rsidP="006642C3">
            <w:pPr>
              <w:spacing w:after="0"/>
              <w:rPr>
                <w:sz w:val="18"/>
                <w:szCs w:val="18"/>
                <w:lang w:val="en-AU" w:eastAsia="en-US"/>
              </w:rPr>
            </w:pPr>
            <w:r w:rsidRPr="00A54649">
              <w:rPr>
                <w:sz w:val="18"/>
                <w:szCs w:val="18"/>
                <w:lang w:val="en-AU" w:eastAsia="en-US"/>
              </w:rPr>
              <w:t>Rotary Kiln Incineration</w:t>
            </w:r>
          </w:p>
        </w:tc>
        <w:tc>
          <w:tcPr>
            <w:tcW w:w="1134" w:type="dxa"/>
            <w:tcBorders>
              <w:bottom w:val="single" w:sz="8" w:space="0" w:color="000000"/>
              <w:right w:val="single" w:sz="8" w:space="0" w:color="000000"/>
            </w:tcBorders>
            <w:vAlign w:val="center"/>
          </w:tcPr>
          <w:p w14:paraId="0FD6785D" w14:textId="77777777" w:rsidR="005039EC" w:rsidRPr="00D3008A" w:rsidRDefault="005039EC" w:rsidP="006642C3">
            <w:pPr>
              <w:spacing w:after="0"/>
              <w:jc w:val="center"/>
              <w:rPr>
                <w:color w:val="00B050"/>
                <w:sz w:val="18"/>
                <w:szCs w:val="18"/>
                <w:lang w:val="en-AU" w:eastAsia="en-US"/>
              </w:rPr>
            </w:pPr>
            <w:r w:rsidRPr="00D3008A">
              <w:rPr>
                <w:color w:val="00B050"/>
                <w:sz w:val="18"/>
                <w:szCs w:val="18"/>
                <w:lang w:val="en-AU" w:eastAsia="en-US"/>
              </w:rPr>
              <w:t>Approved</w:t>
            </w:r>
          </w:p>
        </w:tc>
        <w:tc>
          <w:tcPr>
            <w:tcW w:w="1134" w:type="dxa"/>
            <w:tcBorders>
              <w:bottom w:val="single" w:sz="8" w:space="0" w:color="000000"/>
              <w:right w:val="single" w:sz="8" w:space="0" w:color="000000"/>
            </w:tcBorders>
            <w:vAlign w:val="center"/>
          </w:tcPr>
          <w:p w14:paraId="31D44FCB" w14:textId="77777777" w:rsidR="005039EC" w:rsidRPr="00D3008A" w:rsidRDefault="005039EC" w:rsidP="006642C3">
            <w:pPr>
              <w:spacing w:after="0"/>
              <w:jc w:val="center"/>
              <w:rPr>
                <w:color w:val="00B050"/>
                <w:sz w:val="18"/>
                <w:szCs w:val="18"/>
                <w:lang w:val="en-AU" w:eastAsia="en-US"/>
              </w:rPr>
            </w:pPr>
            <w:r w:rsidRPr="00D3008A">
              <w:rPr>
                <w:color w:val="00B050"/>
                <w:sz w:val="18"/>
                <w:szCs w:val="18"/>
                <w:lang w:val="en-AU" w:eastAsia="en-US"/>
              </w:rPr>
              <w:t>Approved</w:t>
            </w:r>
          </w:p>
        </w:tc>
        <w:tc>
          <w:tcPr>
            <w:tcW w:w="1134" w:type="dxa"/>
            <w:tcBorders>
              <w:bottom w:val="single" w:sz="8" w:space="0" w:color="000000"/>
              <w:right w:val="single" w:sz="8" w:space="0" w:color="000000"/>
            </w:tcBorders>
            <w:vAlign w:val="center"/>
          </w:tcPr>
          <w:p w14:paraId="3905E794" w14:textId="77777777" w:rsidR="005039EC" w:rsidRPr="00D3008A" w:rsidRDefault="005039EC" w:rsidP="006642C3">
            <w:pPr>
              <w:spacing w:after="0"/>
              <w:jc w:val="center"/>
              <w:rPr>
                <w:color w:val="00B050"/>
                <w:sz w:val="18"/>
                <w:szCs w:val="18"/>
                <w:lang w:val="en-AU" w:eastAsia="en-US"/>
              </w:rPr>
            </w:pPr>
            <w:r w:rsidRPr="00D3008A">
              <w:rPr>
                <w:color w:val="00B050"/>
                <w:sz w:val="18"/>
                <w:szCs w:val="18"/>
                <w:lang w:val="en-AU" w:eastAsia="en-US"/>
              </w:rPr>
              <w:t>Approved</w:t>
            </w:r>
          </w:p>
        </w:tc>
        <w:tc>
          <w:tcPr>
            <w:tcW w:w="1276" w:type="dxa"/>
            <w:tcBorders>
              <w:bottom w:val="single" w:sz="8" w:space="0" w:color="000000"/>
              <w:right w:val="single" w:sz="8" w:space="0" w:color="000000"/>
            </w:tcBorders>
            <w:vAlign w:val="center"/>
          </w:tcPr>
          <w:p w14:paraId="3291E186" w14:textId="77777777" w:rsidR="005039EC" w:rsidRPr="00D3008A" w:rsidRDefault="005039EC" w:rsidP="006642C3">
            <w:pPr>
              <w:spacing w:after="0"/>
              <w:jc w:val="center"/>
              <w:rPr>
                <w:color w:val="00B050"/>
                <w:sz w:val="18"/>
                <w:szCs w:val="18"/>
                <w:lang w:val="en-AU" w:eastAsia="en-US"/>
              </w:rPr>
            </w:pPr>
            <w:r w:rsidRPr="00D3008A">
              <w:rPr>
                <w:color w:val="00B050"/>
                <w:sz w:val="18"/>
                <w:szCs w:val="18"/>
                <w:lang w:val="en-AU" w:eastAsia="en-US"/>
              </w:rPr>
              <w:t>Approved</w:t>
            </w:r>
          </w:p>
        </w:tc>
        <w:tc>
          <w:tcPr>
            <w:tcW w:w="1276" w:type="dxa"/>
            <w:tcBorders>
              <w:bottom w:val="single" w:sz="8" w:space="0" w:color="000000"/>
              <w:right w:val="single" w:sz="8" w:space="0" w:color="000000"/>
            </w:tcBorders>
            <w:vAlign w:val="center"/>
          </w:tcPr>
          <w:p w14:paraId="21859378" w14:textId="77777777" w:rsidR="005039EC" w:rsidRPr="00D3008A" w:rsidRDefault="005039EC" w:rsidP="006642C3">
            <w:pPr>
              <w:spacing w:after="0"/>
              <w:jc w:val="center"/>
              <w:rPr>
                <w:color w:val="00B050"/>
                <w:sz w:val="18"/>
                <w:szCs w:val="18"/>
                <w:lang w:val="en-AU" w:eastAsia="en-US"/>
              </w:rPr>
            </w:pPr>
            <w:r w:rsidRPr="00D3008A">
              <w:rPr>
                <w:color w:val="00B050"/>
                <w:sz w:val="18"/>
                <w:szCs w:val="18"/>
                <w:lang w:val="en-AU" w:eastAsia="en-US"/>
              </w:rPr>
              <w:t>Approved</w:t>
            </w:r>
          </w:p>
        </w:tc>
        <w:tc>
          <w:tcPr>
            <w:tcW w:w="1134" w:type="dxa"/>
            <w:tcBorders>
              <w:bottom w:val="single" w:sz="8" w:space="0" w:color="000000"/>
              <w:right w:val="single" w:sz="8" w:space="0" w:color="000000"/>
            </w:tcBorders>
            <w:vAlign w:val="center"/>
          </w:tcPr>
          <w:p w14:paraId="1C772881" w14:textId="77777777" w:rsidR="005039EC" w:rsidRPr="00D3008A" w:rsidRDefault="005039EC" w:rsidP="006642C3">
            <w:pPr>
              <w:spacing w:after="0"/>
              <w:jc w:val="center"/>
              <w:rPr>
                <w:color w:val="00B050"/>
                <w:sz w:val="18"/>
                <w:szCs w:val="18"/>
                <w:lang w:val="en-AU" w:eastAsia="en-US"/>
              </w:rPr>
            </w:pPr>
            <w:r w:rsidRPr="00D3008A">
              <w:rPr>
                <w:color w:val="00B050"/>
                <w:sz w:val="18"/>
                <w:szCs w:val="18"/>
                <w:lang w:val="en-AU" w:eastAsia="en-US"/>
              </w:rPr>
              <w:t>Approved</w:t>
            </w:r>
          </w:p>
        </w:tc>
        <w:tc>
          <w:tcPr>
            <w:tcW w:w="1134" w:type="dxa"/>
            <w:tcBorders>
              <w:bottom w:val="single" w:sz="8" w:space="0" w:color="000000"/>
              <w:right w:val="single" w:sz="8" w:space="0" w:color="000000"/>
            </w:tcBorders>
            <w:vAlign w:val="center"/>
          </w:tcPr>
          <w:p w14:paraId="2259A266" w14:textId="77777777" w:rsidR="005039EC" w:rsidRPr="00D3008A" w:rsidRDefault="005039EC" w:rsidP="006642C3">
            <w:pPr>
              <w:spacing w:after="0"/>
              <w:jc w:val="center"/>
              <w:rPr>
                <w:color w:val="00B050"/>
                <w:sz w:val="18"/>
                <w:szCs w:val="18"/>
                <w:lang w:val="en-AU" w:eastAsia="en-US"/>
              </w:rPr>
            </w:pPr>
            <w:r w:rsidRPr="00D3008A">
              <w:rPr>
                <w:color w:val="00B050"/>
                <w:sz w:val="18"/>
                <w:szCs w:val="18"/>
                <w:lang w:val="en-AU" w:eastAsia="en-US"/>
              </w:rPr>
              <w:t>Not Determined</w:t>
            </w:r>
          </w:p>
        </w:tc>
        <w:tc>
          <w:tcPr>
            <w:tcW w:w="1134" w:type="dxa"/>
            <w:tcBorders>
              <w:top w:val="single" w:sz="8" w:space="0" w:color="000000"/>
              <w:bottom w:val="single" w:sz="8" w:space="0" w:color="000000"/>
              <w:right w:val="single" w:sz="8" w:space="0" w:color="000000"/>
            </w:tcBorders>
            <w:shd w:val="solid" w:color="F2DBDB" w:themeColor="accent2" w:themeTint="33" w:fill="F2DBDB" w:themeFill="accent2" w:themeFillTint="33"/>
            <w:vAlign w:val="center"/>
          </w:tcPr>
          <w:p w14:paraId="2B57FC1F" w14:textId="581613D8" w:rsidR="005039EC" w:rsidRPr="00A54649" w:rsidRDefault="005039EC" w:rsidP="006642C3">
            <w:pPr>
              <w:spacing w:after="0"/>
              <w:jc w:val="center"/>
              <w:rPr>
                <w:sz w:val="18"/>
                <w:szCs w:val="18"/>
                <w:lang w:val="en-AU" w:eastAsia="en-US"/>
              </w:rPr>
            </w:pPr>
            <w:r w:rsidRPr="00D05E5C">
              <w:rPr>
                <w:color w:val="FF0000"/>
                <w:sz w:val="18"/>
                <w:szCs w:val="18"/>
                <w:lang w:val="en-AU" w:eastAsia="en-US"/>
              </w:rPr>
              <w:t>High Potential</w:t>
            </w:r>
          </w:p>
        </w:tc>
        <w:tc>
          <w:tcPr>
            <w:tcW w:w="1134" w:type="dxa"/>
            <w:tcBorders>
              <w:top w:val="single" w:sz="8" w:space="0" w:color="000000"/>
              <w:left w:val="single" w:sz="8" w:space="0" w:color="000000"/>
              <w:bottom w:val="single" w:sz="8" w:space="0" w:color="000000"/>
              <w:right w:val="single" w:sz="8" w:space="0" w:color="000000"/>
            </w:tcBorders>
            <w:shd w:val="solid" w:color="F2DBDB" w:themeColor="accent2" w:themeTint="33" w:fill="F2DBDB" w:themeFill="accent2" w:themeFillTint="33"/>
            <w:vAlign w:val="center"/>
          </w:tcPr>
          <w:p w14:paraId="7341DF8E" w14:textId="620429DF" w:rsidR="005039EC" w:rsidRPr="00A54649" w:rsidRDefault="005039EC" w:rsidP="006642C3">
            <w:pPr>
              <w:spacing w:after="0"/>
              <w:jc w:val="center"/>
              <w:rPr>
                <w:sz w:val="18"/>
                <w:szCs w:val="18"/>
                <w:lang w:val="en-AU" w:eastAsia="en-US"/>
              </w:rPr>
            </w:pPr>
            <w:r w:rsidRPr="00D05E5C">
              <w:rPr>
                <w:color w:val="FF0000"/>
                <w:sz w:val="18"/>
                <w:szCs w:val="18"/>
                <w:lang w:val="en-AU" w:eastAsia="en-US"/>
              </w:rPr>
              <w:t>High Potential</w:t>
            </w:r>
          </w:p>
        </w:tc>
        <w:tc>
          <w:tcPr>
            <w:tcW w:w="1063" w:type="dxa"/>
            <w:tcBorders>
              <w:top w:val="single" w:sz="8" w:space="0" w:color="000000"/>
              <w:left w:val="single" w:sz="8" w:space="0" w:color="000000"/>
              <w:bottom w:val="single" w:sz="8" w:space="0" w:color="000000"/>
              <w:right w:val="single" w:sz="8" w:space="0" w:color="000000"/>
            </w:tcBorders>
            <w:vAlign w:val="center"/>
          </w:tcPr>
          <w:p w14:paraId="5AFD04C6" w14:textId="77777777" w:rsidR="005039EC" w:rsidRPr="00A54649" w:rsidRDefault="005039EC" w:rsidP="006642C3">
            <w:pPr>
              <w:spacing w:after="0"/>
              <w:jc w:val="center"/>
              <w:rPr>
                <w:sz w:val="18"/>
                <w:szCs w:val="18"/>
                <w:lang w:val="en-AU" w:eastAsia="en-US"/>
              </w:rPr>
            </w:pPr>
            <w:r w:rsidRPr="00D3008A">
              <w:rPr>
                <w:color w:val="00B050"/>
                <w:sz w:val="18"/>
                <w:szCs w:val="18"/>
                <w:lang w:val="en-AU" w:eastAsia="en-US"/>
              </w:rPr>
              <w:t>Approved</w:t>
            </w:r>
          </w:p>
        </w:tc>
        <w:tc>
          <w:tcPr>
            <w:tcW w:w="1063" w:type="dxa"/>
            <w:tcBorders>
              <w:top w:val="single" w:sz="8" w:space="0" w:color="000000"/>
              <w:left w:val="single" w:sz="8" w:space="0" w:color="000000"/>
              <w:bottom w:val="single" w:sz="8" w:space="0" w:color="000000"/>
              <w:right w:val="single" w:sz="8" w:space="0" w:color="000000"/>
            </w:tcBorders>
            <w:vAlign w:val="center"/>
          </w:tcPr>
          <w:p w14:paraId="63B7EC1C" w14:textId="18D2686E" w:rsidR="005039EC" w:rsidRPr="00A54649" w:rsidRDefault="005039EC" w:rsidP="006642C3">
            <w:pPr>
              <w:spacing w:after="0"/>
              <w:jc w:val="center"/>
              <w:rPr>
                <w:sz w:val="18"/>
                <w:szCs w:val="18"/>
                <w:lang w:val="en-AU" w:eastAsia="en-US"/>
              </w:rPr>
            </w:pPr>
          </w:p>
        </w:tc>
      </w:tr>
      <w:tr w:rsidR="005039EC" w:rsidRPr="00A54649" w14:paraId="6B04BFBF" w14:textId="77777777" w:rsidTr="008361B4">
        <w:tc>
          <w:tcPr>
            <w:tcW w:w="1725" w:type="dxa"/>
            <w:tcBorders>
              <w:left w:val="single" w:sz="8" w:space="0" w:color="000000"/>
              <w:bottom w:val="single" w:sz="8" w:space="0" w:color="000000"/>
              <w:right w:val="single" w:sz="8" w:space="0" w:color="000000"/>
            </w:tcBorders>
            <w:vAlign w:val="center"/>
          </w:tcPr>
          <w:p w14:paraId="213D862B" w14:textId="77777777" w:rsidR="005039EC" w:rsidRPr="00A54649" w:rsidRDefault="005039EC" w:rsidP="006642C3">
            <w:pPr>
              <w:spacing w:after="0"/>
              <w:rPr>
                <w:sz w:val="18"/>
                <w:szCs w:val="18"/>
                <w:lang w:val="en-AU" w:eastAsia="en-US"/>
              </w:rPr>
            </w:pPr>
            <w:r w:rsidRPr="00A54649">
              <w:rPr>
                <w:sz w:val="18"/>
                <w:szCs w:val="18"/>
                <w:lang w:val="en-AU" w:eastAsia="en-US"/>
              </w:rPr>
              <w:t>Argon Plasma Arc</w:t>
            </w:r>
          </w:p>
        </w:tc>
        <w:tc>
          <w:tcPr>
            <w:tcW w:w="1134" w:type="dxa"/>
            <w:tcBorders>
              <w:bottom w:val="single" w:sz="8" w:space="0" w:color="000000"/>
              <w:right w:val="single" w:sz="8" w:space="0" w:color="000000"/>
            </w:tcBorders>
            <w:vAlign w:val="center"/>
          </w:tcPr>
          <w:p w14:paraId="5050E6A7" w14:textId="77777777" w:rsidR="005039EC" w:rsidRPr="00D3008A" w:rsidRDefault="005039EC" w:rsidP="006642C3">
            <w:pPr>
              <w:spacing w:after="0"/>
              <w:jc w:val="center"/>
              <w:rPr>
                <w:color w:val="00B050"/>
                <w:sz w:val="18"/>
                <w:szCs w:val="18"/>
                <w:lang w:val="en-AU" w:eastAsia="en-US"/>
              </w:rPr>
            </w:pPr>
            <w:r w:rsidRPr="00D3008A">
              <w:rPr>
                <w:color w:val="00B050"/>
                <w:sz w:val="18"/>
                <w:szCs w:val="18"/>
                <w:lang w:val="en-AU" w:eastAsia="en-US"/>
              </w:rPr>
              <w:t>Approved</w:t>
            </w:r>
          </w:p>
        </w:tc>
        <w:tc>
          <w:tcPr>
            <w:tcW w:w="1134" w:type="dxa"/>
            <w:tcBorders>
              <w:bottom w:val="single" w:sz="8" w:space="0" w:color="000000"/>
              <w:right w:val="single" w:sz="8" w:space="0" w:color="000000"/>
            </w:tcBorders>
            <w:vAlign w:val="center"/>
          </w:tcPr>
          <w:p w14:paraId="4AAD7600" w14:textId="77777777" w:rsidR="005039EC" w:rsidRPr="00D3008A" w:rsidRDefault="005039EC" w:rsidP="006642C3">
            <w:pPr>
              <w:spacing w:after="0"/>
              <w:jc w:val="center"/>
              <w:rPr>
                <w:color w:val="00B050"/>
                <w:sz w:val="18"/>
                <w:szCs w:val="18"/>
                <w:lang w:val="en-AU" w:eastAsia="en-US"/>
              </w:rPr>
            </w:pPr>
            <w:r w:rsidRPr="00D3008A">
              <w:rPr>
                <w:color w:val="00B050"/>
                <w:sz w:val="18"/>
                <w:szCs w:val="18"/>
                <w:lang w:val="en-AU" w:eastAsia="en-US"/>
              </w:rPr>
              <w:t>Approved</w:t>
            </w:r>
          </w:p>
        </w:tc>
        <w:tc>
          <w:tcPr>
            <w:tcW w:w="1134" w:type="dxa"/>
            <w:tcBorders>
              <w:bottom w:val="single" w:sz="8" w:space="0" w:color="000000"/>
              <w:right w:val="single" w:sz="8" w:space="0" w:color="000000"/>
            </w:tcBorders>
            <w:vAlign w:val="center"/>
          </w:tcPr>
          <w:p w14:paraId="7B94B5F6" w14:textId="77777777" w:rsidR="005039EC" w:rsidRPr="00D3008A" w:rsidRDefault="005039EC" w:rsidP="006642C3">
            <w:pPr>
              <w:spacing w:after="0"/>
              <w:jc w:val="center"/>
              <w:rPr>
                <w:color w:val="00B050"/>
                <w:sz w:val="18"/>
                <w:szCs w:val="18"/>
                <w:lang w:val="en-AU" w:eastAsia="en-US"/>
              </w:rPr>
            </w:pPr>
            <w:r w:rsidRPr="00D3008A">
              <w:rPr>
                <w:color w:val="00B050"/>
                <w:sz w:val="18"/>
                <w:szCs w:val="18"/>
                <w:lang w:val="en-AU" w:eastAsia="en-US"/>
              </w:rPr>
              <w:t>Approved</w:t>
            </w:r>
          </w:p>
        </w:tc>
        <w:tc>
          <w:tcPr>
            <w:tcW w:w="1276" w:type="dxa"/>
            <w:tcBorders>
              <w:bottom w:val="single" w:sz="8" w:space="0" w:color="000000"/>
              <w:right w:val="single" w:sz="8" w:space="0" w:color="000000"/>
            </w:tcBorders>
            <w:vAlign w:val="center"/>
          </w:tcPr>
          <w:p w14:paraId="1315A803" w14:textId="77777777" w:rsidR="005039EC" w:rsidRPr="00D3008A" w:rsidRDefault="005039EC" w:rsidP="006642C3">
            <w:pPr>
              <w:spacing w:after="0"/>
              <w:jc w:val="center"/>
              <w:rPr>
                <w:color w:val="00B050"/>
                <w:sz w:val="18"/>
                <w:szCs w:val="18"/>
                <w:lang w:val="en-AU" w:eastAsia="en-US"/>
              </w:rPr>
            </w:pPr>
            <w:r w:rsidRPr="00D3008A">
              <w:rPr>
                <w:color w:val="00B050"/>
                <w:sz w:val="18"/>
                <w:szCs w:val="18"/>
                <w:lang w:val="en-AU" w:eastAsia="en-US"/>
              </w:rPr>
              <w:t>Approved</w:t>
            </w:r>
          </w:p>
        </w:tc>
        <w:tc>
          <w:tcPr>
            <w:tcW w:w="1276" w:type="dxa"/>
            <w:tcBorders>
              <w:bottom w:val="single" w:sz="8" w:space="0" w:color="000000"/>
              <w:right w:val="single" w:sz="8" w:space="0" w:color="000000"/>
            </w:tcBorders>
            <w:vAlign w:val="center"/>
          </w:tcPr>
          <w:p w14:paraId="40DB487E" w14:textId="77777777" w:rsidR="005039EC" w:rsidRPr="00D3008A" w:rsidRDefault="005039EC" w:rsidP="006642C3">
            <w:pPr>
              <w:spacing w:after="0"/>
              <w:jc w:val="center"/>
              <w:rPr>
                <w:color w:val="00B050"/>
                <w:sz w:val="18"/>
                <w:szCs w:val="18"/>
                <w:lang w:val="en-AU" w:eastAsia="en-US"/>
              </w:rPr>
            </w:pPr>
            <w:r w:rsidRPr="00D3008A">
              <w:rPr>
                <w:color w:val="00B050"/>
                <w:sz w:val="18"/>
                <w:szCs w:val="18"/>
                <w:lang w:val="en-AU" w:eastAsia="en-US"/>
              </w:rPr>
              <w:t>Approved</w:t>
            </w:r>
          </w:p>
        </w:tc>
        <w:tc>
          <w:tcPr>
            <w:tcW w:w="1134" w:type="dxa"/>
            <w:tcBorders>
              <w:bottom w:val="single" w:sz="8" w:space="0" w:color="000000"/>
              <w:right w:val="single" w:sz="8" w:space="0" w:color="000000"/>
            </w:tcBorders>
            <w:vAlign w:val="center"/>
          </w:tcPr>
          <w:p w14:paraId="3778D59A" w14:textId="77777777" w:rsidR="005039EC" w:rsidRPr="00D3008A" w:rsidRDefault="005039EC" w:rsidP="006642C3">
            <w:pPr>
              <w:spacing w:after="0"/>
              <w:jc w:val="center"/>
              <w:rPr>
                <w:color w:val="00B050"/>
                <w:sz w:val="18"/>
                <w:szCs w:val="18"/>
                <w:lang w:val="en-AU" w:eastAsia="en-US"/>
              </w:rPr>
            </w:pPr>
            <w:r w:rsidRPr="00D3008A">
              <w:rPr>
                <w:color w:val="00B050"/>
                <w:sz w:val="18"/>
                <w:szCs w:val="18"/>
                <w:lang w:val="en-AU" w:eastAsia="en-US"/>
              </w:rPr>
              <w:t>Approved</w:t>
            </w:r>
          </w:p>
        </w:tc>
        <w:tc>
          <w:tcPr>
            <w:tcW w:w="1134" w:type="dxa"/>
            <w:tcBorders>
              <w:bottom w:val="single" w:sz="8" w:space="0" w:color="000000"/>
              <w:right w:val="single" w:sz="8" w:space="0" w:color="000000"/>
            </w:tcBorders>
            <w:vAlign w:val="center"/>
          </w:tcPr>
          <w:p w14:paraId="31A747E4" w14:textId="77777777" w:rsidR="005039EC" w:rsidRPr="00D3008A" w:rsidRDefault="005039EC" w:rsidP="006642C3">
            <w:pPr>
              <w:spacing w:after="0"/>
              <w:jc w:val="center"/>
              <w:rPr>
                <w:color w:val="00B050"/>
                <w:sz w:val="18"/>
                <w:szCs w:val="18"/>
                <w:lang w:val="en-AU" w:eastAsia="en-US"/>
              </w:rPr>
            </w:pPr>
            <w:r w:rsidRPr="00D3008A">
              <w:rPr>
                <w:color w:val="00B050"/>
                <w:sz w:val="18"/>
                <w:szCs w:val="18"/>
                <w:lang w:val="en-AU" w:eastAsia="en-US"/>
              </w:rPr>
              <w:t>Not Determined</w:t>
            </w:r>
          </w:p>
        </w:tc>
        <w:tc>
          <w:tcPr>
            <w:tcW w:w="1134" w:type="dxa"/>
            <w:tcBorders>
              <w:top w:val="single" w:sz="8" w:space="0" w:color="000000"/>
              <w:bottom w:val="single" w:sz="8" w:space="0" w:color="000000"/>
              <w:right w:val="single" w:sz="8" w:space="0" w:color="000000"/>
            </w:tcBorders>
            <w:shd w:val="solid" w:color="F2DBDB" w:themeColor="accent2" w:themeTint="33" w:fill="F2DBDB" w:themeFill="accent2" w:themeFillTint="33"/>
            <w:vAlign w:val="center"/>
          </w:tcPr>
          <w:p w14:paraId="0AD3F135" w14:textId="5932AED2" w:rsidR="005039EC" w:rsidRPr="00A54649" w:rsidRDefault="005039EC" w:rsidP="006642C3">
            <w:pPr>
              <w:spacing w:after="0"/>
              <w:jc w:val="center"/>
              <w:rPr>
                <w:sz w:val="18"/>
                <w:szCs w:val="18"/>
                <w:lang w:val="en-AU" w:eastAsia="en-US"/>
              </w:rPr>
            </w:pPr>
            <w:r w:rsidRPr="00D05E5C">
              <w:rPr>
                <w:color w:val="FF0000"/>
                <w:sz w:val="18"/>
                <w:szCs w:val="18"/>
                <w:lang w:val="en-AU" w:eastAsia="en-US"/>
              </w:rPr>
              <w:t>High Potential</w:t>
            </w:r>
          </w:p>
        </w:tc>
        <w:tc>
          <w:tcPr>
            <w:tcW w:w="1134" w:type="dxa"/>
            <w:tcBorders>
              <w:top w:val="single" w:sz="8" w:space="0" w:color="000000"/>
              <w:left w:val="single" w:sz="8" w:space="0" w:color="000000"/>
              <w:bottom w:val="single" w:sz="8" w:space="0" w:color="000000"/>
              <w:right w:val="single" w:sz="8" w:space="0" w:color="000000"/>
            </w:tcBorders>
            <w:shd w:val="solid" w:color="F2DBDB" w:themeColor="accent2" w:themeTint="33" w:fill="F2DBDB" w:themeFill="accent2" w:themeFillTint="33"/>
            <w:vAlign w:val="center"/>
          </w:tcPr>
          <w:p w14:paraId="0D3F27D2" w14:textId="086986A2" w:rsidR="005039EC" w:rsidRPr="00A54649" w:rsidRDefault="005039EC" w:rsidP="006642C3">
            <w:pPr>
              <w:spacing w:after="0"/>
              <w:jc w:val="center"/>
              <w:rPr>
                <w:sz w:val="18"/>
                <w:szCs w:val="18"/>
                <w:lang w:val="en-AU" w:eastAsia="en-US"/>
              </w:rPr>
            </w:pPr>
            <w:r w:rsidRPr="00D05E5C">
              <w:rPr>
                <w:color w:val="FF0000"/>
                <w:sz w:val="18"/>
                <w:szCs w:val="18"/>
                <w:lang w:val="en-AU" w:eastAsia="en-US"/>
              </w:rPr>
              <w:t>High Potential</w:t>
            </w:r>
          </w:p>
        </w:tc>
        <w:tc>
          <w:tcPr>
            <w:tcW w:w="1063" w:type="dxa"/>
            <w:tcBorders>
              <w:top w:val="single" w:sz="8" w:space="0" w:color="000000"/>
              <w:left w:val="single" w:sz="8" w:space="0" w:color="000000"/>
              <w:bottom w:val="single" w:sz="8" w:space="0" w:color="000000"/>
              <w:right w:val="single" w:sz="8" w:space="0" w:color="000000"/>
            </w:tcBorders>
            <w:vAlign w:val="center"/>
          </w:tcPr>
          <w:p w14:paraId="5B393A94" w14:textId="77777777" w:rsidR="005039EC" w:rsidRPr="00A54649" w:rsidRDefault="005039EC" w:rsidP="006642C3">
            <w:pPr>
              <w:spacing w:after="0"/>
              <w:jc w:val="center"/>
              <w:rPr>
                <w:sz w:val="18"/>
                <w:szCs w:val="18"/>
                <w:lang w:val="en-AU" w:eastAsia="en-US"/>
              </w:rPr>
            </w:pPr>
          </w:p>
        </w:tc>
        <w:tc>
          <w:tcPr>
            <w:tcW w:w="1063" w:type="dxa"/>
            <w:tcBorders>
              <w:top w:val="single" w:sz="8" w:space="0" w:color="000000"/>
              <w:left w:val="single" w:sz="8" w:space="0" w:color="000000"/>
              <w:bottom w:val="single" w:sz="8" w:space="0" w:color="000000"/>
              <w:right w:val="single" w:sz="8" w:space="0" w:color="000000"/>
            </w:tcBorders>
            <w:vAlign w:val="center"/>
          </w:tcPr>
          <w:p w14:paraId="797DD296" w14:textId="3F23CB40" w:rsidR="005039EC" w:rsidRPr="00A54649" w:rsidRDefault="005039EC" w:rsidP="006642C3">
            <w:pPr>
              <w:spacing w:after="0"/>
              <w:jc w:val="center"/>
              <w:rPr>
                <w:sz w:val="18"/>
                <w:szCs w:val="18"/>
                <w:lang w:val="en-AU" w:eastAsia="en-US"/>
              </w:rPr>
            </w:pPr>
          </w:p>
        </w:tc>
      </w:tr>
      <w:tr w:rsidR="005039EC" w:rsidRPr="00A54649" w14:paraId="70F8ADB6" w14:textId="77777777" w:rsidTr="008361B4">
        <w:tc>
          <w:tcPr>
            <w:tcW w:w="1725" w:type="dxa"/>
            <w:tcBorders>
              <w:left w:val="single" w:sz="8" w:space="0" w:color="000000"/>
              <w:bottom w:val="single" w:sz="8" w:space="0" w:color="000000"/>
              <w:right w:val="single" w:sz="8" w:space="0" w:color="000000"/>
            </w:tcBorders>
            <w:vAlign w:val="center"/>
          </w:tcPr>
          <w:p w14:paraId="303CFAF3" w14:textId="77777777" w:rsidR="005039EC" w:rsidRPr="00A54649" w:rsidRDefault="005039EC" w:rsidP="006642C3">
            <w:pPr>
              <w:spacing w:after="0"/>
              <w:rPr>
                <w:sz w:val="18"/>
                <w:szCs w:val="18"/>
                <w:lang w:val="en-AU" w:eastAsia="en-US"/>
              </w:rPr>
            </w:pPr>
            <w:r w:rsidRPr="00A54649">
              <w:rPr>
                <w:sz w:val="18"/>
                <w:szCs w:val="18"/>
                <w:lang w:val="en-AU" w:eastAsia="en-US"/>
              </w:rPr>
              <w:t>Inductively coupled radio frequency plasma</w:t>
            </w:r>
          </w:p>
        </w:tc>
        <w:tc>
          <w:tcPr>
            <w:tcW w:w="1134" w:type="dxa"/>
            <w:tcBorders>
              <w:bottom w:val="single" w:sz="8" w:space="0" w:color="000000"/>
              <w:right w:val="single" w:sz="8" w:space="0" w:color="000000"/>
            </w:tcBorders>
            <w:vAlign w:val="center"/>
          </w:tcPr>
          <w:p w14:paraId="2E73F9CB" w14:textId="77777777" w:rsidR="005039EC" w:rsidRPr="00D3008A" w:rsidRDefault="005039EC" w:rsidP="006642C3">
            <w:pPr>
              <w:spacing w:after="0"/>
              <w:jc w:val="center"/>
              <w:rPr>
                <w:color w:val="00B050"/>
                <w:sz w:val="18"/>
                <w:szCs w:val="18"/>
                <w:lang w:val="en-AU" w:eastAsia="en-US"/>
              </w:rPr>
            </w:pPr>
            <w:r w:rsidRPr="00D3008A">
              <w:rPr>
                <w:color w:val="00B050"/>
                <w:sz w:val="18"/>
                <w:szCs w:val="18"/>
                <w:lang w:val="en-AU" w:eastAsia="en-US"/>
              </w:rPr>
              <w:t>Approved</w:t>
            </w:r>
          </w:p>
        </w:tc>
        <w:tc>
          <w:tcPr>
            <w:tcW w:w="1134" w:type="dxa"/>
            <w:tcBorders>
              <w:bottom w:val="single" w:sz="8" w:space="0" w:color="000000"/>
              <w:right w:val="single" w:sz="8" w:space="0" w:color="000000"/>
            </w:tcBorders>
            <w:vAlign w:val="center"/>
          </w:tcPr>
          <w:p w14:paraId="3242BF75" w14:textId="77777777" w:rsidR="005039EC" w:rsidRPr="00D3008A" w:rsidRDefault="005039EC" w:rsidP="006642C3">
            <w:pPr>
              <w:spacing w:after="0"/>
              <w:jc w:val="center"/>
              <w:rPr>
                <w:color w:val="00B050"/>
                <w:sz w:val="18"/>
                <w:szCs w:val="18"/>
                <w:lang w:val="en-AU" w:eastAsia="en-US"/>
              </w:rPr>
            </w:pPr>
            <w:r w:rsidRPr="00D3008A">
              <w:rPr>
                <w:color w:val="00B050"/>
                <w:sz w:val="18"/>
                <w:szCs w:val="18"/>
                <w:lang w:val="en-AU" w:eastAsia="en-US"/>
              </w:rPr>
              <w:t>Approved</w:t>
            </w:r>
          </w:p>
        </w:tc>
        <w:tc>
          <w:tcPr>
            <w:tcW w:w="1134" w:type="dxa"/>
            <w:tcBorders>
              <w:bottom w:val="single" w:sz="8" w:space="0" w:color="000000"/>
              <w:right w:val="single" w:sz="8" w:space="0" w:color="000000"/>
            </w:tcBorders>
            <w:vAlign w:val="center"/>
          </w:tcPr>
          <w:p w14:paraId="45B7B5C2" w14:textId="77777777" w:rsidR="005039EC" w:rsidRPr="00D3008A" w:rsidRDefault="005039EC" w:rsidP="006642C3">
            <w:pPr>
              <w:spacing w:after="0"/>
              <w:jc w:val="center"/>
              <w:rPr>
                <w:color w:val="00B050"/>
                <w:sz w:val="18"/>
                <w:szCs w:val="18"/>
                <w:lang w:val="en-AU" w:eastAsia="en-US"/>
              </w:rPr>
            </w:pPr>
            <w:r w:rsidRPr="00D3008A">
              <w:rPr>
                <w:color w:val="00B050"/>
                <w:sz w:val="18"/>
                <w:szCs w:val="18"/>
                <w:lang w:val="en-AU" w:eastAsia="en-US"/>
              </w:rPr>
              <w:t>Approved</w:t>
            </w:r>
          </w:p>
        </w:tc>
        <w:tc>
          <w:tcPr>
            <w:tcW w:w="1276" w:type="dxa"/>
            <w:tcBorders>
              <w:bottom w:val="single" w:sz="8" w:space="0" w:color="000000"/>
              <w:right w:val="single" w:sz="8" w:space="0" w:color="000000"/>
            </w:tcBorders>
            <w:vAlign w:val="center"/>
          </w:tcPr>
          <w:p w14:paraId="33C4AD8B" w14:textId="77777777" w:rsidR="005039EC" w:rsidRPr="00D3008A" w:rsidRDefault="005039EC" w:rsidP="006642C3">
            <w:pPr>
              <w:spacing w:after="0"/>
              <w:jc w:val="center"/>
              <w:rPr>
                <w:color w:val="00B050"/>
                <w:sz w:val="18"/>
                <w:szCs w:val="18"/>
                <w:lang w:val="en-AU" w:eastAsia="en-US"/>
              </w:rPr>
            </w:pPr>
            <w:r w:rsidRPr="00D3008A">
              <w:rPr>
                <w:color w:val="00B050"/>
                <w:sz w:val="18"/>
                <w:szCs w:val="18"/>
                <w:lang w:val="en-AU" w:eastAsia="en-US"/>
              </w:rPr>
              <w:t>Approved</w:t>
            </w:r>
          </w:p>
        </w:tc>
        <w:tc>
          <w:tcPr>
            <w:tcW w:w="1276" w:type="dxa"/>
            <w:tcBorders>
              <w:bottom w:val="single" w:sz="8" w:space="0" w:color="000000"/>
              <w:right w:val="single" w:sz="8" w:space="0" w:color="000000"/>
            </w:tcBorders>
            <w:vAlign w:val="center"/>
          </w:tcPr>
          <w:p w14:paraId="1B426DB6" w14:textId="77777777" w:rsidR="005039EC" w:rsidRPr="00D3008A" w:rsidRDefault="005039EC" w:rsidP="006642C3">
            <w:pPr>
              <w:spacing w:after="0"/>
              <w:jc w:val="center"/>
              <w:rPr>
                <w:color w:val="00B050"/>
                <w:sz w:val="18"/>
                <w:szCs w:val="18"/>
                <w:lang w:val="en-AU" w:eastAsia="en-US"/>
              </w:rPr>
            </w:pPr>
            <w:r w:rsidRPr="00D3008A">
              <w:rPr>
                <w:color w:val="00B050"/>
                <w:sz w:val="18"/>
                <w:szCs w:val="18"/>
                <w:lang w:val="en-AU" w:eastAsia="en-US"/>
              </w:rPr>
              <w:t>Approved</w:t>
            </w:r>
          </w:p>
        </w:tc>
        <w:tc>
          <w:tcPr>
            <w:tcW w:w="1134" w:type="dxa"/>
            <w:tcBorders>
              <w:bottom w:val="single" w:sz="8" w:space="0" w:color="000000"/>
              <w:right w:val="single" w:sz="8" w:space="0" w:color="000000"/>
            </w:tcBorders>
            <w:vAlign w:val="center"/>
          </w:tcPr>
          <w:p w14:paraId="5E77AC24" w14:textId="77777777" w:rsidR="005039EC" w:rsidRPr="00D3008A" w:rsidRDefault="005039EC" w:rsidP="006642C3">
            <w:pPr>
              <w:spacing w:after="0"/>
              <w:jc w:val="center"/>
              <w:rPr>
                <w:color w:val="00B050"/>
                <w:sz w:val="18"/>
                <w:szCs w:val="18"/>
                <w:lang w:val="en-AU" w:eastAsia="en-US"/>
              </w:rPr>
            </w:pPr>
            <w:r w:rsidRPr="00D3008A">
              <w:rPr>
                <w:color w:val="00B050"/>
                <w:sz w:val="18"/>
                <w:szCs w:val="18"/>
                <w:lang w:val="en-AU" w:eastAsia="en-US"/>
              </w:rPr>
              <w:t>Approved</w:t>
            </w:r>
          </w:p>
        </w:tc>
        <w:tc>
          <w:tcPr>
            <w:tcW w:w="1134" w:type="dxa"/>
            <w:tcBorders>
              <w:bottom w:val="single" w:sz="8" w:space="0" w:color="000000"/>
              <w:right w:val="single" w:sz="8" w:space="0" w:color="000000"/>
            </w:tcBorders>
            <w:vAlign w:val="center"/>
          </w:tcPr>
          <w:p w14:paraId="3013D6CB" w14:textId="77777777" w:rsidR="005039EC" w:rsidRPr="00D3008A" w:rsidRDefault="005039EC" w:rsidP="006642C3">
            <w:pPr>
              <w:spacing w:after="0"/>
              <w:jc w:val="center"/>
              <w:rPr>
                <w:color w:val="00B050"/>
                <w:sz w:val="18"/>
                <w:szCs w:val="18"/>
                <w:lang w:val="en-AU" w:eastAsia="en-US"/>
              </w:rPr>
            </w:pPr>
            <w:r w:rsidRPr="00D3008A">
              <w:rPr>
                <w:color w:val="00B050"/>
                <w:sz w:val="18"/>
                <w:szCs w:val="18"/>
                <w:lang w:val="en-AU" w:eastAsia="en-US"/>
              </w:rPr>
              <w:t>Not Determined</w:t>
            </w:r>
          </w:p>
        </w:tc>
        <w:tc>
          <w:tcPr>
            <w:tcW w:w="1134" w:type="dxa"/>
            <w:tcBorders>
              <w:top w:val="single" w:sz="8" w:space="0" w:color="000000"/>
              <w:bottom w:val="single" w:sz="8" w:space="0" w:color="000000"/>
              <w:right w:val="single" w:sz="8" w:space="0" w:color="000000"/>
            </w:tcBorders>
            <w:shd w:val="solid" w:color="F2DBDB" w:themeColor="accent2" w:themeTint="33" w:fill="F2DBDB" w:themeFill="accent2" w:themeFillTint="33"/>
            <w:vAlign w:val="center"/>
          </w:tcPr>
          <w:p w14:paraId="49CBAAD0" w14:textId="0AD6512E" w:rsidR="005039EC" w:rsidRPr="0098413B" w:rsidRDefault="005039EC" w:rsidP="006642C3">
            <w:pPr>
              <w:spacing w:after="0"/>
              <w:jc w:val="center"/>
              <w:rPr>
                <w:color w:val="FF0000"/>
                <w:sz w:val="18"/>
                <w:szCs w:val="18"/>
                <w:lang w:val="en-AU" w:eastAsia="en-US"/>
              </w:rPr>
            </w:pPr>
            <w:r w:rsidRPr="0098413B">
              <w:rPr>
                <w:color w:val="FF0000"/>
                <w:sz w:val="18"/>
                <w:szCs w:val="18"/>
                <w:lang w:val="en-AU" w:eastAsia="en-US"/>
              </w:rPr>
              <w:t xml:space="preserve">Unable to </w:t>
            </w:r>
            <w:r>
              <w:rPr>
                <w:color w:val="FF0000"/>
                <w:sz w:val="18"/>
                <w:szCs w:val="18"/>
                <w:lang w:val="en-AU" w:eastAsia="en-US"/>
              </w:rPr>
              <w:t>A</w:t>
            </w:r>
            <w:r w:rsidRPr="0098413B">
              <w:rPr>
                <w:color w:val="FF0000"/>
                <w:sz w:val="18"/>
                <w:szCs w:val="18"/>
                <w:lang w:val="en-AU" w:eastAsia="en-US"/>
              </w:rPr>
              <w:t>ssess</w:t>
            </w:r>
          </w:p>
        </w:tc>
        <w:tc>
          <w:tcPr>
            <w:tcW w:w="1134" w:type="dxa"/>
            <w:tcBorders>
              <w:top w:val="single" w:sz="8" w:space="0" w:color="000000"/>
              <w:left w:val="single" w:sz="8" w:space="0" w:color="000000"/>
              <w:bottom w:val="single" w:sz="8" w:space="0" w:color="000000"/>
              <w:right w:val="single" w:sz="8" w:space="0" w:color="000000"/>
            </w:tcBorders>
            <w:shd w:val="solid" w:color="F2DBDB" w:themeColor="accent2" w:themeTint="33" w:fill="F2DBDB" w:themeFill="accent2" w:themeFillTint="33"/>
            <w:vAlign w:val="center"/>
          </w:tcPr>
          <w:p w14:paraId="2AC9EE6A" w14:textId="1253267F" w:rsidR="005039EC" w:rsidRPr="0098413B" w:rsidRDefault="005039EC" w:rsidP="006642C3">
            <w:pPr>
              <w:spacing w:after="0"/>
              <w:jc w:val="center"/>
              <w:rPr>
                <w:color w:val="FF0000"/>
                <w:sz w:val="18"/>
                <w:szCs w:val="18"/>
                <w:lang w:val="en-AU" w:eastAsia="en-US"/>
              </w:rPr>
            </w:pPr>
            <w:r w:rsidRPr="0098413B">
              <w:rPr>
                <w:color w:val="FF0000"/>
                <w:sz w:val="18"/>
                <w:szCs w:val="18"/>
                <w:lang w:val="en-AU" w:eastAsia="en-US"/>
              </w:rPr>
              <w:t xml:space="preserve">Unable to </w:t>
            </w:r>
            <w:r>
              <w:rPr>
                <w:color w:val="FF0000"/>
                <w:sz w:val="18"/>
                <w:szCs w:val="18"/>
                <w:lang w:val="en-AU" w:eastAsia="en-US"/>
              </w:rPr>
              <w:t>A</w:t>
            </w:r>
            <w:r w:rsidRPr="0098413B">
              <w:rPr>
                <w:color w:val="FF0000"/>
                <w:sz w:val="18"/>
                <w:szCs w:val="18"/>
                <w:lang w:val="en-AU" w:eastAsia="en-US"/>
              </w:rPr>
              <w:t>ssess</w:t>
            </w:r>
          </w:p>
        </w:tc>
        <w:tc>
          <w:tcPr>
            <w:tcW w:w="1063" w:type="dxa"/>
            <w:tcBorders>
              <w:top w:val="single" w:sz="8" w:space="0" w:color="000000"/>
              <w:left w:val="single" w:sz="8" w:space="0" w:color="000000"/>
              <w:bottom w:val="single" w:sz="8" w:space="0" w:color="000000"/>
              <w:right w:val="single" w:sz="8" w:space="0" w:color="000000"/>
            </w:tcBorders>
            <w:vAlign w:val="center"/>
          </w:tcPr>
          <w:p w14:paraId="4DA0EA56" w14:textId="77777777" w:rsidR="005039EC" w:rsidRPr="00A54649" w:rsidRDefault="005039EC" w:rsidP="006642C3">
            <w:pPr>
              <w:spacing w:after="0"/>
              <w:jc w:val="center"/>
              <w:rPr>
                <w:sz w:val="18"/>
                <w:szCs w:val="18"/>
                <w:lang w:val="en-AU" w:eastAsia="en-US"/>
              </w:rPr>
            </w:pPr>
          </w:p>
        </w:tc>
        <w:tc>
          <w:tcPr>
            <w:tcW w:w="1063" w:type="dxa"/>
            <w:tcBorders>
              <w:top w:val="single" w:sz="8" w:space="0" w:color="000000"/>
              <w:left w:val="single" w:sz="8" w:space="0" w:color="000000"/>
              <w:bottom w:val="single" w:sz="8" w:space="0" w:color="000000"/>
              <w:right w:val="single" w:sz="8" w:space="0" w:color="000000"/>
            </w:tcBorders>
            <w:vAlign w:val="center"/>
          </w:tcPr>
          <w:p w14:paraId="0423EAF0" w14:textId="75BF7964" w:rsidR="005039EC" w:rsidRPr="00A54649" w:rsidRDefault="005039EC" w:rsidP="006642C3">
            <w:pPr>
              <w:spacing w:after="0"/>
              <w:jc w:val="center"/>
              <w:rPr>
                <w:sz w:val="18"/>
                <w:szCs w:val="18"/>
                <w:lang w:val="en-AU" w:eastAsia="en-US"/>
              </w:rPr>
            </w:pPr>
          </w:p>
        </w:tc>
      </w:tr>
      <w:tr w:rsidR="005039EC" w:rsidRPr="00A54649" w14:paraId="6E4658A6" w14:textId="77777777" w:rsidTr="008361B4">
        <w:tc>
          <w:tcPr>
            <w:tcW w:w="1725" w:type="dxa"/>
            <w:tcBorders>
              <w:left w:val="single" w:sz="8" w:space="0" w:color="000000"/>
              <w:bottom w:val="single" w:sz="8" w:space="0" w:color="000000"/>
              <w:right w:val="single" w:sz="8" w:space="0" w:color="000000"/>
            </w:tcBorders>
            <w:vAlign w:val="center"/>
          </w:tcPr>
          <w:p w14:paraId="0F2D059F" w14:textId="77777777" w:rsidR="005039EC" w:rsidRPr="00A54649" w:rsidRDefault="005039EC" w:rsidP="006642C3">
            <w:pPr>
              <w:spacing w:after="0"/>
              <w:rPr>
                <w:sz w:val="18"/>
                <w:szCs w:val="18"/>
                <w:lang w:val="en-AU" w:eastAsia="en-US"/>
              </w:rPr>
            </w:pPr>
            <w:r w:rsidRPr="00A54649">
              <w:rPr>
                <w:sz w:val="18"/>
                <w:szCs w:val="18"/>
                <w:lang w:val="en-AU" w:eastAsia="en-US"/>
              </w:rPr>
              <w:t>Microwave Plasma</w:t>
            </w:r>
          </w:p>
        </w:tc>
        <w:tc>
          <w:tcPr>
            <w:tcW w:w="1134" w:type="dxa"/>
            <w:tcBorders>
              <w:bottom w:val="single" w:sz="8" w:space="0" w:color="000000"/>
              <w:right w:val="single" w:sz="8" w:space="0" w:color="000000"/>
            </w:tcBorders>
            <w:vAlign w:val="center"/>
          </w:tcPr>
          <w:p w14:paraId="4D3D6AD2" w14:textId="77777777" w:rsidR="005039EC" w:rsidRPr="00D3008A" w:rsidRDefault="005039EC" w:rsidP="006642C3">
            <w:pPr>
              <w:spacing w:after="0"/>
              <w:jc w:val="center"/>
              <w:rPr>
                <w:color w:val="00B050"/>
                <w:sz w:val="18"/>
                <w:szCs w:val="18"/>
                <w:lang w:val="en-AU" w:eastAsia="en-US"/>
              </w:rPr>
            </w:pPr>
            <w:r w:rsidRPr="00D3008A">
              <w:rPr>
                <w:color w:val="00B050"/>
                <w:sz w:val="18"/>
                <w:szCs w:val="18"/>
                <w:lang w:val="en-AU" w:eastAsia="en-US"/>
              </w:rPr>
              <w:t>Approved</w:t>
            </w:r>
          </w:p>
        </w:tc>
        <w:tc>
          <w:tcPr>
            <w:tcW w:w="1134" w:type="dxa"/>
            <w:tcBorders>
              <w:bottom w:val="single" w:sz="8" w:space="0" w:color="000000"/>
              <w:right w:val="single" w:sz="8" w:space="0" w:color="000000"/>
            </w:tcBorders>
            <w:vAlign w:val="center"/>
          </w:tcPr>
          <w:p w14:paraId="4837CDC2" w14:textId="77777777" w:rsidR="005039EC" w:rsidRPr="00D3008A" w:rsidRDefault="005039EC" w:rsidP="006642C3">
            <w:pPr>
              <w:spacing w:after="0"/>
              <w:jc w:val="center"/>
              <w:rPr>
                <w:color w:val="00B050"/>
                <w:sz w:val="18"/>
                <w:szCs w:val="18"/>
                <w:lang w:val="en-AU" w:eastAsia="en-US"/>
              </w:rPr>
            </w:pPr>
            <w:r w:rsidRPr="00D3008A">
              <w:rPr>
                <w:color w:val="00B050"/>
                <w:sz w:val="18"/>
                <w:szCs w:val="18"/>
                <w:lang w:val="en-AU" w:eastAsia="en-US"/>
              </w:rPr>
              <w:t xml:space="preserve">Not </w:t>
            </w:r>
            <w:r w:rsidRPr="00D3008A">
              <w:rPr>
                <w:color w:val="00B050"/>
                <w:sz w:val="18"/>
                <w:szCs w:val="18"/>
                <w:lang w:val="en-AU" w:eastAsia="en-US"/>
              </w:rPr>
              <w:lastRenderedPageBreak/>
              <w:t>Determined</w:t>
            </w:r>
          </w:p>
        </w:tc>
        <w:tc>
          <w:tcPr>
            <w:tcW w:w="1134" w:type="dxa"/>
            <w:tcBorders>
              <w:bottom w:val="single" w:sz="8" w:space="0" w:color="000000"/>
              <w:right w:val="single" w:sz="8" w:space="0" w:color="000000"/>
            </w:tcBorders>
            <w:vAlign w:val="center"/>
          </w:tcPr>
          <w:p w14:paraId="1FDD72A8" w14:textId="77777777" w:rsidR="005039EC" w:rsidRPr="00D3008A" w:rsidRDefault="005039EC" w:rsidP="006642C3">
            <w:pPr>
              <w:spacing w:after="0"/>
              <w:jc w:val="center"/>
              <w:rPr>
                <w:color w:val="00B050"/>
                <w:sz w:val="18"/>
                <w:szCs w:val="18"/>
                <w:lang w:val="en-AU" w:eastAsia="en-US"/>
              </w:rPr>
            </w:pPr>
            <w:r w:rsidRPr="00D3008A">
              <w:rPr>
                <w:color w:val="00B050"/>
                <w:sz w:val="18"/>
                <w:szCs w:val="18"/>
                <w:lang w:val="en-AU" w:eastAsia="en-US"/>
              </w:rPr>
              <w:lastRenderedPageBreak/>
              <w:t>Approved</w:t>
            </w:r>
          </w:p>
        </w:tc>
        <w:tc>
          <w:tcPr>
            <w:tcW w:w="1276" w:type="dxa"/>
            <w:tcBorders>
              <w:bottom w:val="single" w:sz="8" w:space="0" w:color="000000"/>
              <w:right w:val="single" w:sz="8" w:space="0" w:color="000000"/>
            </w:tcBorders>
            <w:vAlign w:val="center"/>
          </w:tcPr>
          <w:p w14:paraId="0D844F15" w14:textId="77777777" w:rsidR="005039EC" w:rsidRPr="00D3008A" w:rsidRDefault="005039EC" w:rsidP="006642C3">
            <w:pPr>
              <w:spacing w:after="0"/>
              <w:jc w:val="center"/>
              <w:rPr>
                <w:color w:val="00B050"/>
                <w:sz w:val="18"/>
                <w:szCs w:val="18"/>
                <w:lang w:val="en-AU" w:eastAsia="en-US"/>
              </w:rPr>
            </w:pPr>
            <w:r w:rsidRPr="00D3008A">
              <w:rPr>
                <w:color w:val="00B050"/>
                <w:sz w:val="18"/>
                <w:szCs w:val="18"/>
                <w:lang w:val="en-AU" w:eastAsia="en-US"/>
              </w:rPr>
              <w:t>Approved</w:t>
            </w:r>
          </w:p>
        </w:tc>
        <w:tc>
          <w:tcPr>
            <w:tcW w:w="1276" w:type="dxa"/>
            <w:tcBorders>
              <w:bottom w:val="single" w:sz="8" w:space="0" w:color="000000"/>
              <w:right w:val="single" w:sz="8" w:space="0" w:color="000000"/>
            </w:tcBorders>
            <w:vAlign w:val="center"/>
          </w:tcPr>
          <w:p w14:paraId="27DA8703" w14:textId="77777777" w:rsidR="005039EC" w:rsidRPr="00D3008A" w:rsidRDefault="005039EC" w:rsidP="006642C3">
            <w:pPr>
              <w:spacing w:after="0"/>
              <w:jc w:val="center"/>
              <w:rPr>
                <w:color w:val="00B050"/>
                <w:sz w:val="18"/>
                <w:szCs w:val="18"/>
                <w:lang w:val="en-AU" w:eastAsia="en-US"/>
              </w:rPr>
            </w:pPr>
            <w:r w:rsidRPr="00D3008A">
              <w:rPr>
                <w:color w:val="00B050"/>
                <w:sz w:val="18"/>
                <w:szCs w:val="18"/>
                <w:lang w:val="en-AU" w:eastAsia="en-US"/>
              </w:rPr>
              <w:t>Approved</w:t>
            </w:r>
          </w:p>
        </w:tc>
        <w:tc>
          <w:tcPr>
            <w:tcW w:w="1134" w:type="dxa"/>
            <w:tcBorders>
              <w:bottom w:val="single" w:sz="8" w:space="0" w:color="000000"/>
              <w:right w:val="single" w:sz="8" w:space="0" w:color="000000"/>
            </w:tcBorders>
            <w:vAlign w:val="center"/>
          </w:tcPr>
          <w:p w14:paraId="057A4247" w14:textId="77777777" w:rsidR="005039EC" w:rsidRPr="00D3008A" w:rsidRDefault="005039EC" w:rsidP="006642C3">
            <w:pPr>
              <w:spacing w:after="0"/>
              <w:jc w:val="center"/>
              <w:rPr>
                <w:color w:val="00B050"/>
                <w:sz w:val="18"/>
                <w:szCs w:val="18"/>
                <w:lang w:val="en-AU" w:eastAsia="en-US"/>
              </w:rPr>
            </w:pPr>
            <w:r w:rsidRPr="00D3008A">
              <w:rPr>
                <w:color w:val="00B050"/>
                <w:sz w:val="18"/>
                <w:szCs w:val="18"/>
                <w:lang w:val="en-AU" w:eastAsia="en-US"/>
              </w:rPr>
              <w:t>Approved</w:t>
            </w:r>
          </w:p>
        </w:tc>
        <w:tc>
          <w:tcPr>
            <w:tcW w:w="1134" w:type="dxa"/>
            <w:tcBorders>
              <w:bottom w:val="single" w:sz="8" w:space="0" w:color="000000"/>
              <w:right w:val="single" w:sz="8" w:space="0" w:color="000000"/>
            </w:tcBorders>
            <w:vAlign w:val="center"/>
          </w:tcPr>
          <w:p w14:paraId="3E4D5C82" w14:textId="77777777" w:rsidR="005039EC" w:rsidRPr="00D3008A" w:rsidRDefault="005039EC" w:rsidP="006642C3">
            <w:pPr>
              <w:spacing w:after="0"/>
              <w:jc w:val="center"/>
              <w:rPr>
                <w:color w:val="00B050"/>
                <w:sz w:val="18"/>
                <w:szCs w:val="18"/>
                <w:lang w:val="en-AU" w:eastAsia="en-US"/>
              </w:rPr>
            </w:pPr>
            <w:r w:rsidRPr="00D3008A">
              <w:rPr>
                <w:color w:val="00B050"/>
                <w:sz w:val="18"/>
                <w:szCs w:val="18"/>
                <w:lang w:val="en-AU" w:eastAsia="en-US"/>
              </w:rPr>
              <w:t xml:space="preserve">Not </w:t>
            </w:r>
            <w:r w:rsidRPr="00D3008A">
              <w:rPr>
                <w:color w:val="00B050"/>
                <w:sz w:val="18"/>
                <w:szCs w:val="18"/>
                <w:lang w:val="en-AU" w:eastAsia="en-US"/>
              </w:rPr>
              <w:lastRenderedPageBreak/>
              <w:t>Determined</w:t>
            </w:r>
          </w:p>
        </w:tc>
        <w:tc>
          <w:tcPr>
            <w:tcW w:w="1134" w:type="dxa"/>
            <w:tcBorders>
              <w:top w:val="single" w:sz="8" w:space="0" w:color="000000"/>
              <w:bottom w:val="single" w:sz="8" w:space="0" w:color="000000"/>
              <w:right w:val="single" w:sz="8" w:space="0" w:color="000000"/>
            </w:tcBorders>
            <w:shd w:val="solid" w:color="F2DBDB" w:themeColor="accent2" w:themeTint="33" w:fill="F2DBDB" w:themeFill="accent2" w:themeFillTint="33"/>
            <w:vAlign w:val="center"/>
          </w:tcPr>
          <w:p w14:paraId="271D0243" w14:textId="5EBBF8FA" w:rsidR="005039EC" w:rsidRPr="00A54649" w:rsidRDefault="005039EC" w:rsidP="006642C3">
            <w:pPr>
              <w:spacing w:after="0"/>
              <w:jc w:val="center"/>
              <w:rPr>
                <w:sz w:val="18"/>
                <w:szCs w:val="18"/>
                <w:lang w:val="en-AU" w:eastAsia="en-US"/>
              </w:rPr>
            </w:pPr>
            <w:r w:rsidRPr="00D05E5C">
              <w:rPr>
                <w:color w:val="FF0000"/>
                <w:sz w:val="18"/>
                <w:szCs w:val="18"/>
                <w:lang w:val="en-AU" w:eastAsia="en-US"/>
              </w:rPr>
              <w:lastRenderedPageBreak/>
              <w:t xml:space="preserve">Unable to </w:t>
            </w:r>
            <w:r>
              <w:rPr>
                <w:color w:val="FF0000"/>
                <w:sz w:val="18"/>
                <w:szCs w:val="18"/>
                <w:lang w:val="en-AU" w:eastAsia="en-US"/>
              </w:rPr>
              <w:lastRenderedPageBreak/>
              <w:t>A</w:t>
            </w:r>
            <w:r w:rsidRPr="00D05E5C">
              <w:rPr>
                <w:color w:val="FF0000"/>
                <w:sz w:val="18"/>
                <w:szCs w:val="18"/>
                <w:lang w:val="en-AU" w:eastAsia="en-US"/>
              </w:rPr>
              <w:t>ssess</w:t>
            </w:r>
          </w:p>
        </w:tc>
        <w:tc>
          <w:tcPr>
            <w:tcW w:w="1134" w:type="dxa"/>
            <w:tcBorders>
              <w:top w:val="single" w:sz="8" w:space="0" w:color="000000"/>
              <w:left w:val="single" w:sz="8" w:space="0" w:color="000000"/>
              <w:bottom w:val="single" w:sz="8" w:space="0" w:color="000000"/>
              <w:right w:val="single" w:sz="8" w:space="0" w:color="000000"/>
            </w:tcBorders>
            <w:shd w:val="solid" w:color="F2DBDB" w:themeColor="accent2" w:themeTint="33" w:fill="F2DBDB" w:themeFill="accent2" w:themeFillTint="33"/>
            <w:vAlign w:val="center"/>
          </w:tcPr>
          <w:p w14:paraId="77D9B052" w14:textId="6195F219" w:rsidR="005039EC" w:rsidRPr="00A54649" w:rsidRDefault="005039EC" w:rsidP="006642C3">
            <w:pPr>
              <w:spacing w:after="0"/>
              <w:jc w:val="center"/>
              <w:rPr>
                <w:sz w:val="18"/>
                <w:szCs w:val="18"/>
                <w:lang w:val="en-AU" w:eastAsia="en-US"/>
              </w:rPr>
            </w:pPr>
            <w:r w:rsidRPr="00D05E5C">
              <w:rPr>
                <w:color w:val="FF0000"/>
                <w:sz w:val="18"/>
                <w:szCs w:val="18"/>
                <w:lang w:val="en-AU" w:eastAsia="en-US"/>
              </w:rPr>
              <w:lastRenderedPageBreak/>
              <w:t xml:space="preserve">Unable to </w:t>
            </w:r>
            <w:r>
              <w:rPr>
                <w:color w:val="FF0000"/>
                <w:sz w:val="18"/>
                <w:szCs w:val="18"/>
                <w:lang w:val="en-AU" w:eastAsia="en-US"/>
              </w:rPr>
              <w:lastRenderedPageBreak/>
              <w:t>A</w:t>
            </w:r>
            <w:r w:rsidRPr="00D05E5C">
              <w:rPr>
                <w:color w:val="FF0000"/>
                <w:sz w:val="18"/>
                <w:szCs w:val="18"/>
                <w:lang w:val="en-AU" w:eastAsia="en-US"/>
              </w:rPr>
              <w:t>ssess</w:t>
            </w:r>
          </w:p>
        </w:tc>
        <w:tc>
          <w:tcPr>
            <w:tcW w:w="1063" w:type="dxa"/>
            <w:tcBorders>
              <w:top w:val="single" w:sz="8" w:space="0" w:color="000000"/>
              <w:left w:val="single" w:sz="8" w:space="0" w:color="000000"/>
              <w:bottom w:val="single" w:sz="8" w:space="0" w:color="000000"/>
              <w:right w:val="single" w:sz="8" w:space="0" w:color="000000"/>
            </w:tcBorders>
            <w:vAlign w:val="center"/>
          </w:tcPr>
          <w:p w14:paraId="67B0EF9F" w14:textId="77777777" w:rsidR="005039EC" w:rsidRPr="00A54649" w:rsidRDefault="005039EC" w:rsidP="006642C3">
            <w:pPr>
              <w:spacing w:after="0"/>
              <w:jc w:val="center"/>
              <w:rPr>
                <w:sz w:val="18"/>
                <w:szCs w:val="18"/>
                <w:lang w:val="en-AU" w:eastAsia="en-US"/>
              </w:rPr>
            </w:pPr>
          </w:p>
        </w:tc>
        <w:tc>
          <w:tcPr>
            <w:tcW w:w="1063" w:type="dxa"/>
            <w:tcBorders>
              <w:top w:val="single" w:sz="8" w:space="0" w:color="000000"/>
              <w:left w:val="single" w:sz="8" w:space="0" w:color="000000"/>
              <w:bottom w:val="single" w:sz="8" w:space="0" w:color="000000"/>
              <w:right w:val="single" w:sz="8" w:space="0" w:color="000000"/>
            </w:tcBorders>
            <w:vAlign w:val="center"/>
          </w:tcPr>
          <w:p w14:paraId="38E2C257" w14:textId="2660B949" w:rsidR="005039EC" w:rsidRPr="00A54649" w:rsidRDefault="005039EC" w:rsidP="006642C3">
            <w:pPr>
              <w:spacing w:after="0"/>
              <w:jc w:val="center"/>
              <w:rPr>
                <w:sz w:val="18"/>
                <w:szCs w:val="18"/>
                <w:lang w:val="en-AU" w:eastAsia="en-US"/>
              </w:rPr>
            </w:pPr>
          </w:p>
        </w:tc>
      </w:tr>
      <w:tr w:rsidR="005039EC" w:rsidRPr="00A54649" w14:paraId="35E71741" w14:textId="77777777" w:rsidTr="008361B4">
        <w:tc>
          <w:tcPr>
            <w:tcW w:w="1725" w:type="dxa"/>
            <w:tcBorders>
              <w:left w:val="single" w:sz="8" w:space="0" w:color="000000"/>
              <w:bottom w:val="single" w:sz="8" w:space="0" w:color="000000"/>
              <w:right w:val="single" w:sz="8" w:space="0" w:color="000000"/>
            </w:tcBorders>
            <w:vAlign w:val="center"/>
          </w:tcPr>
          <w:p w14:paraId="1BC3B85E" w14:textId="77777777" w:rsidR="005039EC" w:rsidRPr="00A54649" w:rsidRDefault="005039EC" w:rsidP="006642C3">
            <w:pPr>
              <w:spacing w:after="0"/>
              <w:rPr>
                <w:sz w:val="18"/>
                <w:szCs w:val="18"/>
                <w:lang w:val="en-AU" w:eastAsia="en-US"/>
              </w:rPr>
            </w:pPr>
            <w:r w:rsidRPr="00A54649">
              <w:rPr>
                <w:sz w:val="18"/>
                <w:szCs w:val="18"/>
                <w:lang w:val="en-AU" w:eastAsia="en-US"/>
              </w:rPr>
              <w:lastRenderedPageBreak/>
              <w:t>Nitrogen Plasma Arc</w:t>
            </w:r>
          </w:p>
        </w:tc>
        <w:tc>
          <w:tcPr>
            <w:tcW w:w="1134" w:type="dxa"/>
            <w:tcBorders>
              <w:bottom w:val="single" w:sz="8" w:space="0" w:color="000000"/>
              <w:right w:val="single" w:sz="8" w:space="0" w:color="000000"/>
            </w:tcBorders>
            <w:vAlign w:val="center"/>
          </w:tcPr>
          <w:p w14:paraId="3E849C88" w14:textId="77777777" w:rsidR="005039EC" w:rsidRPr="00D3008A" w:rsidRDefault="005039EC" w:rsidP="006642C3">
            <w:pPr>
              <w:spacing w:after="0"/>
              <w:jc w:val="center"/>
              <w:rPr>
                <w:color w:val="00B050"/>
                <w:sz w:val="18"/>
                <w:szCs w:val="18"/>
                <w:lang w:val="en-AU" w:eastAsia="en-US"/>
              </w:rPr>
            </w:pPr>
            <w:r w:rsidRPr="00D3008A">
              <w:rPr>
                <w:color w:val="00B050"/>
                <w:sz w:val="18"/>
                <w:szCs w:val="18"/>
                <w:lang w:val="en-AU" w:eastAsia="en-US"/>
              </w:rPr>
              <w:t>Approved</w:t>
            </w:r>
          </w:p>
        </w:tc>
        <w:tc>
          <w:tcPr>
            <w:tcW w:w="1134" w:type="dxa"/>
            <w:tcBorders>
              <w:bottom w:val="single" w:sz="8" w:space="0" w:color="000000"/>
              <w:right w:val="single" w:sz="8" w:space="0" w:color="000000"/>
            </w:tcBorders>
            <w:vAlign w:val="center"/>
          </w:tcPr>
          <w:p w14:paraId="0075D198" w14:textId="77777777" w:rsidR="005039EC" w:rsidRPr="00D3008A" w:rsidRDefault="005039EC" w:rsidP="006642C3">
            <w:pPr>
              <w:spacing w:after="0"/>
              <w:jc w:val="center"/>
              <w:rPr>
                <w:color w:val="00B050"/>
                <w:sz w:val="18"/>
                <w:szCs w:val="18"/>
                <w:lang w:val="en-AU" w:eastAsia="en-US"/>
              </w:rPr>
            </w:pPr>
            <w:r w:rsidRPr="00D3008A">
              <w:rPr>
                <w:color w:val="00B050"/>
                <w:sz w:val="18"/>
                <w:szCs w:val="18"/>
                <w:lang w:val="en-AU" w:eastAsia="en-US"/>
              </w:rPr>
              <w:t>Not Determined</w:t>
            </w:r>
          </w:p>
        </w:tc>
        <w:tc>
          <w:tcPr>
            <w:tcW w:w="1134" w:type="dxa"/>
            <w:tcBorders>
              <w:bottom w:val="single" w:sz="8" w:space="0" w:color="000000"/>
              <w:right w:val="single" w:sz="8" w:space="0" w:color="000000"/>
            </w:tcBorders>
            <w:vAlign w:val="center"/>
          </w:tcPr>
          <w:p w14:paraId="42F672EF" w14:textId="77777777" w:rsidR="005039EC" w:rsidRPr="00D3008A" w:rsidRDefault="005039EC" w:rsidP="006642C3">
            <w:pPr>
              <w:spacing w:after="0"/>
              <w:jc w:val="center"/>
              <w:rPr>
                <w:color w:val="00B050"/>
                <w:sz w:val="18"/>
                <w:szCs w:val="18"/>
                <w:lang w:val="en-AU" w:eastAsia="en-US"/>
              </w:rPr>
            </w:pPr>
            <w:r w:rsidRPr="00D3008A">
              <w:rPr>
                <w:color w:val="00B050"/>
                <w:sz w:val="18"/>
                <w:szCs w:val="18"/>
                <w:lang w:val="en-AU" w:eastAsia="en-US"/>
              </w:rPr>
              <w:t>Approved</w:t>
            </w:r>
          </w:p>
        </w:tc>
        <w:tc>
          <w:tcPr>
            <w:tcW w:w="1276" w:type="dxa"/>
            <w:tcBorders>
              <w:bottom w:val="single" w:sz="8" w:space="0" w:color="000000"/>
              <w:right w:val="single" w:sz="8" w:space="0" w:color="000000"/>
            </w:tcBorders>
            <w:vAlign w:val="center"/>
          </w:tcPr>
          <w:p w14:paraId="03A415F1" w14:textId="77777777" w:rsidR="005039EC" w:rsidRPr="00D3008A" w:rsidRDefault="005039EC" w:rsidP="006642C3">
            <w:pPr>
              <w:spacing w:after="0"/>
              <w:jc w:val="center"/>
              <w:rPr>
                <w:color w:val="00B050"/>
                <w:sz w:val="18"/>
                <w:szCs w:val="18"/>
                <w:lang w:val="en-AU" w:eastAsia="en-US"/>
              </w:rPr>
            </w:pPr>
            <w:r w:rsidRPr="00D3008A">
              <w:rPr>
                <w:color w:val="00B050"/>
                <w:sz w:val="18"/>
                <w:szCs w:val="18"/>
                <w:lang w:val="en-AU" w:eastAsia="en-US"/>
              </w:rPr>
              <w:t>Approved</w:t>
            </w:r>
          </w:p>
        </w:tc>
        <w:tc>
          <w:tcPr>
            <w:tcW w:w="1276" w:type="dxa"/>
            <w:tcBorders>
              <w:bottom w:val="single" w:sz="8" w:space="0" w:color="000000"/>
              <w:right w:val="single" w:sz="8" w:space="0" w:color="000000"/>
            </w:tcBorders>
            <w:vAlign w:val="center"/>
          </w:tcPr>
          <w:p w14:paraId="48EA78B2" w14:textId="77777777" w:rsidR="005039EC" w:rsidRPr="00D3008A" w:rsidRDefault="005039EC" w:rsidP="006642C3">
            <w:pPr>
              <w:spacing w:after="0"/>
              <w:jc w:val="center"/>
              <w:rPr>
                <w:color w:val="00B050"/>
                <w:sz w:val="18"/>
                <w:szCs w:val="18"/>
                <w:lang w:val="en-AU" w:eastAsia="en-US"/>
              </w:rPr>
            </w:pPr>
            <w:r w:rsidRPr="00D3008A">
              <w:rPr>
                <w:color w:val="00B050"/>
                <w:sz w:val="18"/>
                <w:szCs w:val="18"/>
                <w:lang w:val="en-AU" w:eastAsia="en-US"/>
              </w:rPr>
              <w:t>Approved</w:t>
            </w:r>
          </w:p>
        </w:tc>
        <w:tc>
          <w:tcPr>
            <w:tcW w:w="1134" w:type="dxa"/>
            <w:tcBorders>
              <w:bottom w:val="single" w:sz="8" w:space="0" w:color="000000"/>
              <w:right w:val="single" w:sz="8" w:space="0" w:color="000000"/>
            </w:tcBorders>
            <w:vAlign w:val="center"/>
          </w:tcPr>
          <w:p w14:paraId="66251CB4" w14:textId="77777777" w:rsidR="005039EC" w:rsidRPr="00D3008A" w:rsidRDefault="005039EC" w:rsidP="006642C3">
            <w:pPr>
              <w:spacing w:after="0"/>
              <w:jc w:val="center"/>
              <w:rPr>
                <w:color w:val="00B050"/>
                <w:sz w:val="18"/>
                <w:szCs w:val="18"/>
                <w:lang w:val="en-AU" w:eastAsia="en-US"/>
              </w:rPr>
            </w:pPr>
            <w:r w:rsidRPr="00D3008A">
              <w:rPr>
                <w:color w:val="00B050"/>
                <w:sz w:val="18"/>
                <w:szCs w:val="18"/>
                <w:lang w:val="en-AU" w:eastAsia="en-US"/>
              </w:rPr>
              <w:t>Approved</w:t>
            </w:r>
          </w:p>
        </w:tc>
        <w:tc>
          <w:tcPr>
            <w:tcW w:w="1134" w:type="dxa"/>
            <w:tcBorders>
              <w:bottom w:val="single" w:sz="8" w:space="0" w:color="000000"/>
              <w:right w:val="single" w:sz="8" w:space="0" w:color="000000"/>
            </w:tcBorders>
            <w:vAlign w:val="center"/>
          </w:tcPr>
          <w:p w14:paraId="38CB0FA4" w14:textId="77777777" w:rsidR="005039EC" w:rsidRPr="00D3008A" w:rsidRDefault="005039EC" w:rsidP="006642C3">
            <w:pPr>
              <w:spacing w:after="0"/>
              <w:jc w:val="center"/>
              <w:rPr>
                <w:color w:val="00B050"/>
                <w:sz w:val="18"/>
                <w:szCs w:val="18"/>
                <w:lang w:val="en-AU" w:eastAsia="en-US"/>
              </w:rPr>
            </w:pPr>
            <w:r w:rsidRPr="00D3008A">
              <w:rPr>
                <w:color w:val="00B050"/>
                <w:sz w:val="18"/>
                <w:szCs w:val="18"/>
                <w:lang w:val="en-AU" w:eastAsia="en-US"/>
              </w:rPr>
              <w:t>Not Determined</w:t>
            </w:r>
          </w:p>
        </w:tc>
        <w:tc>
          <w:tcPr>
            <w:tcW w:w="1134" w:type="dxa"/>
            <w:tcBorders>
              <w:top w:val="single" w:sz="8" w:space="0" w:color="000000"/>
              <w:bottom w:val="single" w:sz="8" w:space="0" w:color="000000"/>
              <w:right w:val="single" w:sz="8" w:space="0" w:color="000000"/>
            </w:tcBorders>
            <w:shd w:val="solid" w:color="F2DBDB" w:themeColor="accent2" w:themeTint="33" w:fill="F2DBDB" w:themeFill="accent2" w:themeFillTint="33"/>
            <w:vAlign w:val="center"/>
          </w:tcPr>
          <w:p w14:paraId="757A6805" w14:textId="36D33301" w:rsidR="005039EC" w:rsidRPr="00A54649" w:rsidRDefault="005039EC" w:rsidP="006642C3">
            <w:pPr>
              <w:spacing w:after="0"/>
              <w:jc w:val="center"/>
              <w:rPr>
                <w:sz w:val="18"/>
                <w:szCs w:val="18"/>
                <w:lang w:val="en-AU" w:eastAsia="en-US"/>
              </w:rPr>
            </w:pPr>
            <w:r w:rsidRPr="00D05E5C">
              <w:rPr>
                <w:color w:val="FF0000"/>
                <w:sz w:val="18"/>
                <w:szCs w:val="18"/>
                <w:lang w:val="en-AU" w:eastAsia="en-US"/>
              </w:rPr>
              <w:t>High Potential</w:t>
            </w:r>
          </w:p>
        </w:tc>
        <w:tc>
          <w:tcPr>
            <w:tcW w:w="1134" w:type="dxa"/>
            <w:tcBorders>
              <w:top w:val="single" w:sz="8" w:space="0" w:color="000000"/>
              <w:left w:val="single" w:sz="8" w:space="0" w:color="000000"/>
              <w:bottom w:val="single" w:sz="8" w:space="0" w:color="000000"/>
              <w:right w:val="single" w:sz="8" w:space="0" w:color="000000"/>
            </w:tcBorders>
            <w:shd w:val="solid" w:color="F2DBDB" w:themeColor="accent2" w:themeTint="33" w:fill="F2DBDB" w:themeFill="accent2" w:themeFillTint="33"/>
            <w:vAlign w:val="center"/>
          </w:tcPr>
          <w:p w14:paraId="52BAD220" w14:textId="5F5876CB" w:rsidR="005039EC" w:rsidRPr="00A54649" w:rsidRDefault="005039EC" w:rsidP="006642C3">
            <w:pPr>
              <w:spacing w:after="0"/>
              <w:jc w:val="center"/>
              <w:rPr>
                <w:sz w:val="18"/>
                <w:szCs w:val="18"/>
                <w:lang w:val="en-AU" w:eastAsia="en-US"/>
              </w:rPr>
            </w:pPr>
            <w:r w:rsidRPr="00D05E5C">
              <w:rPr>
                <w:color w:val="FF0000"/>
                <w:sz w:val="18"/>
                <w:szCs w:val="18"/>
                <w:lang w:val="en-AU" w:eastAsia="en-US"/>
              </w:rPr>
              <w:t>High Potential</w:t>
            </w:r>
          </w:p>
        </w:tc>
        <w:tc>
          <w:tcPr>
            <w:tcW w:w="1063" w:type="dxa"/>
            <w:tcBorders>
              <w:top w:val="single" w:sz="8" w:space="0" w:color="000000"/>
              <w:left w:val="single" w:sz="8" w:space="0" w:color="000000"/>
              <w:bottom w:val="single" w:sz="8" w:space="0" w:color="000000"/>
              <w:right w:val="single" w:sz="8" w:space="0" w:color="000000"/>
            </w:tcBorders>
            <w:vAlign w:val="center"/>
          </w:tcPr>
          <w:p w14:paraId="2198FBE6" w14:textId="77777777" w:rsidR="005039EC" w:rsidRPr="00A54649" w:rsidRDefault="005039EC" w:rsidP="006642C3">
            <w:pPr>
              <w:spacing w:after="0"/>
              <w:jc w:val="center"/>
              <w:rPr>
                <w:sz w:val="18"/>
                <w:szCs w:val="18"/>
                <w:lang w:val="en-AU" w:eastAsia="en-US"/>
              </w:rPr>
            </w:pPr>
          </w:p>
        </w:tc>
        <w:tc>
          <w:tcPr>
            <w:tcW w:w="1063" w:type="dxa"/>
            <w:tcBorders>
              <w:top w:val="single" w:sz="8" w:space="0" w:color="000000"/>
              <w:left w:val="single" w:sz="8" w:space="0" w:color="000000"/>
              <w:bottom w:val="single" w:sz="8" w:space="0" w:color="000000"/>
              <w:right w:val="single" w:sz="8" w:space="0" w:color="000000"/>
            </w:tcBorders>
            <w:vAlign w:val="center"/>
          </w:tcPr>
          <w:p w14:paraId="6123CFC8" w14:textId="0C9740AE" w:rsidR="005039EC" w:rsidRPr="00A54649" w:rsidRDefault="005039EC" w:rsidP="006642C3">
            <w:pPr>
              <w:spacing w:after="0"/>
              <w:jc w:val="center"/>
              <w:rPr>
                <w:sz w:val="18"/>
                <w:szCs w:val="18"/>
                <w:lang w:val="en-AU" w:eastAsia="en-US"/>
              </w:rPr>
            </w:pPr>
          </w:p>
        </w:tc>
      </w:tr>
      <w:tr w:rsidR="005039EC" w:rsidRPr="00A54649" w14:paraId="2FACD93B" w14:textId="77777777" w:rsidTr="008361B4">
        <w:tc>
          <w:tcPr>
            <w:tcW w:w="1725" w:type="dxa"/>
            <w:tcBorders>
              <w:left w:val="single" w:sz="8" w:space="0" w:color="000000"/>
              <w:bottom w:val="single" w:sz="8" w:space="0" w:color="000000"/>
              <w:right w:val="single" w:sz="8" w:space="0" w:color="000000"/>
            </w:tcBorders>
            <w:vAlign w:val="center"/>
          </w:tcPr>
          <w:p w14:paraId="7D73EC28" w14:textId="77777777" w:rsidR="005039EC" w:rsidRPr="00A54649" w:rsidRDefault="005039EC" w:rsidP="006642C3">
            <w:pPr>
              <w:spacing w:after="0"/>
              <w:rPr>
                <w:sz w:val="18"/>
                <w:szCs w:val="18"/>
                <w:lang w:val="en-AU" w:eastAsia="en-US"/>
              </w:rPr>
            </w:pPr>
            <w:r w:rsidRPr="00A54649">
              <w:rPr>
                <w:sz w:val="18"/>
                <w:szCs w:val="18"/>
                <w:lang w:val="en-AU" w:eastAsia="en-US"/>
              </w:rPr>
              <w:t>Portable Plasma Arc</w:t>
            </w:r>
          </w:p>
        </w:tc>
        <w:tc>
          <w:tcPr>
            <w:tcW w:w="1134" w:type="dxa"/>
            <w:tcBorders>
              <w:bottom w:val="single" w:sz="8" w:space="0" w:color="000000"/>
              <w:right w:val="single" w:sz="8" w:space="0" w:color="000000"/>
            </w:tcBorders>
            <w:vAlign w:val="center"/>
          </w:tcPr>
          <w:p w14:paraId="6337A8AD" w14:textId="77777777" w:rsidR="005039EC" w:rsidRPr="00D3008A" w:rsidRDefault="005039EC" w:rsidP="006642C3">
            <w:pPr>
              <w:spacing w:after="0"/>
              <w:jc w:val="center"/>
              <w:rPr>
                <w:color w:val="00B050"/>
                <w:sz w:val="18"/>
                <w:szCs w:val="18"/>
                <w:lang w:val="en-AU" w:eastAsia="en-US"/>
              </w:rPr>
            </w:pPr>
            <w:r w:rsidRPr="00D3008A">
              <w:rPr>
                <w:color w:val="00B050"/>
                <w:sz w:val="18"/>
                <w:szCs w:val="18"/>
                <w:lang w:val="en-AU" w:eastAsia="en-US"/>
              </w:rPr>
              <w:t>Approved</w:t>
            </w:r>
          </w:p>
        </w:tc>
        <w:tc>
          <w:tcPr>
            <w:tcW w:w="1134" w:type="dxa"/>
            <w:tcBorders>
              <w:bottom w:val="single" w:sz="8" w:space="0" w:color="000000"/>
              <w:right w:val="single" w:sz="8" w:space="0" w:color="000000"/>
            </w:tcBorders>
            <w:vAlign w:val="center"/>
          </w:tcPr>
          <w:p w14:paraId="694ECF49" w14:textId="77777777" w:rsidR="005039EC" w:rsidRPr="00D3008A" w:rsidRDefault="005039EC" w:rsidP="006642C3">
            <w:pPr>
              <w:spacing w:after="0"/>
              <w:jc w:val="center"/>
              <w:rPr>
                <w:color w:val="00B050"/>
                <w:sz w:val="18"/>
                <w:szCs w:val="18"/>
                <w:lang w:val="en-AU" w:eastAsia="en-US"/>
              </w:rPr>
            </w:pPr>
            <w:r w:rsidRPr="00D3008A">
              <w:rPr>
                <w:color w:val="00B050"/>
                <w:sz w:val="18"/>
                <w:szCs w:val="18"/>
                <w:lang w:val="en-AU" w:eastAsia="en-US"/>
              </w:rPr>
              <w:t>Not Determined</w:t>
            </w:r>
          </w:p>
        </w:tc>
        <w:tc>
          <w:tcPr>
            <w:tcW w:w="1134" w:type="dxa"/>
            <w:tcBorders>
              <w:bottom w:val="single" w:sz="8" w:space="0" w:color="000000"/>
              <w:right w:val="single" w:sz="8" w:space="0" w:color="000000"/>
            </w:tcBorders>
            <w:vAlign w:val="center"/>
          </w:tcPr>
          <w:p w14:paraId="0F730694" w14:textId="77777777" w:rsidR="005039EC" w:rsidRPr="00D3008A" w:rsidRDefault="005039EC" w:rsidP="006642C3">
            <w:pPr>
              <w:spacing w:after="0"/>
              <w:jc w:val="center"/>
              <w:rPr>
                <w:color w:val="00B050"/>
                <w:sz w:val="18"/>
                <w:szCs w:val="18"/>
                <w:lang w:val="en-AU" w:eastAsia="en-US"/>
              </w:rPr>
            </w:pPr>
            <w:r w:rsidRPr="00D3008A">
              <w:rPr>
                <w:color w:val="00B050"/>
                <w:sz w:val="18"/>
                <w:szCs w:val="18"/>
                <w:lang w:val="en-AU" w:eastAsia="en-US"/>
              </w:rPr>
              <w:t>Approved</w:t>
            </w:r>
          </w:p>
        </w:tc>
        <w:tc>
          <w:tcPr>
            <w:tcW w:w="1276" w:type="dxa"/>
            <w:tcBorders>
              <w:bottom w:val="single" w:sz="8" w:space="0" w:color="000000"/>
              <w:right w:val="single" w:sz="8" w:space="0" w:color="000000"/>
            </w:tcBorders>
            <w:vAlign w:val="center"/>
          </w:tcPr>
          <w:p w14:paraId="4AD01430" w14:textId="77777777" w:rsidR="005039EC" w:rsidRPr="00D3008A" w:rsidRDefault="005039EC" w:rsidP="006642C3">
            <w:pPr>
              <w:spacing w:after="0"/>
              <w:jc w:val="center"/>
              <w:rPr>
                <w:color w:val="00B050"/>
                <w:sz w:val="18"/>
                <w:szCs w:val="18"/>
                <w:lang w:val="en-AU" w:eastAsia="en-US"/>
              </w:rPr>
            </w:pPr>
            <w:r w:rsidRPr="00D3008A">
              <w:rPr>
                <w:color w:val="00B050"/>
                <w:sz w:val="18"/>
                <w:szCs w:val="18"/>
                <w:lang w:val="en-AU" w:eastAsia="en-US"/>
              </w:rPr>
              <w:t>Approved</w:t>
            </w:r>
          </w:p>
        </w:tc>
        <w:tc>
          <w:tcPr>
            <w:tcW w:w="1276" w:type="dxa"/>
            <w:tcBorders>
              <w:bottom w:val="single" w:sz="8" w:space="0" w:color="000000"/>
              <w:right w:val="single" w:sz="8" w:space="0" w:color="000000"/>
            </w:tcBorders>
            <w:vAlign w:val="center"/>
          </w:tcPr>
          <w:p w14:paraId="2BA346A9" w14:textId="77777777" w:rsidR="005039EC" w:rsidRPr="00D3008A" w:rsidRDefault="005039EC" w:rsidP="006642C3">
            <w:pPr>
              <w:spacing w:after="0"/>
              <w:jc w:val="center"/>
              <w:rPr>
                <w:color w:val="00B050"/>
                <w:sz w:val="18"/>
                <w:szCs w:val="18"/>
                <w:lang w:val="en-AU" w:eastAsia="en-US"/>
              </w:rPr>
            </w:pPr>
            <w:r w:rsidRPr="00D3008A">
              <w:rPr>
                <w:color w:val="00B050"/>
                <w:sz w:val="18"/>
                <w:szCs w:val="18"/>
                <w:lang w:val="en-AU" w:eastAsia="en-US"/>
              </w:rPr>
              <w:t>Approved</w:t>
            </w:r>
          </w:p>
        </w:tc>
        <w:tc>
          <w:tcPr>
            <w:tcW w:w="1134" w:type="dxa"/>
            <w:tcBorders>
              <w:bottom w:val="single" w:sz="8" w:space="0" w:color="000000"/>
              <w:right w:val="single" w:sz="8" w:space="0" w:color="000000"/>
            </w:tcBorders>
            <w:vAlign w:val="center"/>
          </w:tcPr>
          <w:p w14:paraId="31DA9757" w14:textId="77777777" w:rsidR="005039EC" w:rsidRPr="00D3008A" w:rsidRDefault="005039EC" w:rsidP="006642C3">
            <w:pPr>
              <w:spacing w:after="0"/>
              <w:jc w:val="center"/>
              <w:rPr>
                <w:color w:val="00B050"/>
                <w:sz w:val="18"/>
                <w:szCs w:val="18"/>
                <w:lang w:val="en-AU" w:eastAsia="en-US"/>
              </w:rPr>
            </w:pPr>
            <w:r w:rsidRPr="00D3008A">
              <w:rPr>
                <w:color w:val="00B050"/>
                <w:sz w:val="18"/>
                <w:szCs w:val="18"/>
                <w:lang w:val="en-AU" w:eastAsia="en-US"/>
              </w:rPr>
              <w:t>Approved</w:t>
            </w:r>
          </w:p>
        </w:tc>
        <w:tc>
          <w:tcPr>
            <w:tcW w:w="1134" w:type="dxa"/>
            <w:tcBorders>
              <w:bottom w:val="single" w:sz="8" w:space="0" w:color="000000"/>
              <w:right w:val="single" w:sz="8" w:space="0" w:color="000000"/>
            </w:tcBorders>
            <w:vAlign w:val="center"/>
          </w:tcPr>
          <w:p w14:paraId="29ECA532" w14:textId="77777777" w:rsidR="005039EC" w:rsidRPr="00D3008A" w:rsidRDefault="005039EC" w:rsidP="006642C3">
            <w:pPr>
              <w:spacing w:after="0"/>
              <w:jc w:val="center"/>
              <w:rPr>
                <w:color w:val="00B050"/>
                <w:sz w:val="18"/>
                <w:szCs w:val="18"/>
                <w:lang w:val="en-AU" w:eastAsia="en-US"/>
              </w:rPr>
            </w:pPr>
            <w:r w:rsidRPr="00D3008A">
              <w:rPr>
                <w:color w:val="00B050"/>
                <w:sz w:val="18"/>
                <w:szCs w:val="18"/>
                <w:lang w:val="en-AU" w:eastAsia="en-US"/>
              </w:rPr>
              <w:t>Not Determined</w:t>
            </w:r>
          </w:p>
        </w:tc>
        <w:tc>
          <w:tcPr>
            <w:tcW w:w="1134" w:type="dxa"/>
            <w:tcBorders>
              <w:top w:val="single" w:sz="8" w:space="0" w:color="000000"/>
              <w:bottom w:val="single" w:sz="8" w:space="0" w:color="000000"/>
              <w:right w:val="single" w:sz="8" w:space="0" w:color="000000"/>
            </w:tcBorders>
            <w:shd w:val="solid" w:color="F2DBDB" w:themeColor="accent2" w:themeTint="33" w:fill="F2DBDB" w:themeFill="accent2" w:themeFillTint="33"/>
            <w:vAlign w:val="center"/>
          </w:tcPr>
          <w:p w14:paraId="2B761053" w14:textId="4F7813A2" w:rsidR="005039EC" w:rsidRPr="00A54649" w:rsidRDefault="005039EC" w:rsidP="006642C3">
            <w:pPr>
              <w:spacing w:after="0"/>
              <w:jc w:val="center"/>
              <w:rPr>
                <w:sz w:val="18"/>
                <w:szCs w:val="18"/>
                <w:lang w:val="en-AU" w:eastAsia="en-US"/>
              </w:rPr>
            </w:pPr>
            <w:r w:rsidRPr="00D05E5C">
              <w:rPr>
                <w:color w:val="FF0000"/>
                <w:sz w:val="18"/>
                <w:szCs w:val="18"/>
                <w:lang w:val="en-AU" w:eastAsia="en-US"/>
              </w:rPr>
              <w:t>High Potential</w:t>
            </w:r>
          </w:p>
        </w:tc>
        <w:tc>
          <w:tcPr>
            <w:tcW w:w="1134" w:type="dxa"/>
            <w:tcBorders>
              <w:top w:val="single" w:sz="8" w:space="0" w:color="000000"/>
              <w:left w:val="single" w:sz="8" w:space="0" w:color="000000"/>
              <w:bottom w:val="single" w:sz="8" w:space="0" w:color="000000"/>
              <w:right w:val="single" w:sz="8" w:space="0" w:color="000000"/>
            </w:tcBorders>
            <w:shd w:val="solid" w:color="F2DBDB" w:themeColor="accent2" w:themeTint="33" w:fill="F2DBDB" w:themeFill="accent2" w:themeFillTint="33"/>
            <w:vAlign w:val="center"/>
          </w:tcPr>
          <w:p w14:paraId="1D9F06D6" w14:textId="4C961A7F" w:rsidR="005039EC" w:rsidRPr="00A54649" w:rsidRDefault="005039EC" w:rsidP="006642C3">
            <w:pPr>
              <w:spacing w:after="0"/>
              <w:jc w:val="center"/>
              <w:rPr>
                <w:sz w:val="18"/>
                <w:szCs w:val="18"/>
                <w:lang w:val="en-AU" w:eastAsia="en-US"/>
              </w:rPr>
            </w:pPr>
            <w:r w:rsidRPr="00D05E5C">
              <w:rPr>
                <w:color w:val="FF0000"/>
                <w:sz w:val="18"/>
                <w:szCs w:val="18"/>
                <w:lang w:val="en-AU" w:eastAsia="en-US"/>
              </w:rPr>
              <w:t>High Potential</w:t>
            </w:r>
          </w:p>
        </w:tc>
        <w:tc>
          <w:tcPr>
            <w:tcW w:w="1063" w:type="dxa"/>
            <w:tcBorders>
              <w:top w:val="single" w:sz="8" w:space="0" w:color="000000"/>
              <w:left w:val="single" w:sz="8" w:space="0" w:color="000000"/>
              <w:bottom w:val="single" w:sz="8" w:space="0" w:color="000000"/>
              <w:right w:val="single" w:sz="8" w:space="0" w:color="000000"/>
            </w:tcBorders>
            <w:vAlign w:val="center"/>
          </w:tcPr>
          <w:p w14:paraId="58FD00C0" w14:textId="77777777" w:rsidR="005039EC" w:rsidRPr="00A54649" w:rsidRDefault="005039EC" w:rsidP="006642C3">
            <w:pPr>
              <w:spacing w:after="0"/>
              <w:jc w:val="center"/>
              <w:rPr>
                <w:sz w:val="18"/>
                <w:szCs w:val="18"/>
                <w:lang w:val="en-AU" w:eastAsia="en-US"/>
              </w:rPr>
            </w:pPr>
          </w:p>
        </w:tc>
        <w:tc>
          <w:tcPr>
            <w:tcW w:w="1063" w:type="dxa"/>
            <w:tcBorders>
              <w:top w:val="single" w:sz="8" w:space="0" w:color="000000"/>
              <w:left w:val="single" w:sz="8" w:space="0" w:color="000000"/>
              <w:bottom w:val="single" w:sz="8" w:space="0" w:color="000000"/>
              <w:right w:val="single" w:sz="8" w:space="0" w:color="000000"/>
            </w:tcBorders>
            <w:vAlign w:val="center"/>
          </w:tcPr>
          <w:p w14:paraId="768A38AA" w14:textId="7EFA0775" w:rsidR="005039EC" w:rsidRPr="00A54649" w:rsidRDefault="005039EC" w:rsidP="006642C3">
            <w:pPr>
              <w:spacing w:after="0"/>
              <w:jc w:val="center"/>
              <w:rPr>
                <w:sz w:val="18"/>
                <w:szCs w:val="18"/>
                <w:lang w:val="en-AU" w:eastAsia="en-US"/>
              </w:rPr>
            </w:pPr>
          </w:p>
        </w:tc>
      </w:tr>
      <w:tr w:rsidR="005039EC" w:rsidRPr="00A54649" w14:paraId="429D0E39" w14:textId="77777777" w:rsidTr="008361B4">
        <w:tc>
          <w:tcPr>
            <w:tcW w:w="1725" w:type="dxa"/>
            <w:tcBorders>
              <w:left w:val="single" w:sz="8" w:space="0" w:color="000000"/>
              <w:bottom w:val="single" w:sz="8" w:space="0" w:color="000000"/>
              <w:right w:val="single" w:sz="8" w:space="0" w:color="000000"/>
            </w:tcBorders>
            <w:vAlign w:val="center"/>
          </w:tcPr>
          <w:p w14:paraId="15166F7F" w14:textId="77777777" w:rsidR="005039EC" w:rsidRPr="00A54649" w:rsidRDefault="005039EC" w:rsidP="009464EC">
            <w:pPr>
              <w:spacing w:after="0"/>
              <w:rPr>
                <w:sz w:val="18"/>
                <w:szCs w:val="18"/>
                <w:lang w:val="en-AU" w:eastAsia="en-US"/>
              </w:rPr>
            </w:pPr>
            <w:r w:rsidRPr="00A54649">
              <w:rPr>
                <w:sz w:val="18"/>
                <w:szCs w:val="18"/>
                <w:lang w:val="en-AU" w:eastAsia="en-US"/>
              </w:rPr>
              <w:t>Chemical Reaction with H</w:t>
            </w:r>
            <w:r w:rsidRPr="00A54649">
              <w:rPr>
                <w:sz w:val="18"/>
                <w:szCs w:val="18"/>
                <w:vertAlign w:val="subscript"/>
                <w:lang w:val="en-AU" w:eastAsia="en-US"/>
              </w:rPr>
              <w:t>2</w:t>
            </w:r>
            <w:r w:rsidRPr="00A54649">
              <w:rPr>
                <w:sz w:val="18"/>
                <w:szCs w:val="18"/>
                <w:lang w:val="en-AU" w:eastAsia="en-US"/>
              </w:rPr>
              <w:t xml:space="preserve"> and CO</w:t>
            </w:r>
            <w:r w:rsidRPr="00A54649">
              <w:rPr>
                <w:sz w:val="18"/>
                <w:szCs w:val="18"/>
                <w:vertAlign w:val="subscript"/>
                <w:lang w:val="en-AU" w:eastAsia="en-US"/>
              </w:rPr>
              <w:t>2</w:t>
            </w:r>
          </w:p>
        </w:tc>
        <w:tc>
          <w:tcPr>
            <w:tcW w:w="1134" w:type="dxa"/>
            <w:tcBorders>
              <w:bottom w:val="single" w:sz="8" w:space="0" w:color="000000"/>
              <w:right w:val="single" w:sz="8" w:space="0" w:color="000000"/>
            </w:tcBorders>
            <w:vAlign w:val="center"/>
          </w:tcPr>
          <w:p w14:paraId="18C0246B" w14:textId="77777777" w:rsidR="005039EC" w:rsidRPr="00D3008A" w:rsidRDefault="005039EC" w:rsidP="009464EC">
            <w:pPr>
              <w:spacing w:after="0"/>
              <w:jc w:val="center"/>
              <w:rPr>
                <w:color w:val="00B050"/>
                <w:sz w:val="18"/>
                <w:szCs w:val="18"/>
                <w:lang w:val="en-AU" w:eastAsia="en-US"/>
              </w:rPr>
            </w:pPr>
            <w:r w:rsidRPr="00D3008A">
              <w:rPr>
                <w:color w:val="00B050"/>
                <w:sz w:val="18"/>
                <w:szCs w:val="18"/>
                <w:lang w:val="en-AU" w:eastAsia="en-US"/>
              </w:rPr>
              <w:t>Approved</w:t>
            </w:r>
          </w:p>
        </w:tc>
        <w:tc>
          <w:tcPr>
            <w:tcW w:w="1134" w:type="dxa"/>
            <w:tcBorders>
              <w:bottom w:val="single" w:sz="8" w:space="0" w:color="000000"/>
              <w:right w:val="single" w:sz="8" w:space="0" w:color="000000"/>
            </w:tcBorders>
            <w:vAlign w:val="center"/>
          </w:tcPr>
          <w:p w14:paraId="1E41E913" w14:textId="77777777" w:rsidR="005039EC" w:rsidRPr="00D3008A" w:rsidRDefault="005039EC" w:rsidP="009464EC">
            <w:pPr>
              <w:spacing w:after="0"/>
              <w:jc w:val="center"/>
              <w:rPr>
                <w:color w:val="00B050"/>
                <w:sz w:val="18"/>
                <w:szCs w:val="18"/>
                <w:lang w:val="en-AU" w:eastAsia="en-US"/>
              </w:rPr>
            </w:pPr>
            <w:r w:rsidRPr="00D3008A">
              <w:rPr>
                <w:color w:val="00B050"/>
                <w:sz w:val="18"/>
                <w:szCs w:val="18"/>
                <w:lang w:val="en-AU" w:eastAsia="en-US"/>
              </w:rPr>
              <w:t>Approved</w:t>
            </w:r>
          </w:p>
        </w:tc>
        <w:tc>
          <w:tcPr>
            <w:tcW w:w="1134" w:type="dxa"/>
            <w:tcBorders>
              <w:bottom w:val="single" w:sz="8" w:space="0" w:color="000000"/>
              <w:right w:val="single" w:sz="8" w:space="0" w:color="000000"/>
            </w:tcBorders>
            <w:vAlign w:val="center"/>
          </w:tcPr>
          <w:p w14:paraId="61974D53" w14:textId="77777777" w:rsidR="005039EC" w:rsidRPr="00D3008A" w:rsidRDefault="005039EC" w:rsidP="009464EC">
            <w:pPr>
              <w:spacing w:after="0"/>
              <w:jc w:val="center"/>
              <w:rPr>
                <w:color w:val="00B050"/>
                <w:sz w:val="18"/>
                <w:szCs w:val="18"/>
                <w:lang w:val="en-AU" w:eastAsia="en-US"/>
              </w:rPr>
            </w:pPr>
            <w:r w:rsidRPr="00D3008A">
              <w:rPr>
                <w:color w:val="00B050"/>
                <w:sz w:val="18"/>
                <w:szCs w:val="18"/>
                <w:lang w:val="en-AU" w:eastAsia="en-US"/>
              </w:rPr>
              <w:t>Approved</w:t>
            </w:r>
          </w:p>
        </w:tc>
        <w:tc>
          <w:tcPr>
            <w:tcW w:w="1276" w:type="dxa"/>
            <w:tcBorders>
              <w:bottom w:val="single" w:sz="8" w:space="0" w:color="000000"/>
              <w:right w:val="single" w:sz="8" w:space="0" w:color="000000"/>
            </w:tcBorders>
            <w:vAlign w:val="center"/>
          </w:tcPr>
          <w:p w14:paraId="047E57AD" w14:textId="77777777" w:rsidR="005039EC" w:rsidRPr="00D3008A" w:rsidRDefault="005039EC" w:rsidP="009464EC">
            <w:pPr>
              <w:spacing w:after="0"/>
              <w:jc w:val="center"/>
              <w:rPr>
                <w:color w:val="00B050"/>
                <w:sz w:val="18"/>
                <w:szCs w:val="18"/>
                <w:lang w:val="en-AU" w:eastAsia="en-US"/>
              </w:rPr>
            </w:pPr>
            <w:r w:rsidRPr="00D3008A">
              <w:rPr>
                <w:color w:val="00B050"/>
                <w:sz w:val="18"/>
                <w:szCs w:val="18"/>
                <w:lang w:val="en-AU" w:eastAsia="en-US"/>
              </w:rPr>
              <w:t>Approved</w:t>
            </w:r>
          </w:p>
        </w:tc>
        <w:tc>
          <w:tcPr>
            <w:tcW w:w="1276" w:type="dxa"/>
            <w:tcBorders>
              <w:bottom w:val="single" w:sz="8" w:space="0" w:color="000000"/>
              <w:right w:val="single" w:sz="8" w:space="0" w:color="000000"/>
            </w:tcBorders>
            <w:vAlign w:val="center"/>
          </w:tcPr>
          <w:p w14:paraId="7DF6383F" w14:textId="77777777" w:rsidR="005039EC" w:rsidRPr="00D3008A" w:rsidRDefault="005039EC" w:rsidP="009464EC">
            <w:pPr>
              <w:spacing w:after="0"/>
              <w:jc w:val="center"/>
              <w:rPr>
                <w:color w:val="00B050"/>
                <w:sz w:val="18"/>
                <w:szCs w:val="18"/>
                <w:lang w:val="en-AU" w:eastAsia="en-US"/>
              </w:rPr>
            </w:pPr>
            <w:r w:rsidRPr="00D3008A">
              <w:rPr>
                <w:color w:val="00B050"/>
                <w:sz w:val="18"/>
                <w:szCs w:val="18"/>
                <w:lang w:val="en-AU" w:eastAsia="en-US"/>
              </w:rPr>
              <w:t>Approved</w:t>
            </w:r>
          </w:p>
        </w:tc>
        <w:tc>
          <w:tcPr>
            <w:tcW w:w="1134" w:type="dxa"/>
            <w:tcBorders>
              <w:bottom w:val="single" w:sz="8" w:space="0" w:color="000000"/>
              <w:right w:val="single" w:sz="8" w:space="0" w:color="000000"/>
            </w:tcBorders>
            <w:vAlign w:val="center"/>
          </w:tcPr>
          <w:p w14:paraId="69D8D620" w14:textId="77777777" w:rsidR="005039EC" w:rsidRPr="00D3008A" w:rsidRDefault="005039EC" w:rsidP="009464EC">
            <w:pPr>
              <w:spacing w:after="0"/>
              <w:jc w:val="center"/>
              <w:rPr>
                <w:color w:val="00B050"/>
                <w:sz w:val="18"/>
                <w:szCs w:val="18"/>
                <w:lang w:val="en-AU" w:eastAsia="en-US"/>
              </w:rPr>
            </w:pPr>
            <w:r w:rsidRPr="00D3008A">
              <w:rPr>
                <w:color w:val="00B050"/>
                <w:sz w:val="18"/>
                <w:szCs w:val="18"/>
                <w:lang w:val="en-AU" w:eastAsia="en-US"/>
              </w:rPr>
              <w:t>Approved</w:t>
            </w:r>
          </w:p>
        </w:tc>
        <w:tc>
          <w:tcPr>
            <w:tcW w:w="1134" w:type="dxa"/>
            <w:tcBorders>
              <w:bottom w:val="single" w:sz="8" w:space="0" w:color="000000"/>
              <w:right w:val="single" w:sz="8" w:space="0" w:color="000000"/>
            </w:tcBorders>
            <w:vAlign w:val="center"/>
          </w:tcPr>
          <w:p w14:paraId="3E9B729A" w14:textId="77777777" w:rsidR="005039EC" w:rsidRPr="00D3008A" w:rsidRDefault="005039EC" w:rsidP="009464EC">
            <w:pPr>
              <w:spacing w:after="0"/>
              <w:jc w:val="center"/>
              <w:rPr>
                <w:color w:val="00B050"/>
                <w:sz w:val="18"/>
                <w:szCs w:val="18"/>
                <w:lang w:val="en-AU" w:eastAsia="en-US"/>
              </w:rPr>
            </w:pPr>
            <w:r w:rsidRPr="00D3008A">
              <w:rPr>
                <w:color w:val="00B050"/>
                <w:sz w:val="18"/>
                <w:szCs w:val="18"/>
                <w:lang w:val="en-AU" w:eastAsia="en-US"/>
              </w:rPr>
              <w:t>Not Determined</w:t>
            </w:r>
          </w:p>
        </w:tc>
        <w:tc>
          <w:tcPr>
            <w:tcW w:w="1134" w:type="dxa"/>
            <w:tcBorders>
              <w:top w:val="single" w:sz="8" w:space="0" w:color="000000"/>
              <w:bottom w:val="single" w:sz="8" w:space="0" w:color="000000"/>
              <w:right w:val="single" w:sz="8" w:space="0" w:color="000000"/>
            </w:tcBorders>
            <w:shd w:val="solid" w:color="F2DBDB" w:themeColor="accent2" w:themeTint="33" w:fill="F2DBDB" w:themeFill="accent2" w:themeFillTint="33"/>
            <w:vAlign w:val="center"/>
          </w:tcPr>
          <w:p w14:paraId="6E2DF1C5" w14:textId="5854C342" w:rsidR="005039EC" w:rsidRPr="00A54649" w:rsidRDefault="005039EC" w:rsidP="009464EC">
            <w:pPr>
              <w:spacing w:after="0"/>
              <w:jc w:val="center"/>
              <w:rPr>
                <w:sz w:val="18"/>
                <w:szCs w:val="18"/>
                <w:lang w:val="en-AU" w:eastAsia="en-US"/>
              </w:rPr>
            </w:pPr>
            <w:r w:rsidRPr="00D05E5C">
              <w:rPr>
                <w:color w:val="FF0000"/>
                <w:sz w:val="18"/>
                <w:szCs w:val="18"/>
                <w:lang w:val="en-AU" w:eastAsia="en-US"/>
              </w:rPr>
              <w:t>High Potential</w:t>
            </w:r>
          </w:p>
        </w:tc>
        <w:tc>
          <w:tcPr>
            <w:tcW w:w="1134" w:type="dxa"/>
            <w:tcBorders>
              <w:top w:val="single" w:sz="8" w:space="0" w:color="000000"/>
              <w:left w:val="single" w:sz="8" w:space="0" w:color="000000"/>
              <w:bottom w:val="single" w:sz="8" w:space="0" w:color="000000"/>
              <w:right w:val="single" w:sz="8" w:space="0" w:color="000000"/>
            </w:tcBorders>
            <w:shd w:val="solid" w:color="F2DBDB" w:themeColor="accent2" w:themeTint="33" w:fill="F2DBDB" w:themeFill="accent2" w:themeFillTint="33"/>
            <w:vAlign w:val="center"/>
          </w:tcPr>
          <w:p w14:paraId="47138CA6" w14:textId="46D39304" w:rsidR="005039EC" w:rsidRPr="00A54649" w:rsidRDefault="005039EC" w:rsidP="009464EC">
            <w:pPr>
              <w:spacing w:after="0"/>
              <w:jc w:val="center"/>
              <w:rPr>
                <w:sz w:val="18"/>
                <w:szCs w:val="18"/>
                <w:lang w:val="en-AU" w:eastAsia="en-US"/>
              </w:rPr>
            </w:pPr>
            <w:r w:rsidRPr="00D05E5C">
              <w:rPr>
                <w:color w:val="FF0000"/>
                <w:sz w:val="18"/>
                <w:szCs w:val="18"/>
                <w:lang w:val="en-AU" w:eastAsia="en-US"/>
              </w:rPr>
              <w:t>High Potential</w:t>
            </w:r>
          </w:p>
        </w:tc>
        <w:tc>
          <w:tcPr>
            <w:tcW w:w="1063" w:type="dxa"/>
            <w:tcBorders>
              <w:top w:val="single" w:sz="8" w:space="0" w:color="000000"/>
              <w:left w:val="single" w:sz="8" w:space="0" w:color="000000"/>
              <w:bottom w:val="single" w:sz="8" w:space="0" w:color="000000"/>
              <w:right w:val="single" w:sz="8" w:space="0" w:color="000000"/>
            </w:tcBorders>
            <w:vAlign w:val="center"/>
          </w:tcPr>
          <w:p w14:paraId="3758087E" w14:textId="77777777" w:rsidR="005039EC" w:rsidRPr="00A54649" w:rsidRDefault="005039EC" w:rsidP="009464EC">
            <w:pPr>
              <w:spacing w:after="0"/>
              <w:jc w:val="center"/>
              <w:rPr>
                <w:sz w:val="18"/>
                <w:szCs w:val="18"/>
                <w:lang w:val="en-AU" w:eastAsia="en-US"/>
              </w:rPr>
            </w:pPr>
          </w:p>
        </w:tc>
        <w:tc>
          <w:tcPr>
            <w:tcW w:w="1063" w:type="dxa"/>
            <w:tcBorders>
              <w:top w:val="single" w:sz="8" w:space="0" w:color="000000"/>
              <w:left w:val="single" w:sz="8" w:space="0" w:color="000000"/>
              <w:bottom w:val="single" w:sz="8" w:space="0" w:color="000000"/>
              <w:right w:val="single" w:sz="8" w:space="0" w:color="000000"/>
            </w:tcBorders>
            <w:vAlign w:val="center"/>
          </w:tcPr>
          <w:p w14:paraId="6C8843C7" w14:textId="09525A1F" w:rsidR="005039EC" w:rsidRPr="00A54649" w:rsidRDefault="005039EC" w:rsidP="009464EC">
            <w:pPr>
              <w:spacing w:after="0"/>
              <w:jc w:val="center"/>
              <w:rPr>
                <w:sz w:val="18"/>
                <w:szCs w:val="18"/>
                <w:lang w:val="en-AU" w:eastAsia="en-US"/>
              </w:rPr>
            </w:pPr>
          </w:p>
        </w:tc>
      </w:tr>
      <w:tr w:rsidR="005039EC" w:rsidRPr="00A54649" w14:paraId="3756BB93" w14:textId="77777777" w:rsidTr="008361B4">
        <w:tc>
          <w:tcPr>
            <w:tcW w:w="1725" w:type="dxa"/>
            <w:tcBorders>
              <w:left w:val="single" w:sz="8" w:space="0" w:color="000000"/>
              <w:bottom w:val="single" w:sz="8" w:space="0" w:color="000000"/>
              <w:right w:val="single" w:sz="8" w:space="0" w:color="000000"/>
            </w:tcBorders>
            <w:vAlign w:val="center"/>
          </w:tcPr>
          <w:p w14:paraId="1E376DF6" w14:textId="77777777" w:rsidR="005039EC" w:rsidRPr="00A54649" w:rsidRDefault="005039EC" w:rsidP="009464EC">
            <w:pPr>
              <w:spacing w:after="0"/>
              <w:rPr>
                <w:sz w:val="18"/>
                <w:szCs w:val="18"/>
                <w:lang w:val="en-AU" w:eastAsia="en-US"/>
              </w:rPr>
            </w:pPr>
            <w:r w:rsidRPr="00A54649">
              <w:rPr>
                <w:sz w:val="18"/>
                <w:szCs w:val="18"/>
                <w:lang w:val="en-AU" w:eastAsia="en-US"/>
              </w:rPr>
              <w:t>Gas Phase Catalytic De-halogenation</w:t>
            </w:r>
          </w:p>
        </w:tc>
        <w:tc>
          <w:tcPr>
            <w:tcW w:w="1134" w:type="dxa"/>
            <w:tcBorders>
              <w:bottom w:val="single" w:sz="8" w:space="0" w:color="000000"/>
              <w:right w:val="single" w:sz="8" w:space="0" w:color="000000"/>
            </w:tcBorders>
            <w:vAlign w:val="center"/>
          </w:tcPr>
          <w:p w14:paraId="4F823442" w14:textId="77777777" w:rsidR="005039EC" w:rsidRPr="00D3008A" w:rsidRDefault="005039EC" w:rsidP="009464EC">
            <w:pPr>
              <w:spacing w:after="0"/>
              <w:jc w:val="center"/>
              <w:rPr>
                <w:color w:val="00B050"/>
                <w:sz w:val="18"/>
                <w:szCs w:val="18"/>
                <w:lang w:val="en-AU" w:eastAsia="en-US"/>
              </w:rPr>
            </w:pPr>
            <w:r w:rsidRPr="00D3008A">
              <w:rPr>
                <w:color w:val="00B050"/>
                <w:sz w:val="18"/>
                <w:szCs w:val="18"/>
                <w:lang w:val="en-AU" w:eastAsia="en-US"/>
              </w:rPr>
              <w:t>Approved</w:t>
            </w:r>
          </w:p>
        </w:tc>
        <w:tc>
          <w:tcPr>
            <w:tcW w:w="1134" w:type="dxa"/>
            <w:tcBorders>
              <w:bottom w:val="single" w:sz="8" w:space="0" w:color="000000"/>
              <w:right w:val="single" w:sz="8" w:space="0" w:color="000000"/>
            </w:tcBorders>
            <w:vAlign w:val="center"/>
          </w:tcPr>
          <w:p w14:paraId="511BA32A" w14:textId="77777777" w:rsidR="005039EC" w:rsidRPr="00D3008A" w:rsidRDefault="005039EC" w:rsidP="009464EC">
            <w:pPr>
              <w:spacing w:after="0"/>
              <w:jc w:val="center"/>
              <w:rPr>
                <w:color w:val="00B050"/>
                <w:sz w:val="18"/>
                <w:szCs w:val="18"/>
                <w:lang w:val="en-AU" w:eastAsia="en-US"/>
              </w:rPr>
            </w:pPr>
            <w:r w:rsidRPr="00D3008A">
              <w:rPr>
                <w:color w:val="00B050"/>
                <w:sz w:val="18"/>
                <w:szCs w:val="18"/>
                <w:lang w:val="en-AU" w:eastAsia="en-US"/>
              </w:rPr>
              <w:t>Not Determined</w:t>
            </w:r>
          </w:p>
        </w:tc>
        <w:tc>
          <w:tcPr>
            <w:tcW w:w="1134" w:type="dxa"/>
            <w:tcBorders>
              <w:bottom w:val="single" w:sz="8" w:space="0" w:color="000000"/>
              <w:right w:val="single" w:sz="8" w:space="0" w:color="000000"/>
            </w:tcBorders>
            <w:vAlign w:val="center"/>
          </w:tcPr>
          <w:p w14:paraId="2C4F5E45" w14:textId="77777777" w:rsidR="005039EC" w:rsidRPr="00D3008A" w:rsidRDefault="005039EC" w:rsidP="009464EC">
            <w:pPr>
              <w:spacing w:after="0"/>
              <w:jc w:val="center"/>
              <w:rPr>
                <w:color w:val="00B050"/>
                <w:sz w:val="18"/>
                <w:szCs w:val="18"/>
                <w:lang w:val="en-AU" w:eastAsia="en-US"/>
              </w:rPr>
            </w:pPr>
            <w:r w:rsidRPr="00D3008A">
              <w:rPr>
                <w:color w:val="00B050"/>
                <w:sz w:val="18"/>
                <w:szCs w:val="18"/>
                <w:lang w:val="en-AU" w:eastAsia="en-US"/>
              </w:rPr>
              <w:t>Approved</w:t>
            </w:r>
          </w:p>
        </w:tc>
        <w:tc>
          <w:tcPr>
            <w:tcW w:w="1276" w:type="dxa"/>
            <w:tcBorders>
              <w:bottom w:val="single" w:sz="8" w:space="0" w:color="000000"/>
              <w:right w:val="single" w:sz="8" w:space="0" w:color="000000"/>
            </w:tcBorders>
            <w:vAlign w:val="center"/>
          </w:tcPr>
          <w:p w14:paraId="7BE05900" w14:textId="77777777" w:rsidR="005039EC" w:rsidRPr="00D3008A" w:rsidRDefault="005039EC" w:rsidP="009464EC">
            <w:pPr>
              <w:spacing w:after="0"/>
              <w:jc w:val="center"/>
              <w:rPr>
                <w:color w:val="00B050"/>
                <w:sz w:val="18"/>
                <w:szCs w:val="18"/>
                <w:lang w:val="en-AU" w:eastAsia="en-US"/>
              </w:rPr>
            </w:pPr>
            <w:r w:rsidRPr="00D3008A">
              <w:rPr>
                <w:color w:val="00B050"/>
                <w:sz w:val="18"/>
                <w:szCs w:val="18"/>
                <w:lang w:val="en-AU" w:eastAsia="en-US"/>
              </w:rPr>
              <w:t>Approved</w:t>
            </w:r>
          </w:p>
        </w:tc>
        <w:tc>
          <w:tcPr>
            <w:tcW w:w="1276" w:type="dxa"/>
            <w:tcBorders>
              <w:bottom w:val="single" w:sz="8" w:space="0" w:color="000000"/>
              <w:right w:val="single" w:sz="8" w:space="0" w:color="000000"/>
            </w:tcBorders>
            <w:vAlign w:val="center"/>
          </w:tcPr>
          <w:p w14:paraId="68C35054" w14:textId="77777777" w:rsidR="005039EC" w:rsidRPr="00D3008A" w:rsidRDefault="005039EC" w:rsidP="009464EC">
            <w:pPr>
              <w:spacing w:after="0"/>
              <w:jc w:val="center"/>
              <w:rPr>
                <w:color w:val="00B050"/>
                <w:sz w:val="18"/>
                <w:szCs w:val="18"/>
                <w:lang w:val="en-AU" w:eastAsia="en-US"/>
              </w:rPr>
            </w:pPr>
            <w:r w:rsidRPr="00D3008A">
              <w:rPr>
                <w:color w:val="00B050"/>
                <w:sz w:val="18"/>
                <w:szCs w:val="18"/>
                <w:lang w:val="en-AU" w:eastAsia="en-US"/>
              </w:rPr>
              <w:t>Approved</w:t>
            </w:r>
          </w:p>
        </w:tc>
        <w:tc>
          <w:tcPr>
            <w:tcW w:w="1134" w:type="dxa"/>
            <w:tcBorders>
              <w:bottom w:val="single" w:sz="8" w:space="0" w:color="000000"/>
              <w:right w:val="single" w:sz="8" w:space="0" w:color="000000"/>
            </w:tcBorders>
            <w:vAlign w:val="center"/>
          </w:tcPr>
          <w:p w14:paraId="27EDA61F" w14:textId="77777777" w:rsidR="005039EC" w:rsidRPr="00D3008A" w:rsidRDefault="005039EC" w:rsidP="009464EC">
            <w:pPr>
              <w:spacing w:after="0"/>
              <w:jc w:val="center"/>
              <w:rPr>
                <w:color w:val="00B050"/>
                <w:sz w:val="18"/>
                <w:szCs w:val="18"/>
                <w:lang w:val="en-AU" w:eastAsia="en-US"/>
              </w:rPr>
            </w:pPr>
            <w:r w:rsidRPr="00D3008A">
              <w:rPr>
                <w:color w:val="00B050"/>
                <w:sz w:val="18"/>
                <w:szCs w:val="18"/>
                <w:lang w:val="en-AU" w:eastAsia="en-US"/>
              </w:rPr>
              <w:t>Approved</w:t>
            </w:r>
          </w:p>
        </w:tc>
        <w:tc>
          <w:tcPr>
            <w:tcW w:w="1134" w:type="dxa"/>
            <w:tcBorders>
              <w:bottom w:val="single" w:sz="8" w:space="0" w:color="000000"/>
              <w:right w:val="single" w:sz="8" w:space="0" w:color="000000"/>
            </w:tcBorders>
            <w:vAlign w:val="center"/>
          </w:tcPr>
          <w:p w14:paraId="630AB38C" w14:textId="77777777" w:rsidR="005039EC" w:rsidRPr="00D3008A" w:rsidRDefault="005039EC" w:rsidP="009464EC">
            <w:pPr>
              <w:spacing w:after="0"/>
              <w:jc w:val="center"/>
              <w:rPr>
                <w:color w:val="00B050"/>
                <w:sz w:val="18"/>
                <w:szCs w:val="18"/>
                <w:lang w:val="en-AU" w:eastAsia="en-US"/>
              </w:rPr>
            </w:pPr>
            <w:r w:rsidRPr="00D3008A">
              <w:rPr>
                <w:color w:val="00B050"/>
                <w:sz w:val="18"/>
                <w:szCs w:val="18"/>
                <w:lang w:val="en-AU" w:eastAsia="en-US"/>
              </w:rPr>
              <w:t>Not Determined</w:t>
            </w:r>
          </w:p>
        </w:tc>
        <w:tc>
          <w:tcPr>
            <w:tcW w:w="1134" w:type="dxa"/>
            <w:tcBorders>
              <w:top w:val="single" w:sz="8" w:space="0" w:color="000000"/>
              <w:bottom w:val="single" w:sz="8" w:space="0" w:color="000000"/>
              <w:right w:val="single" w:sz="8" w:space="0" w:color="000000"/>
            </w:tcBorders>
            <w:shd w:val="solid" w:color="F2DBDB" w:themeColor="accent2" w:themeTint="33" w:fill="F2DBDB" w:themeFill="accent2" w:themeFillTint="33"/>
            <w:vAlign w:val="center"/>
          </w:tcPr>
          <w:p w14:paraId="0399757E" w14:textId="697183EA" w:rsidR="005039EC" w:rsidRPr="00A54649" w:rsidRDefault="005039EC" w:rsidP="009464EC">
            <w:pPr>
              <w:spacing w:after="0"/>
              <w:jc w:val="center"/>
              <w:rPr>
                <w:sz w:val="18"/>
                <w:szCs w:val="18"/>
                <w:lang w:val="en-AU" w:eastAsia="en-US"/>
              </w:rPr>
            </w:pPr>
            <w:r>
              <w:rPr>
                <w:color w:val="FF0000"/>
                <w:sz w:val="18"/>
                <w:szCs w:val="18"/>
                <w:lang w:val="en-AU" w:eastAsia="en-US"/>
              </w:rPr>
              <w:t>High Potential</w:t>
            </w:r>
          </w:p>
        </w:tc>
        <w:tc>
          <w:tcPr>
            <w:tcW w:w="1134" w:type="dxa"/>
            <w:tcBorders>
              <w:top w:val="single" w:sz="8" w:space="0" w:color="000000"/>
              <w:left w:val="single" w:sz="8" w:space="0" w:color="000000"/>
              <w:bottom w:val="single" w:sz="8" w:space="0" w:color="000000"/>
              <w:right w:val="single" w:sz="8" w:space="0" w:color="000000"/>
            </w:tcBorders>
            <w:shd w:val="solid" w:color="F2DBDB" w:themeColor="accent2" w:themeTint="33" w:fill="F2DBDB" w:themeFill="accent2" w:themeFillTint="33"/>
            <w:vAlign w:val="center"/>
          </w:tcPr>
          <w:p w14:paraId="4103E787" w14:textId="7AE204DE" w:rsidR="005039EC" w:rsidRPr="00A54649" w:rsidRDefault="005039EC" w:rsidP="009464EC">
            <w:pPr>
              <w:spacing w:after="0"/>
              <w:jc w:val="center"/>
              <w:rPr>
                <w:sz w:val="18"/>
                <w:szCs w:val="18"/>
                <w:lang w:val="en-AU" w:eastAsia="en-US"/>
              </w:rPr>
            </w:pPr>
            <w:r w:rsidRPr="00821E67">
              <w:rPr>
                <w:color w:val="FF0000"/>
                <w:sz w:val="18"/>
                <w:szCs w:val="18"/>
                <w:lang w:val="en-AU" w:eastAsia="en-US"/>
              </w:rPr>
              <w:t>High Potential</w:t>
            </w:r>
          </w:p>
        </w:tc>
        <w:tc>
          <w:tcPr>
            <w:tcW w:w="1063" w:type="dxa"/>
            <w:tcBorders>
              <w:top w:val="single" w:sz="8" w:space="0" w:color="000000"/>
              <w:left w:val="single" w:sz="8" w:space="0" w:color="000000"/>
              <w:bottom w:val="single" w:sz="8" w:space="0" w:color="000000"/>
              <w:right w:val="single" w:sz="8" w:space="0" w:color="000000"/>
            </w:tcBorders>
            <w:vAlign w:val="center"/>
          </w:tcPr>
          <w:p w14:paraId="415C7E92" w14:textId="77777777" w:rsidR="005039EC" w:rsidRPr="00A54649" w:rsidRDefault="005039EC" w:rsidP="009464EC">
            <w:pPr>
              <w:spacing w:after="0"/>
              <w:jc w:val="center"/>
              <w:rPr>
                <w:sz w:val="18"/>
                <w:szCs w:val="18"/>
                <w:lang w:val="en-AU" w:eastAsia="en-US"/>
              </w:rPr>
            </w:pPr>
          </w:p>
        </w:tc>
        <w:tc>
          <w:tcPr>
            <w:tcW w:w="1063" w:type="dxa"/>
            <w:tcBorders>
              <w:top w:val="single" w:sz="8" w:space="0" w:color="000000"/>
              <w:left w:val="single" w:sz="8" w:space="0" w:color="000000"/>
              <w:bottom w:val="single" w:sz="8" w:space="0" w:color="000000"/>
              <w:right w:val="single" w:sz="8" w:space="0" w:color="000000"/>
            </w:tcBorders>
            <w:vAlign w:val="center"/>
          </w:tcPr>
          <w:p w14:paraId="2C96FC38" w14:textId="3F5BD739" w:rsidR="005039EC" w:rsidRPr="00A54649" w:rsidRDefault="005039EC" w:rsidP="009464EC">
            <w:pPr>
              <w:spacing w:after="0"/>
              <w:jc w:val="center"/>
              <w:rPr>
                <w:sz w:val="18"/>
                <w:szCs w:val="18"/>
                <w:lang w:val="en-AU" w:eastAsia="en-US"/>
              </w:rPr>
            </w:pPr>
          </w:p>
        </w:tc>
      </w:tr>
      <w:tr w:rsidR="005039EC" w:rsidRPr="00A54649" w14:paraId="4092E049" w14:textId="77777777" w:rsidTr="008361B4">
        <w:tc>
          <w:tcPr>
            <w:tcW w:w="1725" w:type="dxa"/>
            <w:tcBorders>
              <w:left w:val="single" w:sz="8" w:space="0" w:color="000000"/>
              <w:bottom w:val="single" w:sz="8" w:space="0" w:color="000000"/>
              <w:right w:val="single" w:sz="8" w:space="0" w:color="000000"/>
            </w:tcBorders>
            <w:vAlign w:val="center"/>
          </w:tcPr>
          <w:p w14:paraId="1566B7F8" w14:textId="77777777" w:rsidR="005039EC" w:rsidRPr="00A54649" w:rsidRDefault="005039EC" w:rsidP="009464EC">
            <w:pPr>
              <w:spacing w:after="0"/>
              <w:rPr>
                <w:sz w:val="18"/>
                <w:szCs w:val="18"/>
                <w:lang w:val="en-AU" w:eastAsia="en-US"/>
              </w:rPr>
            </w:pPr>
            <w:r w:rsidRPr="00A54649">
              <w:rPr>
                <w:sz w:val="18"/>
                <w:szCs w:val="18"/>
                <w:lang w:val="en-AU" w:eastAsia="en-US"/>
              </w:rPr>
              <w:t>Superheated steam reactor</w:t>
            </w:r>
          </w:p>
        </w:tc>
        <w:tc>
          <w:tcPr>
            <w:tcW w:w="1134" w:type="dxa"/>
            <w:tcBorders>
              <w:bottom w:val="single" w:sz="8" w:space="0" w:color="000000"/>
              <w:right w:val="single" w:sz="8" w:space="0" w:color="000000"/>
            </w:tcBorders>
            <w:vAlign w:val="center"/>
          </w:tcPr>
          <w:p w14:paraId="20AC5619" w14:textId="77777777" w:rsidR="005039EC" w:rsidRPr="00D3008A" w:rsidRDefault="005039EC" w:rsidP="009464EC">
            <w:pPr>
              <w:spacing w:after="0"/>
              <w:jc w:val="center"/>
              <w:rPr>
                <w:color w:val="00B050"/>
                <w:sz w:val="18"/>
                <w:szCs w:val="18"/>
                <w:lang w:val="en-AU" w:eastAsia="en-US"/>
              </w:rPr>
            </w:pPr>
            <w:r w:rsidRPr="00D3008A">
              <w:rPr>
                <w:color w:val="00B050"/>
                <w:sz w:val="18"/>
                <w:szCs w:val="18"/>
                <w:lang w:val="en-AU" w:eastAsia="en-US"/>
              </w:rPr>
              <w:t>Approved</w:t>
            </w:r>
          </w:p>
        </w:tc>
        <w:tc>
          <w:tcPr>
            <w:tcW w:w="1134" w:type="dxa"/>
            <w:tcBorders>
              <w:bottom w:val="single" w:sz="8" w:space="0" w:color="000000"/>
              <w:right w:val="single" w:sz="8" w:space="0" w:color="000000"/>
            </w:tcBorders>
            <w:vAlign w:val="center"/>
          </w:tcPr>
          <w:p w14:paraId="0E6FCEFB" w14:textId="77777777" w:rsidR="005039EC" w:rsidRPr="00D3008A" w:rsidRDefault="005039EC" w:rsidP="009464EC">
            <w:pPr>
              <w:spacing w:after="0"/>
              <w:jc w:val="center"/>
              <w:rPr>
                <w:color w:val="00B050"/>
                <w:sz w:val="18"/>
                <w:szCs w:val="18"/>
                <w:lang w:val="en-AU" w:eastAsia="en-US"/>
              </w:rPr>
            </w:pPr>
            <w:r w:rsidRPr="00D3008A">
              <w:rPr>
                <w:color w:val="00B050"/>
                <w:sz w:val="18"/>
                <w:szCs w:val="18"/>
                <w:lang w:val="en-AU" w:eastAsia="en-US"/>
              </w:rPr>
              <w:t>Not Determined</w:t>
            </w:r>
          </w:p>
        </w:tc>
        <w:tc>
          <w:tcPr>
            <w:tcW w:w="1134" w:type="dxa"/>
            <w:tcBorders>
              <w:bottom w:val="single" w:sz="8" w:space="0" w:color="000000"/>
              <w:right w:val="single" w:sz="8" w:space="0" w:color="000000"/>
            </w:tcBorders>
            <w:vAlign w:val="center"/>
          </w:tcPr>
          <w:p w14:paraId="72643B1D" w14:textId="77777777" w:rsidR="005039EC" w:rsidRPr="00D3008A" w:rsidRDefault="005039EC" w:rsidP="009464EC">
            <w:pPr>
              <w:spacing w:after="0"/>
              <w:jc w:val="center"/>
              <w:rPr>
                <w:color w:val="00B050"/>
                <w:sz w:val="18"/>
                <w:szCs w:val="18"/>
                <w:lang w:val="en-AU" w:eastAsia="en-US"/>
              </w:rPr>
            </w:pPr>
            <w:r w:rsidRPr="00D3008A">
              <w:rPr>
                <w:color w:val="00B050"/>
                <w:sz w:val="18"/>
                <w:szCs w:val="18"/>
                <w:lang w:val="en-AU" w:eastAsia="en-US"/>
              </w:rPr>
              <w:t>Approved</w:t>
            </w:r>
          </w:p>
        </w:tc>
        <w:tc>
          <w:tcPr>
            <w:tcW w:w="1276" w:type="dxa"/>
            <w:tcBorders>
              <w:bottom w:val="single" w:sz="8" w:space="0" w:color="000000"/>
              <w:right w:val="single" w:sz="8" w:space="0" w:color="000000"/>
            </w:tcBorders>
            <w:vAlign w:val="center"/>
          </w:tcPr>
          <w:p w14:paraId="0A3CAFC4" w14:textId="77777777" w:rsidR="005039EC" w:rsidRPr="00D3008A" w:rsidRDefault="005039EC" w:rsidP="009464EC">
            <w:pPr>
              <w:spacing w:after="0"/>
              <w:jc w:val="center"/>
              <w:rPr>
                <w:color w:val="00B050"/>
                <w:sz w:val="18"/>
                <w:szCs w:val="18"/>
                <w:lang w:val="en-AU" w:eastAsia="en-US"/>
              </w:rPr>
            </w:pPr>
            <w:r w:rsidRPr="00D3008A">
              <w:rPr>
                <w:color w:val="00B050"/>
                <w:sz w:val="18"/>
                <w:szCs w:val="18"/>
                <w:lang w:val="en-AU" w:eastAsia="en-US"/>
              </w:rPr>
              <w:t>Approved</w:t>
            </w:r>
          </w:p>
        </w:tc>
        <w:tc>
          <w:tcPr>
            <w:tcW w:w="1276" w:type="dxa"/>
            <w:tcBorders>
              <w:bottom w:val="single" w:sz="8" w:space="0" w:color="000000"/>
              <w:right w:val="single" w:sz="8" w:space="0" w:color="000000"/>
            </w:tcBorders>
            <w:vAlign w:val="center"/>
          </w:tcPr>
          <w:p w14:paraId="552F98CA" w14:textId="77777777" w:rsidR="005039EC" w:rsidRPr="00D3008A" w:rsidRDefault="005039EC" w:rsidP="009464EC">
            <w:pPr>
              <w:spacing w:after="0"/>
              <w:jc w:val="center"/>
              <w:rPr>
                <w:color w:val="00B050"/>
                <w:sz w:val="18"/>
                <w:szCs w:val="18"/>
                <w:lang w:val="en-AU" w:eastAsia="en-US"/>
              </w:rPr>
            </w:pPr>
            <w:r w:rsidRPr="00D3008A">
              <w:rPr>
                <w:color w:val="00B050"/>
                <w:sz w:val="18"/>
                <w:szCs w:val="18"/>
                <w:lang w:val="en-AU" w:eastAsia="en-US"/>
              </w:rPr>
              <w:t>Approved</w:t>
            </w:r>
          </w:p>
        </w:tc>
        <w:tc>
          <w:tcPr>
            <w:tcW w:w="1134" w:type="dxa"/>
            <w:tcBorders>
              <w:bottom w:val="single" w:sz="8" w:space="0" w:color="000000"/>
              <w:right w:val="single" w:sz="8" w:space="0" w:color="000000"/>
            </w:tcBorders>
            <w:vAlign w:val="center"/>
          </w:tcPr>
          <w:p w14:paraId="1E056C21" w14:textId="77777777" w:rsidR="005039EC" w:rsidRPr="00D3008A" w:rsidRDefault="005039EC" w:rsidP="009464EC">
            <w:pPr>
              <w:spacing w:after="0"/>
              <w:jc w:val="center"/>
              <w:rPr>
                <w:color w:val="00B050"/>
                <w:sz w:val="18"/>
                <w:szCs w:val="18"/>
                <w:lang w:val="en-AU" w:eastAsia="en-US"/>
              </w:rPr>
            </w:pPr>
            <w:r w:rsidRPr="00D3008A">
              <w:rPr>
                <w:color w:val="00B050"/>
                <w:sz w:val="18"/>
                <w:szCs w:val="18"/>
                <w:lang w:val="en-AU" w:eastAsia="en-US"/>
              </w:rPr>
              <w:t>Approved</w:t>
            </w:r>
          </w:p>
        </w:tc>
        <w:tc>
          <w:tcPr>
            <w:tcW w:w="1134" w:type="dxa"/>
            <w:tcBorders>
              <w:bottom w:val="single" w:sz="8" w:space="0" w:color="000000"/>
              <w:right w:val="single" w:sz="8" w:space="0" w:color="000000"/>
            </w:tcBorders>
            <w:vAlign w:val="center"/>
          </w:tcPr>
          <w:p w14:paraId="5111F34C" w14:textId="77777777" w:rsidR="005039EC" w:rsidRPr="00D3008A" w:rsidRDefault="005039EC" w:rsidP="009464EC">
            <w:pPr>
              <w:spacing w:after="0"/>
              <w:jc w:val="center"/>
              <w:rPr>
                <w:color w:val="00B050"/>
                <w:sz w:val="18"/>
                <w:szCs w:val="18"/>
                <w:lang w:val="en-AU" w:eastAsia="en-US"/>
              </w:rPr>
            </w:pPr>
            <w:r w:rsidRPr="00D3008A">
              <w:rPr>
                <w:color w:val="00B050"/>
                <w:sz w:val="18"/>
                <w:szCs w:val="18"/>
                <w:lang w:val="en-AU" w:eastAsia="en-US"/>
              </w:rPr>
              <w:t>Not Determined</w:t>
            </w:r>
          </w:p>
        </w:tc>
        <w:tc>
          <w:tcPr>
            <w:tcW w:w="1134" w:type="dxa"/>
            <w:tcBorders>
              <w:top w:val="single" w:sz="8" w:space="0" w:color="000000"/>
              <w:bottom w:val="single" w:sz="8" w:space="0" w:color="000000"/>
              <w:right w:val="single" w:sz="8" w:space="0" w:color="000000"/>
            </w:tcBorders>
            <w:shd w:val="solid" w:color="F2DBDB" w:themeColor="accent2" w:themeTint="33" w:fill="F2DBDB" w:themeFill="accent2" w:themeFillTint="33"/>
            <w:vAlign w:val="center"/>
          </w:tcPr>
          <w:p w14:paraId="0F23EB95" w14:textId="754F7488" w:rsidR="005039EC" w:rsidRPr="00A54649" w:rsidRDefault="005039EC" w:rsidP="009464EC">
            <w:pPr>
              <w:spacing w:after="0"/>
              <w:jc w:val="center"/>
              <w:rPr>
                <w:sz w:val="18"/>
                <w:szCs w:val="18"/>
                <w:lang w:val="en-AU" w:eastAsia="en-US"/>
              </w:rPr>
            </w:pPr>
            <w:r>
              <w:rPr>
                <w:color w:val="FF0000"/>
                <w:sz w:val="18"/>
                <w:szCs w:val="18"/>
                <w:lang w:val="en-AU" w:eastAsia="en-US"/>
              </w:rPr>
              <w:t>High Potential</w:t>
            </w:r>
          </w:p>
        </w:tc>
        <w:tc>
          <w:tcPr>
            <w:tcW w:w="1134" w:type="dxa"/>
            <w:tcBorders>
              <w:top w:val="single" w:sz="8" w:space="0" w:color="000000"/>
              <w:left w:val="single" w:sz="8" w:space="0" w:color="000000"/>
              <w:bottom w:val="single" w:sz="8" w:space="0" w:color="000000"/>
              <w:right w:val="single" w:sz="8" w:space="0" w:color="000000"/>
            </w:tcBorders>
            <w:shd w:val="solid" w:color="F2DBDB" w:themeColor="accent2" w:themeTint="33" w:fill="F2DBDB" w:themeFill="accent2" w:themeFillTint="33"/>
            <w:vAlign w:val="center"/>
          </w:tcPr>
          <w:p w14:paraId="2780FEDC" w14:textId="49894564" w:rsidR="005039EC" w:rsidRPr="00A54649" w:rsidRDefault="005039EC" w:rsidP="009464EC">
            <w:pPr>
              <w:spacing w:after="0"/>
              <w:jc w:val="center"/>
              <w:rPr>
                <w:sz w:val="18"/>
                <w:szCs w:val="18"/>
                <w:lang w:val="en-AU" w:eastAsia="en-US"/>
              </w:rPr>
            </w:pPr>
            <w:r>
              <w:rPr>
                <w:color w:val="FF0000"/>
                <w:sz w:val="18"/>
                <w:szCs w:val="18"/>
                <w:lang w:val="en-AU" w:eastAsia="en-US"/>
              </w:rPr>
              <w:t>High Potential</w:t>
            </w:r>
          </w:p>
        </w:tc>
        <w:tc>
          <w:tcPr>
            <w:tcW w:w="1063" w:type="dxa"/>
            <w:tcBorders>
              <w:top w:val="single" w:sz="8" w:space="0" w:color="000000"/>
              <w:left w:val="single" w:sz="8" w:space="0" w:color="000000"/>
              <w:bottom w:val="single" w:sz="8" w:space="0" w:color="000000"/>
              <w:right w:val="single" w:sz="8" w:space="0" w:color="000000"/>
            </w:tcBorders>
            <w:vAlign w:val="center"/>
          </w:tcPr>
          <w:p w14:paraId="692C5B35" w14:textId="77777777" w:rsidR="005039EC" w:rsidRPr="00A54649" w:rsidRDefault="005039EC" w:rsidP="009464EC">
            <w:pPr>
              <w:spacing w:after="0"/>
              <w:jc w:val="center"/>
              <w:rPr>
                <w:sz w:val="18"/>
                <w:szCs w:val="18"/>
                <w:lang w:val="en-AU" w:eastAsia="en-US"/>
              </w:rPr>
            </w:pPr>
          </w:p>
        </w:tc>
        <w:tc>
          <w:tcPr>
            <w:tcW w:w="1063" w:type="dxa"/>
            <w:tcBorders>
              <w:top w:val="single" w:sz="8" w:space="0" w:color="000000"/>
              <w:left w:val="single" w:sz="8" w:space="0" w:color="000000"/>
              <w:bottom w:val="single" w:sz="8" w:space="0" w:color="000000"/>
              <w:right w:val="single" w:sz="8" w:space="0" w:color="000000"/>
            </w:tcBorders>
            <w:vAlign w:val="center"/>
          </w:tcPr>
          <w:p w14:paraId="38AF8520" w14:textId="4E7B3EFD" w:rsidR="005039EC" w:rsidRPr="00A54649" w:rsidRDefault="005039EC" w:rsidP="009464EC">
            <w:pPr>
              <w:spacing w:after="0"/>
              <w:jc w:val="center"/>
              <w:rPr>
                <w:sz w:val="18"/>
                <w:szCs w:val="18"/>
                <w:lang w:val="en-AU" w:eastAsia="en-US"/>
              </w:rPr>
            </w:pPr>
          </w:p>
        </w:tc>
      </w:tr>
      <w:tr w:rsidR="005039EC" w:rsidRPr="00A54649" w14:paraId="4FF11081" w14:textId="77777777" w:rsidTr="008361B4">
        <w:tblPrEx>
          <w:tblBorders>
            <w:top w:val="nil"/>
          </w:tblBorders>
        </w:tblPrEx>
        <w:tc>
          <w:tcPr>
            <w:tcW w:w="1725" w:type="dxa"/>
            <w:tcBorders>
              <w:left w:val="single" w:sz="8" w:space="0" w:color="000000"/>
              <w:bottom w:val="double" w:sz="4" w:space="0" w:color="000000"/>
              <w:right w:val="single" w:sz="8" w:space="0" w:color="000000"/>
            </w:tcBorders>
            <w:vAlign w:val="center"/>
          </w:tcPr>
          <w:p w14:paraId="5DB32B2E" w14:textId="77777777" w:rsidR="005039EC" w:rsidRPr="00A54649" w:rsidRDefault="005039EC" w:rsidP="009464EC">
            <w:pPr>
              <w:spacing w:after="0"/>
              <w:rPr>
                <w:sz w:val="18"/>
                <w:szCs w:val="18"/>
                <w:lang w:val="en-AU" w:eastAsia="en-US"/>
              </w:rPr>
            </w:pPr>
            <w:r w:rsidRPr="00A54649">
              <w:rPr>
                <w:sz w:val="18"/>
                <w:szCs w:val="18"/>
                <w:lang w:val="en-AU" w:eastAsia="en-US"/>
              </w:rPr>
              <w:t>Thermal Reaction with Methane</w:t>
            </w:r>
          </w:p>
        </w:tc>
        <w:tc>
          <w:tcPr>
            <w:tcW w:w="1134" w:type="dxa"/>
            <w:tcBorders>
              <w:bottom w:val="double" w:sz="4" w:space="0" w:color="000000"/>
              <w:right w:val="single" w:sz="8" w:space="0" w:color="000000"/>
            </w:tcBorders>
            <w:vAlign w:val="center"/>
          </w:tcPr>
          <w:p w14:paraId="3D8C7BAC" w14:textId="77777777" w:rsidR="005039EC" w:rsidRPr="00D3008A" w:rsidRDefault="005039EC" w:rsidP="009464EC">
            <w:pPr>
              <w:spacing w:after="0"/>
              <w:jc w:val="center"/>
              <w:rPr>
                <w:color w:val="00B050"/>
                <w:sz w:val="18"/>
                <w:szCs w:val="18"/>
                <w:lang w:val="en-AU" w:eastAsia="en-US"/>
              </w:rPr>
            </w:pPr>
            <w:r w:rsidRPr="00D3008A">
              <w:rPr>
                <w:color w:val="00B050"/>
                <w:sz w:val="18"/>
                <w:szCs w:val="18"/>
                <w:lang w:val="en-AU" w:eastAsia="en-US"/>
              </w:rPr>
              <w:t>Approved</w:t>
            </w:r>
          </w:p>
        </w:tc>
        <w:tc>
          <w:tcPr>
            <w:tcW w:w="1134" w:type="dxa"/>
            <w:tcBorders>
              <w:bottom w:val="double" w:sz="4" w:space="0" w:color="000000"/>
              <w:right w:val="single" w:sz="8" w:space="0" w:color="000000"/>
            </w:tcBorders>
            <w:vAlign w:val="center"/>
          </w:tcPr>
          <w:p w14:paraId="517147E8" w14:textId="77777777" w:rsidR="005039EC" w:rsidRPr="00D3008A" w:rsidRDefault="005039EC" w:rsidP="009464EC">
            <w:pPr>
              <w:spacing w:after="0"/>
              <w:jc w:val="center"/>
              <w:rPr>
                <w:color w:val="00B050"/>
                <w:sz w:val="18"/>
                <w:szCs w:val="18"/>
                <w:lang w:val="en-AU" w:eastAsia="en-US"/>
              </w:rPr>
            </w:pPr>
            <w:r w:rsidRPr="00D3008A">
              <w:rPr>
                <w:color w:val="00B050"/>
                <w:sz w:val="18"/>
                <w:szCs w:val="18"/>
                <w:lang w:val="en-AU" w:eastAsia="en-US"/>
              </w:rPr>
              <w:t>Approved</w:t>
            </w:r>
          </w:p>
        </w:tc>
        <w:tc>
          <w:tcPr>
            <w:tcW w:w="1134" w:type="dxa"/>
            <w:tcBorders>
              <w:bottom w:val="double" w:sz="4" w:space="0" w:color="000000"/>
              <w:right w:val="single" w:sz="8" w:space="0" w:color="000000"/>
            </w:tcBorders>
            <w:vAlign w:val="center"/>
          </w:tcPr>
          <w:p w14:paraId="01E061A2" w14:textId="77777777" w:rsidR="005039EC" w:rsidRPr="00D3008A" w:rsidRDefault="005039EC" w:rsidP="009464EC">
            <w:pPr>
              <w:spacing w:after="0"/>
              <w:jc w:val="center"/>
              <w:rPr>
                <w:color w:val="00B050"/>
                <w:sz w:val="18"/>
                <w:szCs w:val="18"/>
                <w:lang w:val="en-AU" w:eastAsia="en-US"/>
              </w:rPr>
            </w:pPr>
            <w:r w:rsidRPr="00D3008A">
              <w:rPr>
                <w:color w:val="00B050"/>
                <w:sz w:val="18"/>
                <w:szCs w:val="18"/>
                <w:lang w:val="en-AU" w:eastAsia="en-US"/>
              </w:rPr>
              <w:t>Approved</w:t>
            </w:r>
          </w:p>
        </w:tc>
        <w:tc>
          <w:tcPr>
            <w:tcW w:w="1276" w:type="dxa"/>
            <w:tcBorders>
              <w:bottom w:val="double" w:sz="4" w:space="0" w:color="000000"/>
              <w:right w:val="single" w:sz="8" w:space="0" w:color="000000"/>
            </w:tcBorders>
            <w:vAlign w:val="center"/>
          </w:tcPr>
          <w:p w14:paraId="180E28DE" w14:textId="77777777" w:rsidR="005039EC" w:rsidRPr="00D3008A" w:rsidRDefault="005039EC" w:rsidP="009464EC">
            <w:pPr>
              <w:spacing w:after="0"/>
              <w:jc w:val="center"/>
              <w:rPr>
                <w:color w:val="00B050"/>
                <w:sz w:val="18"/>
                <w:szCs w:val="18"/>
                <w:lang w:val="en-AU" w:eastAsia="en-US"/>
              </w:rPr>
            </w:pPr>
            <w:r w:rsidRPr="00D3008A">
              <w:rPr>
                <w:color w:val="00B050"/>
                <w:sz w:val="18"/>
                <w:szCs w:val="18"/>
                <w:lang w:val="en-AU" w:eastAsia="en-US"/>
              </w:rPr>
              <w:t>Approved</w:t>
            </w:r>
          </w:p>
        </w:tc>
        <w:tc>
          <w:tcPr>
            <w:tcW w:w="1276" w:type="dxa"/>
            <w:tcBorders>
              <w:bottom w:val="double" w:sz="4" w:space="0" w:color="000000"/>
              <w:right w:val="single" w:sz="8" w:space="0" w:color="000000"/>
            </w:tcBorders>
            <w:vAlign w:val="center"/>
          </w:tcPr>
          <w:p w14:paraId="72429C26" w14:textId="77777777" w:rsidR="005039EC" w:rsidRPr="00D3008A" w:rsidRDefault="005039EC" w:rsidP="009464EC">
            <w:pPr>
              <w:spacing w:after="0"/>
              <w:jc w:val="center"/>
              <w:rPr>
                <w:color w:val="00B050"/>
                <w:sz w:val="18"/>
                <w:szCs w:val="18"/>
                <w:lang w:val="en-AU" w:eastAsia="en-US"/>
              </w:rPr>
            </w:pPr>
            <w:r w:rsidRPr="00D3008A">
              <w:rPr>
                <w:color w:val="00B050"/>
                <w:sz w:val="18"/>
                <w:szCs w:val="18"/>
                <w:lang w:val="en-AU" w:eastAsia="en-US"/>
              </w:rPr>
              <w:t>Approved</w:t>
            </w:r>
          </w:p>
        </w:tc>
        <w:tc>
          <w:tcPr>
            <w:tcW w:w="1134" w:type="dxa"/>
            <w:tcBorders>
              <w:bottom w:val="double" w:sz="4" w:space="0" w:color="000000"/>
              <w:right w:val="single" w:sz="8" w:space="0" w:color="000000"/>
            </w:tcBorders>
            <w:vAlign w:val="center"/>
          </w:tcPr>
          <w:p w14:paraId="006D43F0" w14:textId="77777777" w:rsidR="005039EC" w:rsidRPr="00D3008A" w:rsidRDefault="005039EC" w:rsidP="009464EC">
            <w:pPr>
              <w:spacing w:after="0"/>
              <w:jc w:val="center"/>
              <w:rPr>
                <w:color w:val="00B050"/>
                <w:sz w:val="18"/>
                <w:szCs w:val="18"/>
                <w:lang w:val="en-AU" w:eastAsia="en-US"/>
              </w:rPr>
            </w:pPr>
            <w:r w:rsidRPr="00D3008A">
              <w:rPr>
                <w:color w:val="00B050"/>
                <w:sz w:val="18"/>
                <w:szCs w:val="18"/>
                <w:lang w:val="en-AU" w:eastAsia="en-US"/>
              </w:rPr>
              <w:t>Approved</w:t>
            </w:r>
          </w:p>
        </w:tc>
        <w:tc>
          <w:tcPr>
            <w:tcW w:w="1134" w:type="dxa"/>
            <w:tcBorders>
              <w:bottom w:val="double" w:sz="4" w:space="0" w:color="000000"/>
              <w:right w:val="single" w:sz="8" w:space="0" w:color="000000"/>
            </w:tcBorders>
            <w:vAlign w:val="center"/>
          </w:tcPr>
          <w:p w14:paraId="7AD3F17A" w14:textId="77777777" w:rsidR="005039EC" w:rsidRPr="00D3008A" w:rsidRDefault="005039EC" w:rsidP="009464EC">
            <w:pPr>
              <w:spacing w:after="0"/>
              <w:jc w:val="center"/>
              <w:rPr>
                <w:color w:val="00B050"/>
                <w:sz w:val="18"/>
                <w:szCs w:val="18"/>
                <w:lang w:val="en-AU" w:eastAsia="en-US"/>
              </w:rPr>
            </w:pPr>
            <w:r w:rsidRPr="00D3008A">
              <w:rPr>
                <w:color w:val="00B050"/>
                <w:sz w:val="18"/>
                <w:szCs w:val="18"/>
                <w:lang w:val="en-AU" w:eastAsia="en-US"/>
              </w:rPr>
              <w:t>Not Determined</w:t>
            </w:r>
          </w:p>
        </w:tc>
        <w:tc>
          <w:tcPr>
            <w:tcW w:w="1134" w:type="dxa"/>
            <w:tcBorders>
              <w:top w:val="single" w:sz="8" w:space="0" w:color="000000"/>
              <w:bottom w:val="double" w:sz="4" w:space="0" w:color="auto"/>
              <w:right w:val="single" w:sz="8" w:space="0" w:color="000000"/>
            </w:tcBorders>
            <w:shd w:val="solid" w:color="F2DBDB" w:themeColor="accent2" w:themeTint="33" w:fill="F2DBDB" w:themeFill="accent2" w:themeFillTint="33"/>
            <w:vAlign w:val="center"/>
          </w:tcPr>
          <w:p w14:paraId="65C5638C" w14:textId="26D31C5D" w:rsidR="005039EC" w:rsidRPr="00A54649" w:rsidRDefault="005039EC" w:rsidP="009464EC">
            <w:pPr>
              <w:spacing w:after="0"/>
              <w:jc w:val="center"/>
              <w:rPr>
                <w:sz w:val="18"/>
                <w:szCs w:val="18"/>
                <w:lang w:val="en-AU" w:eastAsia="en-US"/>
              </w:rPr>
            </w:pPr>
            <w:r w:rsidRPr="00D05E5C">
              <w:rPr>
                <w:color w:val="FF0000"/>
                <w:sz w:val="18"/>
                <w:szCs w:val="18"/>
                <w:lang w:val="en-AU" w:eastAsia="en-US"/>
              </w:rPr>
              <w:t xml:space="preserve">Unable to </w:t>
            </w:r>
            <w:r>
              <w:rPr>
                <w:color w:val="FF0000"/>
                <w:sz w:val="18"/>
                <w:szCs w:val="18"/>
                <w:lang w:val="en-AU" w:eastAsia="en-US"/>
              </w:rPr>
              <w:t>A</w:t>
            </w:r>
            <w:r w:rsidRPr="00D05E5C">
              <w:rPr>
                <w:color w:val="FF0000"/>
                <w:sz w:val="18"/>
                <w:szCs w:val="18"/>
                <w:lang w:val="en-AU" w:eastAsia="en-US"/>
              </w:rPr>
              <w:t>ssess</w:t>
            </w:r>
          </w:p>
        </w:tc>
        <w:tc>
          <w:tcPr>
            <w:tcW w:w="1134" w:type="dxa"/>
            <w:tcBorders>
              <w:top w:val="single" w:sz="8" w:space="0" w:color="000000"/>
              <w:left w:val="single" w:sz="8" w:space="0" w:color="000000"/>
              <w:bottom w:val="double" w:sz="4" w:space="0" w:color="auto"/>
              <w:right w:val="single" w:sz="8" w:space="0" w:color="000000"/>
            </w:tcBorders>
            <w:shd w:val="solid" w:color="F2DBDB" w:themeColor="accent2" w:themeTint="33" w:fill="F2DBDB" w:themeFill="accent2" w:themeFillTint="33"/>
            <w:vAlign w:val="center"/>
          </w:tcPr>
          <w:p w14:paraId="06720A3E" w14:textId="4F2299FC" w:rsidR="005039EC" w:rsidRPr="00A54649" w:rsidRDefault="005039EC" w:rsidP="009464EC">
            <w:pPr>
              <w:spacing w:after="0"/>
              <w:jc w:val="center"/>
              <w:rPr>
                <w:sz w:val="18"/>
                <w:szCs w:val="18"/>
                <w:lang w:val="en-AU" w:eastAsia="en-US"/>
              </w:rPr>
            </w:pPr>
            <w:r w:rsidRPr="00D05E5C">
              <w:rPr>
                <w:color w:val="FF0000"/>
                <w:sz w:val="18"/>
                <w:szCs w:val="18"/>
                <w:lang w:val="en-AU" w:eastAsia="en-US"/>
              </w:rPr>
              <w:t xml:space="preserve">Unable to </w:t>
            </w:r>
            <w:r>
              <w:rPr>
                <w:color w:val="FF0000"/>
                <w:sz w:val="18"/>
                <w:szCs w:val="18"/>
                <w:lang w:val="en-AU" w:eastAsia="en-US"/>
              </w:rPr>
              <w:t>A</w:t>
            </w:r>
            <w:r w:rsidRPr="00D05E5C">
              <w:rPr>
                <w:color w:val="FF0000"/>
                <w:sz w:val="18"/>
                <w:szCs w:val="18"/>
                <w:lang w:val="en-AU" w:eastAsia="en-US"/>
              </w:rPr>
              <w:t>ssess</w:t>
            </w:r>
          </w:p>
        </w:tc>
        <w:tc>
          <w:tcPr>
            <w:tcW w:w="1063" w:type="dxa"/>
            <w:tcBorders>
              <w:top w:val="single" w:sz="8" w:space="0" w:color="000000"/>
              <w:left w:val="single" w:sz="8" w:space="0" w:color="000000"/>
              <w:bottom w:val="double" w:sz="4" w:space="0" w:color="000000"/>
              <w:right w:val="single" w:sz="8" w:space="0" w:color="000000"/>
            </w:tcBorders>
            <w:vAlign w:val="center"/>
          </w:tcPr>
          <w:p w14:paraId="47658C57" w14:textId="77777777" w:rsidR="005039EC" w:rsidRPr="00A54649" w:rsidRDefault="005039EC" w:rsidP="009464EC">
            <w:pPr>
              <w:spacing w:after="0"/>
              <w:jc w:val="center"/>
              <w:rPr>
                <w:sz w:val="18"/>
                <w:szCs w:val="18"/>
                <w:lang w:val="en-AU" w:eastAsia="en-US"/>
              </w:rPr>
            </w:pPr>
          </w:p>
        </w:tc>
        <w:tc>
          <w:tcPr>
            <w:tcW w:w="1063" w:type="dxa"/>
            <w:tcBorders>
              <w:top w:val="single" w:sz="8" w:space="0" w:color="000000"/>
              <w:left w:val="single" w:sz="8" w:space="0" w:color="000000"/>
              <w:bottom w:val="double" w:sz="4" w:space="0" w:color="000000"/>
              <w:right w:val="single" w:sz="8" w:space="0" w:color="000000"/>
            </w:tcBorders>
            <w:vAlign w:val="center"/>
          </w:tcPr>
          <w:p w14:paraId="2FE3C45E" w14:textId="5D1345B1" w:rsidR="005039EC" w:rsidRPr="00A54649" w:rsidRDefault="005039EC" w:rsidP="009464EC">
            <w:pPr>
              <w:spacing w:after="0"/>
              <w:jc w:val="center"/>
              <w:rPr>
                <w:sz w:val="18"/>
                <w:szCs w:val="18"/>
                <w:lang w:val="en-AU" w:eastAsia="en-US"/>
              </w:rPr>
            </w:pPr>
          </w:p>
        </w:tc>
      </w:tr>
      <w:tr w:rsidR="005039EC" w:rsidRPr="00A54649" w14:paraId="5164B36E" w14:textId="77777777" w:rsidTr="008361B4">
        <w:tblPrEx>
          <w:tblBorders>
            <w:top w:val="nil"/>
          </w:tblBorders>
        </w:tblPrEx>
        <w:tc>
          <w:tcPr>
            <w:tcW w:w="1725" w:type="dxa"/>
            <w:tcBorders>
              <w:top w:val="double" w:sz="4" w:space="0" w:color="000000"/>
              <w:left w:val="single" w:sz="8" w:space="0" w:color="000000"/>
              <w:bottom w:val="single" w:sz="6" w:space="0" w:color="000000"/>
              <w:right w:val="single" w:sz="6" w:space="0" w:color="000000"/>
            </w:tcBorders>
            <w:vAlign w:val="center"/>
          </w:tcPr>
          <w:p w14:paraId="4474DCBF" w14:textId="2615C21D" w:rsidR="005039EC" w:rsidRPr="00A54649" w:rsidRDefault="005039EC" w:rsidP="009464EC">
            <w:pPr>
              <w:spacing w:after="0"/>
              <w:rPr>
                <w:sz w:val="18"/>
                <w:szCs w:val="18"/>
                <w:lang w:val="en-AU" w:eastAsia="en-US"/>
              </w:rPr>
            </w:pPr>
            <w:r>
              <w:rPr>
                <w:sz w:val="18"/>
                <w:szCs w:val="18"/>
                <w:lang w:val="en-AU" w:eastAsia="en-US"/>
              </w:rPr>
              <w:t>Electric Heater</w:t>
            </w:r>
          </w:p>
        </w:tc>
        <w:tc>
          <w:tcPr>
            <w:tcW w:w="1134" w:type="dxa"/>
            <w:tcBorders>
              <w:top w:val="double" w:sz="4" w:space="0" w:color="000000"/>
              <w:left w:val="single" w:sz="6" w:space="0" w:color="000000"/>
              <w:bottom w:val="single" w:sz="6" w:space="0" w:color="000000"/>
              <w:right w:val="single" w:sz="6" w:space="0" w:color="000000"/>
            </w:tcBorders>
            <w:vAlign w:val="center"/>
          </w:tcPr>
          <w:p w14:paraId="524559D6" w14:textId="6A6893B3" w:rsidR="005039EC" w:rsidRPr="00EB5F4F" w:rsidRDefault="005039EC" w:rsidP="009464EC">
            <w:pPr>
              <w:spacing w:after="0"/>
              <w:jc w:val="center"/>
              <w:rPr>
                <w:color w:val="FF0000"/>
                <w:sz w:val="18"/>
                <w:szCs w:val="18"/>
                <w:lang w:val="en-AU" w:eastAsia="en-US"/>
              </w:rPr>
            </w:pPr>
          </w:p>
        </w:tc>
        <w:tc>
          <w:tcPr>
            <w:tcW w:w="1134" w:type="dxa"/>
            <w:tcBorders>
              <w:top w:val="double" w:sz="4" w:space="0" w:color="000000"/>
              <w:left w:val="single" w:sz="6" w:space="0" w:color="000000"/>
              <w:bottom w:val="single" w:sz="6" w:space="0" w:color="000000"/>
              <w:right w:val="single" w:sz="6" w:space="0" w:color="000000"/>
            </w:tcBorders>
            <w:vAlign w:val="center"/>
          </w:tcPr>
          <w:p w14:paraId="49944766" w14:textId="43C151B6" w:rsidR="005039EC" w:rsidRPr="00EB5F4F" w:rsidRDefault="005039EC" w:rsidP="009464EC">
            <w:pPr>
              <w:spacing w:after="0"/>
              <w:jc w:val="center"/>
              <w:rPr>
                <w:color w:val="FF0000"/>
                <w:sz w:val="18"/>
                <w:szCs w:val="18"/>
                <w:lang w:val="en-AU" w:eastAsia="en-US"/>
              </w:rPr>
            </w:pPr>
          </w:p>
        </w:tc>
        <w:tc>
          <w:tcPr>
            <w:tcW w:w="1134" w:type="dxa"/>
            <w:tcBorders>
              <w:top w:val="double" w:sz="4" w:space="0" w:color="000000"/>
              <w:left w:val="single" w:sz="6" w:space="0" w:color="000000"/>
              <w:bottom w:val="single" w:sz="6" w:space="0" w:color="000000"/>
              <w:right w:val="single" w:sz="6" w:space="0" w:color="000000"/>
            </w:tcBorders>
            <w:vAlign w:val="center"/>
          </w:tcPr>
          <w:p w14:paraId="5883FA08" w14:textId="3DCB8530" w:rsidR="005039EC" w:rsidRPr="00EB5F4F" w:rsidRDefault="005039EC" w:rsidP="009464EC">
            <w:pPr>
              <w:spacing w:after="0"/>
              <w:jc w:val="center"/>
              <w:rPr>
                <w:color w:val="FF0000"/>
                <w:sz w:val="18"/>
                <w:szCs w:val="18"/>
                <w:lang w:val="en-AU" w:eastAsia="en-US"/>
              </w:rPr>
            </w:pPr>
          </w:p>
        </w:tc>
        <w:tc>
          <w:tcPr>
            <w:tcW w:w="1276" w:type="dxa"/>
            <w:tcBorders>
              <w:top w:val="double" w:sz="4" w:space="0" w:color="000000"/>
              <w:left w:val="single" w:sz="6" w:space="0" w:color="000000"/>
              <w:bottom w:val="single" w:sz="6" w:space="0" w:color="000000"/>
              <w:right w:val="single" w:sz="6" w:space="0" w:color="000000"/>
            </w:tcBorders>
            <w:vAlign w:val="center"/>
          </w:tcPr>
          <w:p w14:paraId="5A1BE6E9" w14:textId="6960B34D" w:rsidR="005039EC" w:rsidRPr="00EB5F4F" w:rsidRDefault="005039EC" w:rsidP="009464EC">
            <w:pPr>
              <w:spacing w:after="0"/>
              <w:jc w:val="center"/>
              <w:rPr>
                <w:color w:val="FF0000"/>
                <w:sz w:val="18"/>
                <w:szCs w:val="18"/>
                <w:lang w:val="en-AU" w:eastAsia="en-US"/>
              </w:rPr>
            </w:pPr>
          </w:p>
        </w:tc>
        <w:tc>
          <w:tcPr>
            <w:tcW w:w="1276" w:type="dxa"/>
            <w:tcBorders>
              <w:top w:val="double" w:sz="4" w:space="0" w:color="000000"/>
              <w:left w:val="single" w:sz="6" w:space="0" w:color="000000"/>
              <w:bottom w:val="single" w:sz="6" w:space="0" w:color="000000"/>
              <w:right w:val="single" w:sz="6" w:space="0" w:color="000000"/>
            </w:tcBorders>
            <w:vAlign w:val="center"/>
          </w:tcPr>
          <w:p w14:paraId="7B7668F5" w14:textId="0E36DA48" w:rsidR="005039EC" w:rsidRPr="00EB5F4F" w:rsidRDefault="005039EC" w:rsidP="009464EC">
            <w:pPr>
              <w:spacing w:after="0"/>
              <w:jc w:val="center"/>
              <w:rPr>
                <w:color w:val="FF0000"/>
                <w:sz w:val="18"/>
                <w:szCs w:val="18"/>
                <w:lang w:val="en-AU" w:eastAsia="en-US"/>
              </w:rPr>
            </w:pPr>
          </w:p>
        </w:tc>
        <w:tc>
          <w:tcPr>
            <w:tcW w:w="1134" w:type="dxa"/>
            <w:tcBorders>
              <w:top w:val="double" w:sz="4" w:space="0" w:color="000000"/>
              <w:left w:val="single" w:sz="6" w:space="0" w:color="000000"/>
              <w:bottom w:val="single" w:sz="6" w:space="0" w:color="000000"/>
              <w:right w:val="single" w:sz="6" w:space="0" w:color="000000"/>
            </w:tcBorders>
            <w:vAlign w:val="center"/>
          </w:tcPr>
          <w:p w14:paraId="08A589ED" w14:textId="5FE5CEAE" w:rsidR="005039EC" w:rsidRPr="00EB5F4F" w:rsidRDefault="005039EC" w:rsidP="009464EC">
            <w:pPr>
              <w:spacing w:after="0"/>
              <w:jc w:val="center"/>
              <w:rPr>
                <w:color w:val="FF0000"/>
                <w:sz w:val="18"/>
                <w:szCs w:val="18"/>
                <w:lang w:val="en-AU" w:eastAsia="en-US"/>
              </w:rPr>
            </w:pPr>
          </w:p>
        </w:tc>
        <w:tc>
          <w:tcPr>
            <w:tcW w:w="1134" w:type="dxa"/>
            <w:tcBorders>
              <w:top w:val="double" w:sz="4" w:space="0" w:color="000000"/>
              <w:left w:val="single" w:sz="6" w:space="0" w:color="000000"/>
              <w:bottom w:val="single" w:sz="6" w:space="0" w:color="000000"/>
              <w:right w:val="single" w:sz="4" w:space="0" w:color="000000"/>
            </w:tcBorders>
            <w:vAlign w:val="center"/>
          </w:tcPr>
          <w:p w14:paraId="51A8F395" w14:textId="229C43E8" w:rsidR="005039EC" w:rsidRPr="00EB5F4F" w:rsidRDefault="005039EC" w:rsidP="009464EC">
            <w:pPr>
              <w:spacing w:after="0"/>
              <w:jc w:val="center"/>
              <w:rPr>
                <w:color w:val="FF0000"/>
                <w:sz w:val="18"/>
                <w:szCs w:val="18"/>
                <w:lang w:val="en-AU" w:eastAsia="en-US"/>
              </w:rPr>
            </w:pPr>
          </w:p>
        </w:tc>
        <w:tc>
          <w:tcPr>
            <w:tcW w:w="1134" w:type="dxa"/>
            <w:tcBorders>
              <w:top w:val="double" w:sz="4" w:space="0" w:color="auto"/>
              <w:left w:val="single" w:sz="4" w:space="0" w:color="000000"/>
              <w:bottom w:val="single" w:sz="4" w:space="0" w:color="000000"/>
              <w:right w:val="single" w:sz="4" w:space="0" w:color="000000"/>
            </w:tcBorders>
            <w:shd w:val="solid" w:color="F2DBDB" w:themeColor="accent2" w:themeTint="33" w:fill="auto"/>
            <w:vAlign w:val="center"/>
          </w:tcPr>
          <w:p w14:paraId="0E4CD613" w14:textId="77777777" w:rsidR="005039EC" w:rsidRPr="00EB5F4F" w:rsidRDefault="005039EC" w:rsidP="009464EC">
            <w:pPr>
              <w:spacing w:after="0"/>
              <w:jc w:val="center"/>
              <w:rPr>
                <w:color w:val="FF0000"/>
                <w:sz w:val="18"/>
                <w:szCs w:val="18"/>
                <w:lang w:val="en-AU" w:eastAsia="en-US"/>
              </w:rPr>
            </w:pPr>
            <w:r w:rsidRPr="00EB5F4F">
              <w:rPr>
                <w:color w:val="FF0000"/>
                <w:sz w:val="18"/>
                <w:szCs w:val="18"/>
                <w:lang w:val="en-AU" w:eastAsia="en-US"/>
              </w:rPr>
              <w:t>High Potential</w:t>
            </w:r>
          </w:p>
        </w:tc>
        <w:tc>
          <w:tcPr>
            <w:tcW w:w="1134" w:type="dxa"/>
            <w:tcBorders>
              <w:top w:val="double" w:sz="4" w:space="0" w:color="auto"/>
              <w:left w:val="single" w:sz="4" w:space="0" w:color="000000"/>
              <w:bottom w:val="single" w:sz="4" w:space="0" w:color="000000"/>
              <w:right w:val="single" w:sz="4" w:space="0" w:color="000000"/>
            </w:tcBorders>
            <w:shd w:val="solid" w:color="F2DBDB" w:themeColor="accent2" w:themeTint="33" w:fill="auto"/>
            <w:vAlign w:val="center"/>
          </w:tcPr>
          <w:p w14:paraId="55A6C069" w14:textId="4A49DA69" w:rsidR="005039EC" w:rsidRPr="00EB5F4F" w:rsidRDefault="005039EC" w:rsidP="009464EC">
            <w:pPr>
              <w:spacing w:after="0"/>
              <w:jc w:val="center"/>
              <w:rPr>
                <w:color w:val="FF0000"/>
                <w:sz w:val="18"/>
                <w:szCs w:val="18"/>
                <w:lang w:val="en-AU" w:eastAsia="en-US"/>
              </w:rPr>
            </w:pPr>
            <w:r w:rsidRPr="00EB5F4F">
              <w:rPr>
                <w:color w:val="FF0000"/>
                <w:sz w:val="18"/>
                <w:szCs w:val="18"/>
                <w:lang w:val="en-AU" w:eastAsia="en-US"/>
              </w:rPr>
              <w:t>High Potential</w:t>
            </w:r>
          </w:p>
        </w:tc>
        <w:tc>
          <w:tcPr>
            <w:tcW w:w="1063" w:type="dxa"/>
            <w:tcBorders>
              <w:top w:val="double" w:sz="4" w:space="0" w:color="000000"/>
              <w:left w:val="single" w:sz="4" w:space="0" w:color="000000"/>
              <w:bottom w:val="single" w:sz="6" w:space="0" w:color="000000"/>
              <w:right w:val="single" w:sz="8" w:space="0" w:color="000000"/>
            </w:tcBorders>
            <w:vAlign w:val="center"/>
          </w:tcPr>
          <w:p w14:paraId="1A152A0C" w14:textId="77777777" w:rsidR="005039EC" w:rsidRPr="00A54649" w:rsidRDefault="005039EC" w:rsidP="009464EC">
            <w:pPr>
              <w:spacing w:after="0"/>
              <w:jc w:val="center"/>
              <w:rPr>
                <w:sz w:val="18"/>
                <w:szCs w:val="18"/>
                <w:lang w:val="en-AU" w:eastAsia="en-US"/>
              </w:rPr>
            </w:pPr>
          </w:p>
        </w:tc>
        <w:tc>
          <w:tcPr>
            <w:tcW w:w="1063" w:type="dxa"/>
            <w:tcBorders>
              <w:top w:val="double" w:sz="4" w:space="0" w:color="000000"/>
              <w:left w:val="single" w:sz="4" w:space="0" w:color="000000"/>
              <w:bottom w:val="single" w:sz="6" w:space="0" w:color="000000"/>
              <w:right w:val="single" w:sz="8" w:space="0" w:color="000000"/>
            </w:tcBorders>
            <w:vAlign w:val="center"/>
          </w:tcPr>
          <w:p w14:paraId="79306A23" w14:textId="7ACCB3A8" w:rsidR="005039EC" w:rsidRPr="00A54649" w:rsidRDefault="005039EC" w:rsidP="009464EC">
            <w:pPr>
              <w:spacing w:after="0"/>
              <w:jc w:val="center"/>
              <w:rPr>
                <w:sz w:val="18"/>
                <w:szCs w:val="18"/>
                <w:lang w:val="en-AU" w:eastAsia="en-US"/>
              </w:rPr>
            </w:pPr>
          </w:p>
        </w:tc>
      </w:tr>
      <w:tr w:rsidR="005039EC" w:rsidRPr="00A54649" w14:paraId="6F8DA306" w14:textId="77777777" w:rsidTr="008361B4">
        <w:tblPrEx>
          <w:tblBorders>
            <w:top w:val="nil"/>
          </w:tblBorders>
        </w:tblPrEx>
        <w:tc>
          <w:tcPr>
            <w:tcW w:w="1725" w:type="dxa"/>
            <w:tcBorders>
              <w:top w:val="single" w:sz="6" w:space="0" w:color="000000"/>
              <w:left w:val="single" w:sz="8" w:space="0" w:color="000000"/>
              <w:bottom w:val="single" w:sz="6" w:space="0" w:color="000000"/>
              <w:right w:val="single" w:sz="6" w:space="0" w:color="000000"/>
            </w:tcBorders>
            <w:vAlign w:val="center"/>
          </w:tcPr>
          <w:p w14:paraId="1F446066" w14:textId="6B78C80F" w:rsidR="005039EC" w:rsidRPr="00A54649" w:rsidRDefault="005039EC" w:rsidP="009464EC">
            <w:pPr>
              <w:spacing w:after="0"/>
              <w:rPr>
                <w:sz w:val="18"/>
                <w:szCs w:val="18"/>
                <w:lang w:val="en-AU" w:eastAsia="en-US"/>
              </w:rPr>
            </w:pPr>
            <w:r>
              <w:rPr>
                <w:sz w:val="18"/>
                <w:szCs w:val="18"/>
                <w:lang w:val="en-AU" w:eastAsia="en-US"/>
              </w:rPr>
              <w:t>Fixed Hearth Incinerator</w:t>
            </w:r>
          </w:p>
        </w:tc>
        <w:tc>
          <w:tcPr>
            <w:tcW w:w="7088" w:type="dxa"/>
            <w:gridSpan w:val="6"/>
            <w:tcBorders>
              <w:top w:val="single" w:sz="6" w:space="0" w:color="000000"/>
              <w:left w:val="single" w:sz="6" w:space="0" w:color="000000"/>
              <w:bottom w:val="single" w:sz="6" w:space="0" w:color="000000"/>
              <w:right w:val="single" w:sz="6" w:space="0" w:color="000000"/>
            </w:tcBorders>
            <w:shd w:val="solid" w:color="F2DBDB" w:themeColor="accent2" w:themeTint="33" w:fill="auto"/>
            <w:vAlign w:val="center"/>
          </w:tcPr>
          <w:p w14:paraId="6B4BAFAD" w14:textId="6D7DBB9C" w:rsidR="005039EC" w:rsidRPr="001124F5" w:rsidRDefault="005039EC" w:rsidP="009464EC">
            <w:pPr>
              <w:spacing w:after="0"/>
              <w:jc w:val="center"/>
              <w:rPr>
                <w:color w:val="FF0000"/>
                <w:sz w:val="18"/>
                <w:szCs w:val="18"/>
                <w:lang w:val="en-AU" w:eastAsia="en-US"/>
              </w:rPr>
            </w:pPr>
            <w:r>
              <w:rPr>
                <w:color w:val="FF0000"/>
                <w:sz w:val="18"/>
                <w:szCs w:val="18"/>
                <w:lang w:val="en-AU" w:eastAsia="en-US"/>
              </w:rPr>
              <w:t>Unable to Assess</w:t>
            </w:r>
          </w:p>
        </w:tc>
        <w:tc>
          <w:tcPr>
            <w:tcW w:w="1134" w:type="dxa"/>
            <w:tcBorders>
              <w:top w:val="single" w:sz="6" w:space="0" w:color="000000"/>
              <w:left w:val="single" w:sz="6" w:space="0" w:color="000000"/>
              <w:bottom w:val="single" w:sz="6" w:space="0" w:color="000000"/>
              <w:right w:val="single" w:sz="6" w:space="0" w:color="000000"/>
            </w:tcBorders>
            <w:vAlign w:val="center"/>
          </w:tcPr>
          <w:p w14:paraId="519F7988" w14:textId="77777777" w:rsidR="005039EC" w:rsidRPr="00D3008A" w:rsidRDefault="005039EC" w:rsidP="009464EC">
            <w:pPr>
              <w:spacing w:after="0"/>
              <w:jc w:val="center"/>
              <w:rPr>
                <w:color w:val="00B050"/>
                <w:sz w:val="18"/>
                <w:szCs w:val="18"/>
                <w:lang w:val="en-AU" w:eastAsia="en-US"/>
              </w:rPr>
            </w:pPr>
          </w:p>
        </w:tc>
        <w:tc>
          <w:tcPr>
            <w:tcW w:w="1134" w:type="dxa"/>
            <w:tcBorders>
              <w:top w:val="single" w:sz="4" w:space="0" w:color="000000"/>
              <w:left w:val="single" w:sz="6" w:space="0" w:color="000000"/>
              <w:bottom w:val="single" w:sz="6" w:space="0" w:color="000000"/>
              <w:right w:val="single" w:sz="6" w:space="0" w:color="000000"/>
            </w:tcBorders>
            <w:vAlign w:val="center"/>
          </w:tcPr>
          <w:p w14:paraId="6E062FA5" w14:textId="77777777" w:rsidR="005039EC" w:rsidRPr="00A54649" w:rsidRDefault="005039EC" w:rsidP="009464EC">
            <w:pPr>
              <w:spacing w:after="0"/>
              <w:jc w:val="center"/>
              <w:rPr>
                <w:sz w:val="18"/>
                <w:szCs w:val="18"/>
                <w:lang w:val="en-AU" w:eastAsia="en-US"/>
              </w:rPr>
            </w:pPr>
          </w:p>
        </w:tc>
        <w:tc>
          <w:tcPr>
            <w:tcW w:w="1134" w:type="dxa"/>
            <w:tcBorders>
              <w:top w:val="single" w:sz="4" w:space="0" w:color="000000"/>
              <w:left w:val="single" w:sz="6" w:space="0" w:color="000000"/>
              <w:bottom w:val="single" w:sz="6" w:space="0" w:color="000000"/>
              <w:right w:val="single" w:sz="6" w:space="0" w:color="000000"/>
            </w:tcBorders>
            <w:vAlign w:val="center"/>
          </w:tcPr>
          <w:p w14:paraId="7E5EB397" w14:textId="77777777" w:rsidR="005039EC" w:rsidRPr="00A54649" w:rsidRDefault="005039EC" w:rsidP="009464EC">
            <w:pPr>
              <w:spacing w:after="0"/>
              <w:jc w:val="center"/>
              <w:rPr>
                <w:sz w:val="18"/>
                <w:szCs w:val="18"/>
                <w:lang w:val="en-AU" w:eastAsia="en-US"/>
              </w:rPr>
            </w:pPr>
          </w:p>
        </w:tc>
        <w:tc>
          <w:tcPr>
            <w:tcW w:w="1063" w:type="dxa"/>
            <w:tcBorders>
              <w:top w:val="single" w:sz="6" w:space="0" w:color="000000"/>
              <w:left w:val="single" w:sz="6" w:space="0" w:color="000000"/>
              <w:bottom w:val="single" w:sz="6" w:space="0" w:color="000000"/>
              <w:right w:val="single" w:sz="8" w:space="0" w:color="000000"/>
            </w:tcBorders>
            <w:vAlign w:val="center"/>
          </w:tcPr>
          <w:p w14:paraId="4D1CF64B" w14:textId="77777777" w:rsidR="005039EC" w:rsidRPr="00A54649" w:rsidRDefault="005039EC" w:rsidP="009464EC">
            <w:pPr>
              <w:spacing w:after="0"/>
              <w:jc w:val="center"/>
              <w:rPr>
                <w:sz w:val="18"/>
                <w:szCs w:val="18"/>
                <w:lang w:val="en-AU" w:eastAsia="en-US"/>
              </w:rPr>
            </w:pPr>
          </w:p>
        </w:tc>
        <w:tc>
          <w:tcPr>
            <w:tcW w:w="1063" w:type="dxa"/>
            <w:tcBorders>
              <w:top w:val="single" w:sz="6" w:space="0" w:color="000000"/>
              <w:left w:val="single" w:sz="6" w:space="0" w:color="000000"/>
              <w:bottom w:val="single" w:sz="6" w:space="0" w:color="000000"/>
              <w:right w:val="single" w:sz="8" w:space="0" w:color="000000"/>
            </w:tcBorders>
            <w:vAlign w:val="center"/>
          </w:tcPr>
          <w:p w14:paraId="121CA25E" w14:textId="7B0D6D09" w:rsidR="005039EC" w:rsidRPr="00A54649" w:rsidRDefault="005039EC" w:rsidP="009464EC">
            <w:pPr>
              <w:spacing w:after="0"/>
              <w:jc w:val="center"/>
              <w:rPr>
                <w:sz w:val="18"/>
                <w:szCs w:val="18"/>
                <w:lang w:val="en-AU" w:eastAsia="en-US"/>
              </w:rPr>
            </w:pPr>
          </w:p>
        </w:tc>
      </w:tr>
      <w:tr w:rsidR="005039EC" w:rsidRPr="00A54649" w14:paraId="39530643" w14:textId="77777777" w:rsidTr="008361B4">
        <w:tblPrEx>
          <w:tblBorders>
            <w:top w:val="nil"/>
          </w:tblBorders>
        </w:tblPrEx>
        <w:tc>
          <w:tcPr>
            <w:tcW w:w="1725" w:type="dxa"/>
            <w:tcBorders>
              <w:top w:val="single" w:sz="6" w:space="0" w:color="000000"/>
              <w:left w:val="single" w:sz="8" w:space="0" w:color="000000"/>
              <w:bottom w:val="single" w:sz="6" w:space="0" w:color="000000"/>
              <w:right w:val="single" w:sz="6" w:space="0" w:color="000000"/>
            </w:tcBorders>
            <w:vAlign w:val="center"/>
          </w:tcPr>
          <w:p w14:paraId="27B403D5" w14:textId="26983C91" w:rsidR="005039EC" w:rsidRPr="00A54649" w:rsidRDefault="005039EC" w:rsidP="009464EC">
            <w:pPr>
              <w:spacing w:after="0"/>
              <w:rPr>
                <w:sz w:val="18"/>
                <w:szCs w:val="18"/>
                <w:lang w:val="en-AU" w:eastAsia="en-US"/>
              </w:rPr>
            </w:pPr>
            <w:r>
              <w:rPr>
                <w:sz w:val="18"/>
                <w:szCs w:val="18"/>
                <w:lang w:val="en-AU" w:eastAsia="en-US"/>
              </w:rPr>
              <w:t>Furnaces</w:t>
            </w:r>
          </w:p>
        </w:tc>
        <w:tc>
          <w:tcPr>
            <w:tcW w:w="1134" w:type="dxa"/>
            <w:tcBorders>
              <w:top w:val="single" w:sz="6" w:space="0" w:color="000000"/>
              <w:left w:val="single" w:sz="6" w:space="0" w:color="000000"/>
              <w:bottom w:val="single" w:sz="6" w:space="0" w:color="000000"/>
              <w:right w:val="single" w:sz="6" w:space="0" w:color="000000"/>
            </w:tcBorders>
            <w:vAlign w:val="center"/>
          </w:tcPr>
          <w:p w14:paraId="4003D686" w14:textId="77777777" w:rsidR="005039EC" w:rsidRPr="00D3008A" w:rsidRDefault="005039EC" w:rsidP="009464EC">
            <w:pPr>
              <w:spacing w:after="0"/>
              <w:jc w:val="center"/>
              <w:rPr>
                <w:color w:val="00B050"/>
                <w:sz w:val="18"/>
                <w:szCs w:val="18"/>
                <w:lang w:val="en-AU" w:eastAsia="en-US"/>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6E49ABD8" w14:textId="77777777" w:rsidR="005039EC" w:rsidRPr="00D3008A" w:rsidRDefault="005039EC" w:rsidP="009464EC">
            <w:pPr>
              <w:spacing w:after="0"/>
              <w:jc w:val="center"/>
              <w:rPr>
                <w:color w:val="00B050"/>
                <w:sz w:val="18"/>
                <w:szCs w:val="18"/>
                <w:lang w:val="en-AU" w:eastAsia="en-US"/>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1B525D28" w14:textId="77777777" w:rsidR="005039EC" w:rsidRPr="00D3008A" w:rsidRDefault="005039EC" w:rsidP="009464EC">
            <w:pPr>
              <w:spacing w:after="0"/>
              <w:jc w:val="center"/>
              <w:rPr>
                <w:color w:val="00B050"/>
                <w:sz w:val="18"/>
                <w:szCs w:val="18"/>
                <w:lang w:val="en-AU" w:eastAsia="en-US"/>
              </w:rPr>
            </w:pPr>
          </w:p>
        </w:tc>
        <w:tc>
          <w:tcPr>
            <w:tcW w:w="1276" w:type="dxa"/>
            <w:tcBorders>
              <w:top w:val="single" w:sz="6" w:space="0" w:color="000000"/>
              <w:left w:val="single" w:sz="6" w:space="0" w:color="000000"/>
              <w:bottom w:val="single" w:sz="6" w:space="0" w:color="000000"/>
              <w:right w:val="single" w:sz="6" w:space="0" w:color="000000"/>
            </w:tcBorders>
            <w:vAlign w:val="center"/>
          </w:tcPr>
          <w:p w14:paraId="41CC795C" w14:textId="77777777" w:rsidR="005039EC" w:rsidRPr="00D3008A" w:rsidRDefault="005039EC" w:rsidP="009464EC">
            <w:pPr>
              <w:spacing w:after="0"/>
              <w:jc w:val="center"/>
              <w:rPr>
                <w:color w:val="00B050"/>
                <w:sz w:val="18"/>
                <w:szCs w:val="18"/>
                <w:lang w:val="en-AU" w:eastAsia="en-US"/>
              </w:rPr>
            </w:pPr>
          </w:p>
        </w:tc>
        <w:tc>
          <w:tcPr>
            <w:tcW w:w="1276" w:type="dxa"/>
            <w:tcBorders>
              <w:top w:val="single" w:sz="6" w:space="0" w:color="000000"/>
              <w:left w:val="single" w:sz="6" w:space="0" w:color="000000"/>
              <w:bottom w:val="single" w:sz="6" w:space="0" w:color="000000"/>
              <w:right w:val="single" w:sz="6" w:space="0" w:color="000000"/>
            </w:tcBorders>
            <w:vAlign w:val="center"/>
          </w:tcPr>
          <w:p w14:paraId="5C58903E" w14:textId="77777777" w:rsidR="005039EC" w:rsidRPr="00D3008A" w:rsidRDefault="005039EC" w:rsidP="009464EC">
            <w:pPr>
              <w:spacing w:after="0"/>
              <w:jc w:val="center"/>
              <w:rPr>
                <w:color w:val="00B050"/>
                <w:sz w:val="18"/>
                <w:szCs w:val="18"/>
                <w:lang w:val="en-AU" w:eastAsia="en-US"/>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4CA281D9" w14:textId="77777777" w:rsidR="005039EC" w:rsidRPr="00D3008A" w:rsidRDefault="005039EC" w:rsidP="009464EC">
            <w:pPr>
              <w:spacing w:after="0"/>
              <w:jc w:val="center"/>
              <w:rPr>
                <w:color w:val="00B050"/>
                <w:sz w:val="18"/>
                <w:szCs w:val="18"/>
                <w:lang w:val="en-AU" w:eastAsia="en-US"/>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115C4E2E" w14:textId="77777777" w:rsidR="005039EC" w:rsidRPr="00D3008A" w:rsidRDefault="005039EC" w:rsidP="009464EC">
            <w:pPr>
              <w:spacing w:after="0"/>
              <w:jc w:val="center"/>
              <w:rPr>
                <w:color w:val="00B050"/>
                <w:sz w:val="18"/>
                <w:szCs w:val="18"/>
                <w:lang w:val="en-AU" w:eastAsia="en-US"/>
              </w:rPr>
            </w:pPr>
          </w:p>
        </w:tc>
        <w:tc>
          <w:tcPr>
            <w:tcW w:w="2268" w:type="dxa"/>
            <w:gridSpan w:val="2"/>
            <w:tcBorders>
              <w:top w:val="single" w:sz="6" w:space="0" w:color="000000"/>
              <w:left w:val="single" w:sz="6" w:space="0" w:color="000000"/>
              <w:bottom w:val="single" w:sz="6" w:space="0" w:color="000000"/>
              <w:right w:val="single" w:sz="6" w:space="0" w:color="000000"/>
            </w:tcBorders>
            <w:shd w:val="solid" w:color="F2DBDB" w:themeColor="accent2" w:themeTint="33" w:fill="auto"/>
            <w:vAlign w:val="center"/>
          </w:tcPr>
          <w:p w14:paraId="56918DEA" w14:textId="19DB85B3" w:rsidR="005039EC" w:rsidRPr="001124F5" w:rsidRDefault="005039EC" w:rsidP="009464EC">
            <w:pPr>
              <w:spacing w:after="0"/>
              <w:jc w:val="center"/>
              <w:rPr>
                <w:color w:val="FF0000"/>
                <w:sz w:val="18"/>
                <w:szCs w:val="18"/>
                <w:lang w:val="en-AU" w:eastAsia="en-US"/>
              </w:rPr>
            </w:pPr>
            <w:r>
              <w:rPr>
                <w:color w:val="FF0000"/>
                <w:sz w:val="18"/>
                <w:szCs w:val="18"/>
                <w:lang w:val="en-AU" w:eastAsia="en-US"/>
              </w:rPr>
              <w:t>Unable to Assess</w:t>
            </w:r>
          </w:p>
        </w:tc>
        <w:tc>
          <w:tcPr>
            <w:tcW w:w="1063" w:type="dxa"/>
            <w:tcBorders>
              <w:top w:val="single" w:sz="6" w:space="0" w:color="000000"/>
              <w:left w:val="single" w:sz="6" w:space="0" w:color="000000"/>
              <w:bottom w:val="single" w:sz="6" w:space="0" w:color="000000"/>
              <w:right w:val="single" w:sz="8" w:space="0" w:color="000000"/>
            </w:tcBorders>
            <w:vAlign w:val="center"/>
          </w:tcPr>
          <w:p w14:paraId="310A6A67" w14:textId="77777777" w:rsidR="005039EC" w:rsidRPr="00A54649" w:rsidRDefault="005039EC" w:rsidP="009464EC">
            <w:pPr>
              <w:spacing w:after="0"/>
              <w:jc w:val="center"/>
              <w:rPr>
                <w:sz w:val="18"/>
                <w:szCs w:val="18"/>
                <w:lang w:val="en-AU" w:eastAsia="en-US"/>
              </w:rPr>
            </w:pPr>
          </w:p>
        </w:tc>
        <w:tc>
          <w:tcPr>
            <w:tcW w:w="1063" w:type="dxa"/>
            <w:tcBorders>
              <w:top w:val="single" w:sz="6" w:space="0" w:color="000000"/>
              <w:left w:val="single" w:sz="6" w:space="0" w:color="000000"/>
              <w:bottom w:val="single" w:sz="6" w:space="0" w:color="000000"/>
              <w:right w:val="single" w:sz="8" w:space="0" w:color="000000"/>
            </w:tcBorders>
            <w:vAlign w:val="center"/>
          </w:tcPr>
          <w:p w14:paraId="28FE280B" w14:textId="389E6EB8" w:rsidR="005039EC" w:rsidRPr="00A54649" w:rsidRDefault="005039EC" w:rsidP="009464EC">
            <w:pPr>
              <w:spacing w:after="0"/>
              <w:jc w:val="center"/>
              <w:rPr>
                <w:sz w:val="18"/>
                <w:szCs w:val="18"/>
                <w:lang w:val="en-AU" w:eastAsia="en-US"/>
              </w:rPr>
            </w:pPr>
          </w:p>
        </w:tc>
      </w:tr>
      <w:tr w:rsidR="005039EC" w:rsidRPr="00A54649" w14:paraId="39C60B8F" w14:textId="77777777" w:rsidTr="008361B4">
        <w:tblPrEx>
          <w:tblBorders>
            <w:top w:val="nil"/>
          </w:tblBorders>
        </w:tblPrEx>
        <w:tc>
          <w:tcPr>
            <w:tcW w:w="1725" w:type="dxa"/>
            <w:tcBorders>
              <w:top w:val="single" w:sz="6" w:space="0" w:color="000000"/>
              <w:left w:val="single" w:sz="8" w:space="0" w:color="000000"/>
              <w:bottom w:val="single" w:sz="6" w:space="0" w:color="000000"/>
              <w:right w:val="single" w:sz="6" w:space="0" w:color="000000"/>
            </w:tcBorders>
            <w:vAlign w:val="center"/>
          </w:tcPr>
          <w:p w14:paraId="41241121" w14:textId="78DD7799" w:rsidR="005039EC" w:rsidRPr="00A54649" w:rsidRDefault="005039EC" w:rsidP="009464EC">
            <w:pPr>
              <w:spacing w:after="0"/>
              <w:rPr>
                <w:sz w:val="18"/>
                <w:szCs w:val="18"/>
                <w:lang w:val="en-AU" w:eastAsia="en-US"/>
              </w:rPr>
            </w:pPr>
            <w:r>
              <w:rPr>
                <w:sz w:val="18"/>
                <w:szCs w:val="18"/>
                <w:lang w:val="en-AU" w:eastAsia="en-US"/>
              </w:rPr>
              <w:t>Thermal Decay of Methyl Bromide</w:t>
            </w:r>
          </w:p>
        </w:tc>
        <w:tc>
          <w:tcPr>
            <w:tcW w:w="1134" w:type="dxa"/>
            <w:tcBorders>
              <w:top w:val="single" w:sz="6" w:space="0" w:color="000000"/>
              <w:left w:val="single" w:sz="6" w:space="0" w:color="000000"/>
              <w:bottom w:val="single" w:sz="6" w:space="0" w:color="000000"/>
              <w:right w:val="single" w:sz="6" w:space="0" w:color="000000"/>
            </w:tcBorders>
            <w:vAlign w:val="center"/>
          </w:tcPr>
          <w:p w14:paraId="1FB20232" w14:textId="77777777" w:rsidR="005039EC" w:rsidRPr="00D3008A" w:rsidRDefault="005039EC" w:rsidP="009464EC">
            <w:pPr>
              <w:spacing w:after="0"/>
              <w:jc w:val="center"/>
              <w:rPr>
                <w:color w:val="00B050"/>
                <w:sz w:val="18"/>
                <w:szCs w:val="18"/>
                <w:lang w:val="en-AU" w:eastAsia="en-US"/>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0B0AFE86" w14:textId="77777777" w:rsidR="005039EC" w:rsidRPr="00D3008A" w:rsidRDefault="005039EC" w:rsidP="009464EC">
            <w:pPr>
              <w:spacing w:after="0"/>
              <w:jc w:val="center"/>
              <w:rPr>
                <w:color w:val="00B050"/>
                <w:sz w:val="18"/>
                <w:szCs w:val="18"/>
                <w:lang w:val="en-AU" w:eastAsia="en-US"/>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3FD323A9" w14:textId="77777777" w:rsidR="005039EC" w:rsidRPr="00D3008A" w:rsidRDefault="005039EC" w:rsidP="009464EC">
            <w:pPr>
              <w:spacing w:after="0"/>
              <w:jc w:val="center"/>
              <w:rPr>
                <w:color w:val="00B050"/>
                <w:sz w:val="18"/>
                <w:szCs w:val="18"/>
                <w:lang w:val="en-AU" w:eastAsia="en-US"/>
              </w:rPr>
            </w:pPr>
          </w:p>
        </w:tc>
        <w:tc>
          <w:tcPr>
            <w:tcW w:w="1276" w:type="dxa"/>
            <w:tcBorders>
              <w:top w:val="single" w:sz="6" w:space="0" w:color="000000"/>
              <w:left w:val="single" w:sz="6" w:space="0" w:color="000000"/>
              <w:bottom w:val="single" w:sz="6" w:space="0" w:color="000000"/>
              <w:right w:val="single" w:sz="6" w:space="0" w:color="000000"/>
            </w:tcBorders>
            <w:vAlign w:val="center"/>
          </w:tcPr>
          <w:p w14:paraId="220BE117" w14:textId="77777777" w:rsidR="005039EC" w:rsidRPr="00D3008A" w:rsidRDefault="005039EC" w:rsidP="009464EC">
            <w:pPr>
              <w:spacing w:after="0"/>
              <w:jc w:val="center"/>
              <w:rPr>
                <w:color w:val="00B050"/>
                <w:sz w:val="18"/>
                <w:szCs w:val="18"/>
                <w:lang w:val="en-AU" w:eastAsia="en-US"/>
              </w:rPr>
            </w:pPr>
          </w:p>
        </w:tc>
        <w:tc>
          <w:tcPr>
            <w:tcW w:w="1276" w:type="dxa"/>
            <w:tcBorders>
              <w:top w:val="single" w:sz="6" w:space="0" w:color="000000"/>
              <w:left w:val="single" w:sz="6" w:space="0" w:color="000000"/>
              <w:bottom w:val="single" w:sz="6" w:space="0" w:color="000000"/>
              <w:right w:val="single" w:sz="6" w:space="0" w:color="000000"/>
            </w:tcBorders>
            <w:vAlign w:val="center"/>
          </w:tcPr>
          <w:p w14:paraId="3CC6E8E7" w14:textId="77777777" w:rsidR="005039EC" w:rsidRPr="00D3008A" w:rsidRDefault="005039EC" w:rsidP="009464EC">
            <w:pPr>
              <w:spacing w:after="0"/>
              <w:jc w:val="center"/>
              <w:rPr>
                <w:color w:val="00B050"/>
                <w:sz w:val="18"/>
                <w:szCs w:val="18"/>
                <w:lang w:val="en-AU" w:eastAsia="en-US"/>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35E1AC94" w14:textId="77777777" w:rsidR="005039EC" w:rsidRPr="00D3008A" w:rsidRDefault="005039EC" w:rsidP="009464EC">
            <w:pPr>
              <w:spacing w:after="0"/>
              <w:jc w:val="center"/>
              <w:rPr>
                <w:color w:val="00B050"/>
                <w:sz w:val="18"/>
                <w:szCs w:val="18"/>
                <w:lang w:val="en-AU" w:eastAsia="en-US"/>
              </w:rPr>
            </w:pPr>
          </w:p>
        </w:tc>
        <w:tc>
          <w:tcPr>
            <w:tcW w:w="1134"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vAlign w:val="center"/>
          </w:tcPr>
          <w:p w14:paraId="2DA66842" w14:textId="6ECB78E3" w:rsidR="005039EC" w:rsidRPr="00D3008A" w:rsidRDefault="005039EC" w:rsidP="009464EC">
            <w:pPr>
              <w:spacing w:after="0"/>
              <w:jc w:val="center"/>
              <w:rPr>
                <w:color w:val="00B050"/>
                <w:sz w:val="18"/>
                <w:szCs w:val="18"/>
                <w:lang w:val="en-AU" w:eastAsia="en-US"/>
              </w:rPr>
            </w:pPr>
            <w:r>
              <w:rPr>
                <w:color w:val="FF0000"/>
                <w:sz w:val="18"/>
                <w:szCs w:val="18"/>
                <w:lang w:val="en-AU" w:eastAsia="en-US"/>
              </w:rPr>
              <w:t>Unable to Assess</w:t>
            </w:r>
          </w:p>
        </w:tc>
        <w:tc>
          <w:tcPr>
            <w:tcW w:w="1134" w:type="dxa"/>
            <w:tcBorders>
              <w:top w:val="single" w:sz="6" w:space="0" w:color="000000"/>
              <w:left w:val="single" w:sz="6" w:space="0" w:color="000000"/>
              <w:bottom w:val="single" w:sz="6" w:space="0" w:color="000000"/>
              <w:right w:val="single" w:sz="6" w:space="0" w:color="000000"/>
            </w:tcBorders>
            <w:vAlign w:val="center"/>
          </w:tcPr>
          <w:p w14:paraId="63FA722F" w14:textId="77777777" w:rsidR="005039EC" w:rsidRPr="00A54649" w:rsidRDefault="005039EC" w:rsidP="009464EC">
            <w:pPr>
              <w:spacing w:after="0"/>
              <w:jc w:val="center"/>
              <w:rPr>
                <w:sz w:val="18"/>
                <w:szCs w:val="18"/>
                <w:lang w:val="en-AU" w:eastAsia="en-US"/>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19FB567C" w14:textId="77777777" w:rsidR="005039EC" w:rsidRPr="00A54649" w:rsidRDefault="005039EC" w:rsidP="009464EC">
            <w:pPr>
              <w:spacing w:after="0"/>
              <w:jc w:val="center"/>
              <w:rPr>
                <w:sz w:val="18"/>
                <w:szCs w:val="18"/>
                <w:lang w:val="en-AU" w:eastAsia="en-US"/>
              </w:rPr>
            </w:pPr>
          </w:p>
        </w:tc>
        <w:tc>
          <w:tcPr>
            <w:tcW w:w="106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77617CF" w14:textId="4F2DBB72" w:rsidR="005039EC" w:rsidRPr="001124F5" w:rsidRDefault="005039EC" w:rsidP="009464EC">
            <w:pPr>
              <w:spacing w:after="0"/>
              <w:jc w:val="center"/>
              <w:rPr>
                <w:color w:val="FF0000"/>
                <w:sz w:val="18"/>
                <w:szCs w:val="18"/>
                <w:lang w:val="en-AU" w:eastAsia="en-US"/>
              </w:rPr>
            </w:pPr>
          </w:p>
        </w:tc>
        <w:tc>
          <w:tcPr>
            <w:tcW w:w="106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A318B9E" w14:textId="3A8C67C7" w:rsidR="005039EC" w:rsidRPr="001124F5" w:rsidRDefault="005039EC" w:rsidP="009464EC">
            <w:pPr>
              <w:spacing w:after="0"/>
              <w:jc w:val="center"/>
              <w:rPr>
                <w:color w:val="FF0000"/>
                <w:sz w:val="18"/>
                <w:szCs w:val="18"/>
                <w:lang w:val="en-AU" w:eastAsia="en-US"/>
              </w:rPr>
            </w:pPr>
          </w:p>
        </w:tc>
      </w:tr>
      <w:tr w:rsidR="005039EC" w:rsidRPr="00A54649" w14:paraId="38FD172D" w14:textId="77777777" w:rsidTr="008361B4">
        <w:tblPrEx>
          <w:tblBorders>
            <w:top w:val="nil"/>
          </w:tblBorders>
        </w:tblPrEx>
        <w:tc>
          <w:tcPr>
            <w:tcW w:w="1725" w:type="dxa"/>
            <w:tcBorders>
              <w:top w:val="single" w:sz="6" w:space="0" w:color="000000"/>
              <w:left w:val="single" w:sz="8" w:space="0" w:color="000000"/>
              <w:bottom w:val="single" w:sz="6" w:space="0" w:color="000000"/>
              <w:right w:val="single" w:sz="6" w:space="0" w:color="000000"/>
            </w:tcBorders>
            <w:vAlign w:val="center"/>
          </w:tcPr>
          <w:p w14:paraId="7DB63AA5" w14:textId="7DAF9815" w:rsidR="005039EC" w:rsidRPr="00A54649" w:rsidRDefault="005039EC" w:rsidP="009464EC">
            <w:pPr>
              <w:spacing w:after="0"/>
              <w:rPr>
                <w:sz w:val="18"/>
                <w:szCs w:val="18"/>
                <w:lang w:val="en-AU" w:eastAsia="en-US"/>
              </w:rPr>
            </w:pPr>
            <w:r>
              <w:rPr>
                <w:sz w:val="18"/>
                <w:szCs w:val="18"/>
                <w:lang w:val="en-AU" w:eastAsia="en-US"/>
              </w:rPr>
              <w:t>Air Plasma Arc</w:t>
            </w:r>
          </w:p>
        </w:tc>
        <w:tc>
          <w:tcPr>
            <w:tcW w:w="7088" w:type="dxa"/>
            <w:gridSpan w:val="6"/>
            <w:tcBorders>
              <w:top w:val="single" w:sz="6" w:space="0" w:color="000000"/>
              <w:left w:val="single" w:sz="6" w:space="0" w:color="000000"/>
              <w:bottom w:val="single" w:sz="6" w:space="0" w:color="000000"/>
              <w:right w:val="single" w:sz="6" w:space="0" w:color="000000"/>
            </w:tcBorders>
            <w:shd w:val="solid" w:color="F2DBDB" w:themeColor="accent2" w:themeTint="33" w:fill="auto"/>
            <w:vAlign w:val="center"/>
          </w:tcPr>
          <w:p w14:paraId="67F758D2" w14:textId="5294F0BA" w:rsidR="005039EC" w:rsidRPr="00D3008A" w:rsidRDefault="005039EC" w:rsidP="009464EC">
            <w:pPr>
              <w:spacing w:after="0"/>
              <w:jc w:val="center"/>
              <w:rPr>
                <w:color w:val="00B050"/>
                <w:sz w:val="18"/>
                <w:szCs w:val="18"/>
                <w:lang w:val="en-AU" w:eastAsia="en-US"/>
              </w:rPr>
            </w:pPr>
            <w:r>
              <w:rPr>
                <w:color w:val="FF0000"/>
                <w:sz w:val="18"/>
                <w:szCs w:val="18"/>
                <w:lang w:val="en-AU" w:eastAsia="en-US"/>
              </w:rPr>
              <w:t>Unable to Assess</w:t>
            </w:r>
          </w:p>
        </w:tc>
        <w:tc>
          <w:tcPr>
            <w:tcW w:w="1134" w:type="dxa"/>
            <w:tcBorders>
              <w:top w:val="single" w:sz="6" w:space="0" w:color="000000"/>
              <w:left w:val="single" w:sz="6" w:space="0" w:color="000000"/>
              <w:bottom w:val="single" w:sz="6" w:space="0" w:color="000000"/>
              <w:right w:val="single" w:sz="6" w:space="0" w:color="000000"/>
            </w:tcBorders>
            <w:vAlign w:val="center"/>
          </w:tcPr>
          <w:p w14:paraId="17174E54" w14:textId="77777777" w:rsidR="005039EC" w:rsidRPr="00D3008A" w:rsidRDefault="005039EC" w:rsidP="009464EC">
            <w:pPr>
              <w:spacing w:after="0"/>
              <w:jc w:val="center"/>
              <w:rPr>
                <w:color w:val="00B050"/>
                <w:sz w:val="18"/>
                <w:szCs w:val="18"/>
                <w:lang w:val="en-AU" w:eastAsia="en-US"/>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74249E6A" w14:textId="77777777" w:rsidR="005039EC" w:rsidRPr="00A54649" w:rsidRDefault="005039EC" w:rsidP="009464EC">
            <w:pPr>
              <w:spacing w:after="0"/>
              <w:jc w:val="center"/>
              <w:rPr>
                <w:sz w:val="18"/>
                <w:szCs w:val="18"/>
                <w:lang w:val="en-AU" w:eastAsia="en-US"/>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3BDE47A9" w14:textId="77777777" w:rsidR="005039EC" w:rsidRPr="00A54649" w:rsidRDefault="005039EC" w:rsidP="009464EC">
            <w:pPr>
              <w:spacing w:after="0"/>
              <w:jc w:val="center"/>
              <w:rPr>
                <w:sz w:val="18"/>
                <w:szCs w:val="18"/>
                <w:lang w:val="en-AU" w:eastAsia="en-US"/>
              </w:rPr>
            </w:pPr>
          </w:p>
        </w:tc>
        <w:tc>
          <w:tcPr>
            <w:tcW w:w="1063" w:type="dxa"/>
            <w:tcBorders>
              <w:top w:val="single" w:sz="6" w:space="0" w:color="000000"/>
              <w:left w:val="single" w:sz="6" w:space="0" w:color="000000"/>
              <w:bottom w:val="single" w:sz="6" w:space="0" w:color="000000"/>
              <w:right w:val="single" w:sz="8" w:space="0" w:color="000000"/>
            </w:tcBorders>
            <w:vAlign w:val="center"/>
          </w:tcPr>
          <w:p w14:paraId="1658C915" w14:textId="77777777" w:rsidR="005039EC" w:rsidRPr="00A54649" w:rsidRDefault="005039EC" w:rsidP="009464EC">
            <w:pPr>
              <w:spacing w:after="0"/>
              <w:jc w:val="center"/>
              <w:rPr>
                <w:sz w:val="18"/>
                <w:szCs w:val="18"/>
                <w:lang w:val="en-AU" w:eastAsia="en-US"/>
              </w:rPr>
            </w:pPr>
          </w:p>
        </w:tc>
        <w:tc>
          <w:tcPr>
            <w:tcW w:w="1063" w:type="dxa"/>
            <w:tcBorders>
              <w:top w:val="single" w:sz="6" w:space="0" w:color="000000"/>
              <w:left w:val="single" w:sz="6" w:space="0" w:color="000000"/>
              <w:bottom w:val="single" w:sz="6" w:space="0" w:color="000000"/>
              <w:right w:val="single" w:sz="8" w:space="0" w:color="000000"/>
            </w:tcBorders>
            <w:vAlign w:val="center"/>
          </w:tcPr>
          <w:p w14:paraId="597001AC" w14:textId="6F9731A7" w:rsidR="005039EC" w:rsidRPr="00A54649" w:rsidRDefault="005039EC" w:rsidP="009464EC">
            <w:pPr>
              <w:spacing w:after="0"/>
              <w:jc w:val="center"/>
              <w:rPr>
                <w:sz w:val="18"/>
                <w:szCs w:val="18"/>
                <w:lang w:val="en-AU" w:eastAsia="en-US"/>
              </w:rPr>
            </w:pPr>
          </w:p>
        </w:tc>
      </w:tr>
      <w:tr w:rsidR="005039EC" w:rsidRPr="00A54649" w14:paraId="5C7B58C2" w14:textId="77777777" w:rsidTr="008361B4">
        <w:tblPrEx>
          <w:tblBorders>
            <w:top w:val="nil"/>
          </w:tblBorders>
        </w:tblPrEx>
        <w:tc>
          <w:tcPr>
            <w:tcW w:w="1725" w:type="dxa"/>
            <w:tcBorders>
              <w:top w:val="single" w:sz="6" w:space="0" w:color="000000"/>
              <w:left w:val="single" w:sz="8" w:space="0" w:color="000000"/>
              <w:bottom w:val="single" w:sz="6" w:space="0" w:color="000000"/>
              <w:right w:val="single" w:sz="6" w:space="0" w:color="000000"/>
            </w:tcBorders>
            <w:vAlign w:val="center"/>
          </w:tcPr>
          <w:p w14:paraId="606EDE35" w14:textId="63DFBDCA" w:rsidR="005039EC" w:rsidRPr="00A54649" w:rsidRDefault="005039EC" w:rsidP="009464EC">
            <w:pPr>
              <w:spacing w:after="0"/>
              <w:rPr>
                <w:sz w:val="18"/>
                <w:szCs w:val="18"/>
                <w:lang w:val="en-AU" w:eastAsia="en-US"/>
              </w:rPr>
            </w:pPr>
            <w:r>
              <w:rPr>
                <w:sz w:val="18"/>
                <w:szCs w:val="18"/>
                <w:lang w:val="en-AU" w:eastAsia="en-US"/>
              </w:rPr>
              <w:t xml:space="preserve">Alternating Current Plasma </w:t>
            </w:r>
          </w:p>
        </w:tc>
        <w:tc>
          <w:tcPr>
            <w:tcW w:w="7088" w:type="dxa"/>
            <w:gridSpan w:val="6"/>
            <w:tcBorders>
              <w:top w:val="single" w:sz="6" w:space="0" w:color="000000"/>
              <w:left w:val="single" w:sz="6" w:space="0" w:color="000000"/>
              <w:bottom w:val="single" w:sz="6" w:space="0" w:color="000000"/>
              <w:right w:val="single" w:sz="6" w:space="0" w:color="000000"/>
            </w:tcBorders>
            <w:shd w:val="solid" w:color="F2DBDB" w:themeColor="accent2" w:themeTint="33" w:fill="auto"/>
            <w:vAlign w:val="center"/>
          </w:tcPr>
          <w:p w14:paraId="35807C8F" w14:textId="6FA2A7E3" w:rsidR="005039EC" w:rsidRPr="00D3008A" w:rsidRDefault="005039EC" w:rsidP="009464EC">
            <w:pPr>
              <w:spacing w:after="0"/>
              <w:jc w:val="center"/>
              <w:rPr>
                <w:color w:val="00B050"/>
                <w:sz w:val="18"/>
                <w:szCs w:val="18"/>
                <w:lang w:val="en-AU" w:eastAsia="en-US"/>
              </w:rPr>
            </w:pPr>
            <w:r>
              <w:rPr>
                <w:color w:val="FF0000"/>
                <w:sz w:val="18"/>
                <w:szCs w:val="18"/>
                <w:lang w:val="en-AU" w:eastAsia="en-US"/>
              </w:rPr>
              <w:t>Unable to Assess</w:t>
            </w:r>
          </w:p>
        </w:tc>
        <w:tc>
          <w:tcPr>
            <w:tcW w:w="1134" w:type="dxa"/>
            <w:tcBorders>
              <w:top w:val="single" w:sz="6" w:space="0" w:color="000000"/>
              <w:left w:val="single" w:sz="6" w:space="0" w:color="000000"/>
              <w:bottom w:val="single" w:sz="6" w:space="0" w:color="000000"/>
              <w:right w:val="single" w:sz="6" w:space="0" w:color="000000"/>
            </w:tcBorders>
            <w:vAlign w:val="center"/>
          </w:tcPr>
          <w:p w14:paraId="1D3737C4" w14:textId="77777777" w:rsidR="005039EC" w:rsidRPr="00D3008A" w:rsidRDefault="005039EC" w:rsidP="009464EC">
            <w:pPr>
              <w:spacing w:after="0"/>
              <w:jc w:val="center"/>
              <w:rPr>
                <w:color w:val="00B050"/>
                <w:sz w:val="18"/>
                <w:szCs w:val="18"/>
                <w:lang w:val="en-AU" w:eastAsia="en-US"/>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6A632E6C" w14:textId="77777777" w:rsidR="005039EC" w:rsidRPr="00A54649" w:rsidRDefault="005039EC" w:rsidP="009464EC">
            <w:pPr>
              <w:spacing w:after="0"/>
              <w:jc w:val="center"/>
              <w:rPr>
                <w:sz w:val="18"/>
                <w:szCs w:val="18"/>
                <w:lang w:val="en-AU" w:eastAsia="en-US"/>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79F8C55D" w14:textId="77777777" w:rsidR="005039EC" w:rsidRPr="00A54649" w:rsidRDefault="005039EC" w:rsidP="009464EC">
            <w:pPr>
              <w:spacing w:after="0"/>
              <w:jc w:val="center"/>
              <w:rPr>
                <w:sz w:val="18"/>
                <w:szCs w:val="18"/>
                <w:lang w:val="en-AU" w:eastAsia="en-US"/>
              </w:rPr>
            </w:pPr>
          </w:p>
        </w:tc>
        <w:tc>
          <w:tcPr>
            <w:tcW w:w="1063" w:type="dxa"/>
            <w:tcBorders>
              <w:top w:val="single" w:sz="6" w:space="0" w:color="000000"/>
              <w:left w:val="single" w:sz="6" w:space="0" w:color="000000"/>
              <w:bottom w:val="single" w:sz="6" w:space="0" w:color="000000"/>
              <w:right w:val="single" w:sz="8" w:space="0" w:color="000000"/>
            </w:tcBorders>
            <w:vAlign w:val="center"/>
          </w:tcPr>
          <w:p w14:paraId="571BA605" w14:textId="77777777" w:rsidR="005039EC" w:rsidRPr="00A54649" w:rsidRDefault="005039EC" w:rsidP="009464EC">
            <w:pPr>
              <w:spacing w:after="0"/>
              <w:jc w:val="center"/>
              <w:rPr>
                <w:sz w:val="18"/>
                <w:szCs w:val="18"/>
                <w:lang w:val="en-AU" w:eastAsia="en-US"/>
              </w:rPr>
            </w:pPr>
          </w:p>
        </w:tc>
        <w:tc>
          <w:tcPr>
            <w:tcW w:w="1063" w:type="dxa"/>
            <w:tcBorders>
              <w:top w:val="single" w:sz="6" w:space="0" w:color="000000"/>
              <w:left w:val="single" w:sz="6" w:space="0" w:color="000000"/>
              <w:bottom w:val="single" w:sz="6" w:space="0" w:color="000000"/>
              <w:right w:val="single" w:sz="8" w:space="0" w:color="000000"/>
            </w:tcBorders>
            <w:vAlign w:val="center"/>
          </w:tcPr>
          <w:p w14:paraId="57B882B6" w14:textId="07FB84A0" w:rsidR="005039EC" w:rsidRPr="00A54649" w:rsidRDefault="005039EC" w:rsidP="009464EC">
            <w:pPr>
              <w:spacing w:after="0"/>
              <w:jc w:val="center"/>
              <w:rPr>
                <w:sz w:val="18"/>
                <w:szCs w:val="18"/>
                <w:lang w:val="en-AU" w:eastAsia="en-US"/>
              </w:rPr>
            </w:pPr>
          </w:p>
        </w:tc>
      </w:tr>
      <w:tr w:rsidR="005039EC" w:rsidRPr="00A54649" w14:paraId="2E4C95EA" w14:textId="77777777" w:rsidTr="008361B4">
        <w:tblPrEx>
          <w:tblBorders>
            <w:top w:val="nil"/>
          </w:tblBorders>
        </w:tblPrEx>
        <w:tc>
          <w:tcPr>
            <w:tcW w:w="1725" w:type="dxa"/>
            <w:tcBorders>
              <w:top w:val="single" w:sz="6" w:space="0" w:color="000000"/>
              <w:left w:val="single" w:sz="8" w:space="0" w:color="000000"/>
              <w:bottom w:val="single" w:sz="6" w:space="0" w:color="000000"/>
              <w:right w:val="single" w:sz="6" w:space="0" w:color="000000"/>
            </w:tcBorders>
            <w:vAlign w:val="center"/>
          </w:tcPr>
          <w:p w14:paraId="0308DFC0" w14:textId="0ED23F64" w:rsidR="005039EC" w:rsidRPr="00EB5F4F" w:rsidRDefault="005039EC" w:rsidP="009464EC">
            <w:pPr>
              <w:spacing w:after="0"/>
              <w:rPr>
                <w:sz w:val="18"/>
                <w:szCs w:val="18"/>
                <w:lang w:val="en-AU" w:eastAsia="en-US"/>
              </w:rPr>
            </w:pPr>
            <w:r>
              <w:rPr>
                <w:sz w:val="18"/>
                <w:szCs w:val="18"/>
                <w:lang w:val="en-AU" w:eastAsia="en-US"/>
              </w:rPr>
              <w:t>CO</w:t>
            </w:r>
            <w:r w:rsidRPr="00EB5F4F">
              <w:rPr>
                <w:sz w:val="18"/>
                <w:szCs w:val="18"/>
                <w:vertAlign w:val="subscript"/>
                <w:lang w:val="en-AU" w:eastAsia="en-US"/>
              </w:rPr>
              <w:t>2</w:t>
            </w:r>
            <w:r>
              <w:rPr>
                <w:sz w:val="18"/>
                <w:szCs w:val="18"/>
                <w:vertAlign w:val="subscript"/>
                <w:lang w:val="en-AU" w:eastAsia="en-US"/>
              </w:rPr>
              <w:t xml:space="preserve"> </w:t>
            </w:r>
            <w:r>
              <w:rPr>
                <w:sz w:val="18"/>
                <w:szCs w:val="18"/>
                <w:lang w:val="en-AU" w:eastAsia="en-US"/>
              </w:rPr>
              <w:t>Plasma</w:t>
            </w:r>
          </w:p>
        </w:tc>
        <w:tc>
          <w:tcPr>
            <w:tcW w:w="7088" w:type="dxa"/>
            <w:gridSpan w:val="6"/>
            <w:tcBorders>
              <w:top w:val="single" w:sz="6" w:space="0" w:color="000000"/>
              <w:left w:val="single" w:sz="6" w:space="0" w:color="000000"/>
              <w:bottom w:val="single" w:sz="6" w:space="0" w:color="000000"/>
              <w:right w:val="single" w:sz="6" w:space="0" w:color="000000"/>
            </w:tcBorders>
            <w:shd w:val="solid" w:color="F2DBDB" w:themeColor="accent2" w:themeTint="33" w:fill="auto"/>
            <w:vAlign w:val="center"/>
          </w:tcPr>
          <w:p w14:paraId="5EA36B07" w14:textId="56126D26" w:rsidR="005039EC" w:rsidRPr="007D7370" w:rsidRDefault="005039EC" w:rsidP="009464EC">
            <w:pPr>
              <w:spacing w:after="0"/>
              <w:jc w:val="center"/>
              <w:rPr>
                <w:color w:val="FF0000"/>
                <w:sz w:val="18"/>
                <w:szCs w:val="18"/>
                <w:lang w:val="en-AU" w:eastAsia="en-US"/>
              </w:rPr>
            </w:pPr>
            <w:r>
              <w:rPr>
                <w:color w:val="FF0000"/>
                <w:sz w:val="18"/>
                <w:szCs w:val="18"/>
                <w:lang w:val="en-AU" w:eastAsia="en-US"/>
              </w:rPr>
              <w:t>Unable to Assess</w:t>
            </w:r>
          </w:p>
        </w:tc>
        <w:tc>
          <w:tcPr>
            <w:tcW w:w="1134" w:type="dxa"/>
            <w:tcBorders>
              <w:top w:val="single" w:sz="6" w:space="0" w:color="000000"/>
              <w:left w:val="single" w:sz="6" w:space="0" w:color="000000"/>
              <w:bottom w:val="single" w:sz="6" w:space="0" w:color="000000"/>
              <w:right w:val="single" w:sz="6" w:space="0" w:color="000000"/>
            </w:tcBorders>
            <w:vAlign w:val="center"/>
          </w:tcPr>
          <w:p w14:paraId="3E4DE06E" w14:textId="77777777" w:rsidR="005039EC" w:rsidRPr="00D3008A" w:rsidRDefault="005039EC" w:rsidP="009464EC">
            <w:pPr>
              <w:spacing w:after="0"/>
              <w:jc w:val="center"/>
              <w:rPr>
                <w:color w:val="00B050"/>
                <w:sz w:val="18"/>
                <w:szCs w:val="18"/>
                <w:lang w:val="en-AU" w:eastAsia="en-US"/>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4CA7C396" w14:textId="77777777" w:rsidR="005039EC" w:rsidRPr="00A54649" w:rsidRDefault="005039EC" w:rsidP="009464EC">
            <w:pPr>
              <w:spacing w:after="0"/>
              <w:jc w:val="center"/>
              <w:rPr>
                <w:sz w:val="18"/>
                <w:szCs w:val="18"/>
                <w:lang w:val="en-AU" w:eastAsia="en-US"/>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5B073359" w14:textId="77777777" w:rsidR="005039EC" w:rsidRPr="00A54649" w:rsidRDefault="005039EC" w:rsidP="009464EC">
            <w:pPr>
              <w:spacing w:after="0"/>
              <w:jc w:val="center"/>
              <w:rPr>
                <w:sz w:val="18"/>
                <w:szCs w:val="18"/>
                <w:lang w:val="en-AU" w:eastAsia="en-US"/>
              </w:rPr>
            </w:pPr>
          </w:p>
        </w:tc>
        <w:tc>
          <w:tcPr>
            <w:tcW w:w="1063" w:type="dxa"/>
            <w:tcBorders>
              <w:top w:val="single" w:sz="6" w:space="0" w:color="000000"/>
              <w:left w:val="single" w:sz="6" w:space="0" w:color="000000"/>
              <w:bottom w:val="single" w:sz="6" w:space="0" w:color="000000"/>
              <w:right w:val="single" w:sz="8" w:space="0" w:color="000000"/>
            </w:tcBorders>
            <w:vAlign w:val="center"/>
          </w:tcPr>
          <w:p w14:paraId="6D81866E" w14:textId="77777777" w:rsidR="005039EC" w:rsidRPr="00A54649" w:rsidRDefault="005039EC" w:rsidP="009464EC">
            <w:pPr>
              <w:spacing w:after="0"/>
              <w:jc w:val="center"/>
              <w:rPr>
                <w:sz w:val="18"/>
                <w:szCs w:val="18"/>
                <w:lang w:val="en-AU" w:eastAsia="en-US"/>
              </w:rPr>
            </w:pPr>
          </w:p>
        </w:tc>
        <w:tc>
          <w:tcPr>
            <w:tcW w:w="1063" w:type="dxa"/>
            <w:tcBorders>
              <w:top w:val="single" w:sz="6" w:space="0" w:color="000000"/>
              <w:left w:val="single" w:sz="6" w:space="0" w:color="000000"/>
              <w:bottom w:val="single" w:sz="6" w:space="0" w:color="000000"/>
              <w:right w:val="single" w:sz="8" w:space="0" w:color="000000"/>
            </w:tcBorders>
            <w:vAlign w:val="center"/>
          </w:tcPr>
          <w:p w14:paraId="3E49BFB7" w14:textId="66EB5750" w:rsidR="005039EC" w:rsidRPr="00A54649" w:rsidRDefault="005039EC" w:rsidP="009464EC">
            <w:pPr>
              <w:spacing w:after="0"/>
              <w:jc w:val="center"/>
              <w:rPr>
                <w:sz w:val="18"/>
                <w:szCs w:val="18"/>
                <w:lang w:val="en-AU" w:eastAsia="en-US"/>
              </w:rPr>
            </w:pPr>
          </w:p>
        </w:tc>
      </w:tr>
      <w:tr w:rsidR="005039EC" w:rsidRPr="00A54649" w14:paraId="0BE326D7" w14:textId="77777777" w:rsidTr="008361B4">
        <w:tblPrEx>
          <w:tblBorders>
            <w:top w:val="nil"/>
          </w:tblBorders>
        </w:tblPrEx>
        <w:tc>
          <w:tcPr>
            <w:tcW w:w="1725" w:type="dxa"/>
            <w:tcBorders>
              <w:top w:val="single" w:sz="6" w:space="0" w:color="000000"/>
              <w:left w:val="single" w:sz="8" w:space="0" w:color="000000"/>
              <w:bottom w:val="single" w:sz="6" w:space="0" w:color="000000"/>
              <w:right w:val="single" w:sz="6" w:space="0" w:color="000000"/>
            </w:tcBorders>
            <w:vAlign w:val="center"/>
          </w:tcPr>
          <w:p w14:paraId="4B2001F5" w14:textId="31FF1534" w:rsidR="005039EC" w:rsidRPr="00A54649" w:rsidRDefault="005039EC" w:rsidP="009464EC">
            <w:pPr>
              <w:spacing w:after="0"/>
              <w:rPr>
                <w:sz w:val="18"/>
                <w:szCs w:val="18"/>
                <w:lang w:val="en-AU" w:eastAsia="en-US"/>
              </w:rPr>
            </w:pPr>
            <w:r>
              <w:rPr>
                <w:sz w:val="18"/>
                <w:szCs w:val="18"/>
                <w:lang w:val="en-AU" w:eastAsia="en-US"/>
              </w:rPr>
              <w:t>Steam Plasma</w:t>
            </w:r>
          </w:p>
        </w:tc>
        <w:tc>
          <w:tcPr>
            <w:tcW w:w="7088" w:type="dxa"/>
            <w:gridSpan w:val="6"/>
            <w:tcBorders>
              <w:top w:val="single" w:sz="6" w:space="0" w:color="000000"/>
              <w:left w:val="single" w:sz="6" w:space="0" w:color="000000"/>
              <w:bottom w:val="single" w:sz="6" w:space="0" w:color="000000"/>
              <w:right w:val="single" w:sz="6" w:space="0" w:color="000000"/>
            </w:tcBorders>
            <w:shd w:val="solid" w:color="F2DBDB" w:themeColor="accent2" w:themeTint="33" w:fill="auto"/>
            <w:vAlign w:val="center"/>
          </w:tcPr>
          <w:p w14:paraId="289E6C0D" w14:textId="1C51B92C" w:rsidR="005039EC" w:rsidRPr="00D3008A" w:rsidRDefault="005039EC" w:rsidP="009464EC">
            <w:pPr>
              <w:spacing w:after="0"/>
              <w:jc w:val="center"/>
              <w:rPr>
                <w:color w:val="00B050"/>
                <w:sz w:val="18"/>
                <w:szCs w:val="18"/>
                <w:lang w:val="en-AU" w:eastAsia="en-US"/>
              </w:rPr>
            </w:pPr>
            <w:r>
              <w:rPr>
                <w:color w:val="FF0000"/>
                <w:sz w:val="18"/>
                <w:szCs w:val="18"/>
                <w:lang w:val="en-AU" w:eastAsia="en-US"/>
              </w:rPr>
              <w:t>Unable to Assess</w:t>
            </w:r>
          </w:p>
        </w:tc>
        <w:tc>
          <w:tcPr>
            <w:tcW w:w="1134" w:type="dxa"/>
            <w:tcBorders>
              <w:top w:val="single" w:sz="6" w:space="0" w:color="000000"/>
              <w:left w:val="single" w:sz="6" w:space="0" w:color="000000"/>
              <w:bottom w:val="single" w:sz="6" w:space="0" w:color="000000"/>
              <w:right w:val="single" w:sz="6" w:space="0" w:color="000000"/>
            </w:tcBorders>
            <w:vAlign w:val="center"/>
          </w:tcPr>
          <w:p w14:paraId="60A3F35B" w14:textId="77777777" w:rsidR="005039EC" w:rsidRPr="00D3008A" w:rsidRDefault="005039EC" w:rsidP="009464EC">
            <w:pPr>
              <w:spacing w:after="0"/>
              <w:jc w:val="center"/>
              <w:rPr>
                <w:color w:val="00B050"/>
                <w:sz w:val="18"/>
                <w:szCs w:val="18"/>
                <w:lang w:val="en-AU" w:eastAsia="en-US"/>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0CBBD296" w14:textId="77777777" w:rsidR="005039EC" w:rsidRPr="00A54649" w:rsidRDefault="005039EC" w:rsidP="009464EC">
            <w:pPr>
              <w:spacing w:after="0"/>
              <w:jc w:val="center"/>
              <w:rPr>
                <w:sz w:val="18"/>
                <w:szCs w:val="18"/>
                <w:lang w:val="en-AU" w:eastAsia="en-US"/>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1C8A86E2" w14:textId="77777777" w:rsidR="005039EC" w:rsidRPr="00A54649" w:rsidRDefault="005039EC" w:rsidP="009464EC">
            <w:pPr>
              <w:spacing w:after="0"/>
              <w:jc w:val="center"/>
              <w:rPr>
                <w:sz w:val="18"/>
                <w:szCs w:val="18"/>
                <w:lang w:val="en-AU" w:eastAsia="en-US"/>
              </w:rPr>
            </w:pPr>
          </w:p>
        </w:tc>
        <w:tc>
          <w:tcPr>
            <w:tcW w:w="1063" w:type="dxa"/>
            <w:tcBorders>
              <w:top w:val="single" w:sz="6" w:space="0" w:color="000000"/>
              <w:left w:val="single" w:sz="6" w:space="0" w:color="000000"/>
              <w:bottom w:val="single" w:sz="6" w:space="0" w:color="000000"/>
              <w:right w:val="single" w:sz="8" w:space="0" w:color="000000"/>
            </w:tcBorders>
            <w:vAlign w:val="center"/>
          </w:tcPr>
          <w:p w14:paraId="0870A0AF" w14:textId="77777777" w:rsidR="005039EC" w:rsidRPr="00A54649" w:rsidRDefault="005039EC" w:rsidP="009464EC">
            <w:pPr>
              <w:spacing w:after="0"/>
              <w:jc w:val="center"/>
              <w:rPr>
                <w:sz w:val="18"/>
                <w:szCs w:val="18"/>
                <w:lang w:val="en-AU" w:eastAsia="en-US"/>
              </w:rPr>
            </w:pPr>
          </w:p>
        </w:tc>
        <w:tc>
          <w:tcPr>
            <w:tcW w:w="1063" w:type="dxa"/>
            <w:tcBorders>
              <w:top w:val="single" w:sz="6" w:space="0" w:color="000000"/>
              <w:left w:val="single" w:sz="6" w:space="0" w:color="000000"/>
              <w:bottom w:val="single" w:sz="6" w:space="0" w:color="000000"/>
              <w:right w:val="single" w:sz="8" w:space="0" w:color="000000"/>
            </w:tcBorders>
            <w:vAlign w:val="center"/>
          </w:tcPr>
          <w:p w14:paraId="09653D09" w14:textId="6A0622C4" w:rsidR="005039EC" w:rsidRPr="00A54649" w:rsidRDefault="005039EC" w:rsidP="009464EC">
            <w:pPr>
              <w:spacing w:after="0"/>
              <w:jc w:val="center"/>
              <w:rPr>
                <w:sz w:val="18"/>
                <w:szCs w:val="18"/>
                <w:lang w:val="en-AU" w:eastAsia="en-US"/>
              </w:rPr>
            </w:pPr>
          </w:p>
        </w:tc>
      </w:tr>
      <w:tr w:rsidR="005039EC" w:rsidRPr="00A54649" w14:paraId="6877E236" w14:textId="77777777" w:rsidTr="005039EC">
        <w:tblPrEx>
          <w:tblBorders>
            <w:top w:val="nil"/>
          </w:tblBorders>
        </w:tblPrEx>
        <w:tc>
          <w:tcPr>
            <w:tcW w:w="1725" w:type="dxa"/>
            <w:tcBorders>
              <w:top w:val="single" w:sz="6" w:space="0" w:color="000000"/>
              <w:left w:val="single" w:sz="8" w:space="0" w:color="000000"/>
              <w:bottom w:val="single" w:sz="6" w:space="0" w:color="000000"/>
              <w:right w:val="single" w:sz="6" w:space="0" w:color="000000"/>
            </w:tcBorders>
            <w:vAlign w:val="center"/>
          </w:tcPr>
          <w:p w14:paraId="2455ABCC" w14:textId="15BAE5BA" w:rsidR="005039EC" w:rsidRPr="00A54649" w:rsidRDefault="005039EC" w:rsidP="009464EC">
            <w:pPr>
              <w:spacing w:after="0"/>
              <w:rPr>
                <w:sz w:val="18"/>
                <w:szCs w:val="18"/>
                <w:lang w:val="en-AU" w:eastAsia="en-US"/>
              </w:rPr>
            </w:pPr>
            <w:r>
              <w:rPr>
                <w:sz w:val="18"/>
                <w:szCs w:val="18"/>
                <w:lang w:val="en-AU" w:eastAsia="en-US"/>
              </w:rPr>
              <w:t>Catalytic Destruction</w:t>
            </w:r>
          </w:p>
        </w:tc>
        <w:tc>
          <w:tcPr>
            <w:tcW w:w="1134" w:type="dxa"/>
            <w:tcBorders>
              <w:top w:val="single" w:sz="6" w:space="0" w:color="000000"/>
              <w:left w:val="single" w:sz="6" w:space="0" w:color="000000"/>
              <w:bottom w:val="single" w:sz="6" w:space="0" w:color="000000"/>
              <w:right w:val="single" w:sz="6" w:space="0" w:color="000000"/>
            </w:tcBorders>
            <w:vAlign w:val="center"/>
          </w:tcPr>
          <w:p w14:paraId="05AC729A" w14:textId="77777777" w:rsidR="005039EC" w:rsidRPr="00D3008A" w:rsidRDefault="005039EC" w:rsidP="009464EC">
            <w:pPr>
              <w:spacing w:after="0"/>
              <w:jc w:val="center"/>
              <w:rPr>
                <w:color w:val="00B050"/>
                <w:sz w:val="18"/>
                <w:szCs w:val="18"/>
                <w:lang w:val="en-AU" w:eastAsia="en-US"/>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43B527FB" w14:textId="77777777" w:rsidR="005039EC" w:rsidRPr="00D3008A" w:rsidRDefault="005039EC" w:rsidP="009464EC">
            <w:pPr>
              <w:spacing w:after="0"/>
              <w:jc w:val="center"/>
              <w:rPr>
                <w:color w:val="00B050"/>
                <w:sz w:val="18"/>
                <w:szCs w:val="18"/>
                <w:lang w:val="en-AU" w:eastAsia="en-US"/>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17CB9E34" w14:textId="77777777" w:rsidR="005039EC" w:rsidRPr="00D3008A" w:rsidRDefault="005039EC" w:rsidP="009464EC">
            <w:pPr>
              <w:spacing w:after="0"/>
              <w:jc w:val="center"/>
              <w:rPr>
                <w:color w:val="00B050"/>
                <w:sz w:val="18"/>
                <w:szCs w:val="18"/>
                <w:lang w:val="en-AU" w:eastAsia="en-US"/>
              </w:rPr>
            </w:pPr>
          </w:p>
        </w:tc>
        <w:tc>
          <w:tcPr>
            <w:tcW w:w="1276" w:type="dxa"/>
            <w:tcBorders>
              <w:top w:val="single" w:sz="6" w:space="0" w:color="000000"/>
              <w:left w:val="single" w:sz="6" w:space="0" w:color="000000"/>
              <w:bottom w:val="single" w:sz="6" w:space="0" w:color="000000"/>
              <w:right w:val="single" w:sz="6" w:space="0" w:color="000000"/>
            </w:tcBorders>
            <w:vAlign w:val="center"/>
          </w:tcPr>
          <w:p w14:paraId="7980F872" w14:textId="77777777" w:rsidR="005039EC" w:rsidRPr="00D3008A" w:rsidRDefault="005039EC" w:rsidP="009464EC">
            <w:pPr>
              <w:spacing w:after="0"/>
              <w:jc w:val="center"/>
              <w:rPr>
                <w:color w:val="00B050"/>
                <w:sz w:val="18"/>
                <w:szCs w:val="18"/>
                <w:lang w:val="en-AU" w:eastAsia="en-US"/>
              </w:rPr>
            </w:pPr>
          </w:p>
        </w:tc>
        <w:tc>
          <w:tcPr>
            <w:tcW w:w="1276" w:type="dxa"/>
            <w:tcBorders>
              <w:top w:val="single" w:sz="6" w:space="0" w:color="000000"/>
              <w:left w:val="single" w:sz="6" w:space="0" w:color="000000"/>
              <w:bottom w:val="single" w:sz="6" w:space="0" w:color="000000"/>
              <w:right w:val="single" w:sz="6" w:space="0" w:color="000000"/>
            </w:tcBorders>
            <w:vAlign w:val="center"/>
          </w:tcPr>
          <w:p w14:paraId="63C81929" w14:textId="77777777" w:rsidR="005039EC" w:rsidRPr="00D3008A" w:rsidRDefault="005039EC" w:rsidP="009464EC">
            <w:pPr>
              <w:spacing w:after="0"/>
              <w:jc w:val="center"/>
              <w:rPr>
                <w:color w:val="00B050"/>
                <w:sz w:val="18"/>
                <w:szCs w:val="18"/>
                <w:lang w:val="en-AU" w:eastAsia="en-US"/>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0E7A1B88" w14:textId="77777777" w:rsidR="005039EC" w:rsidRPr="00D3008A" w:rsidRDefault="005039EC" w:rsidP="009464EC">
            <w:pPr>
              <w:spacing w:after="0"/>
              <w:jc w:val="center"/>
              <w:rPr>
                <w:color w:val="00B050"/>
                <w:sz w:val="18"/>
                <w:szCs w:val="18"/>
                <w:lang w:val="en-AU" w:eastAsia="en-US"/>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7D7ED784" w14:textId="77777777" w:rsidR="005039EC" w:rsidRPr="00D3008A" w:rsidRDefault="005039EC" w:rsidP="009464EC">
            <w:pPr>
              <w:spacing w:after="0"/>
              <w:jc w:val="center"/>
              <w:rPr>
                <w:color w:val="00B050"/>
                <w:sz w:val="18"/>
                <w:szCs w:val="18"/>
                <w:lang w:val="en-AU" w:eastAsia="en-US"/>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061EDC1E" w14:textId="77777777" w:rsidR="005039EC" w:rsidRPr="00A54649" w:rsidRDefault="005039EC" w:rsidP="009464EC">
            <w:pPr>
              <w:spacing w:after="0"/>
              <w:jc w:val="center"/>
              <w:rPr>
                <w:sz w:val="18"/>
                <w:szCs w:val="18"/>
                <w:lang w:val="en-AU" w:eastAsia="en-US"/>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68EF136F" w14:textId="77777777" w:rsidR="005039EC" w:rsidRPr="00A54649" w:rsidRDefault="005039EC" w:rsidP="009464EC">
            <w:pPr>
              <w:spacing w:after="0"/>
              <w:jc w:val="center"/>
              <w:rPr>
                <w:sz w:val="18"/>
                <w:szCs w:val="18"/>
                <w:lang w:val="en-AU" w:eastAsia="en-US"/>
              </w:rPr>
            </w:pPr>
          </w:p>
        </w:tc>
        <w:tc>
          <w:tcPr>
            <w:tcW w:w="106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F70DAC8" w14:textId="6B24275A" w:rsidR="005039EC" w:rsidRPr="00A54649" w:rsidRDefault="005039EC" w:rsidP="009464EC">
            <w:pPr>
              <w:spacing w:after="0"/>
              <w:jc w:val="center"/>
              <w:rPr>
                <w:sz w:val="18"/>
                <w:szCs w:val="18"/>
                <w:lang w:val="en-AU" w:eastAsia="en-US"/>
              </w:rPr>
            </w:pPr>
          </w:p>
        </w:tc>
        <w:tc>
          <w:tcPr>
            <w:tcW w:w="1063" w:type="dxa"/>
            <w:tcBorders>
              <w:top w:val="single" w:sz="6" w:space="0" w:color="000000"/>
              <w:left w:val="single" w:sz="6" w:space="0" w:color="000000"/>
              <w:bottom w:val="single" w:sz="6" w:space="0" w:color="000000"/>
              <w:right w:val="single" w:sz="6" w:space="0" w:color="000000"/>
            </w:tcBorders>
            <w:shd w:val="solid" w:color="F2DBDB" w:themeColor="accent2" w:themeTint="33" w:fill="auto"/>
            <w:vAlign w:val="center"/>
          </w:tcPr>
          <w:p w14:paraId="36C96D6E" w14:textId="78AC6D6D" w:rsidR="005039EC" w:rsidRPr="00A54649" w:rsidRDefault="005039EC" w:rsidP="009464EC">
            <w:pPr>
              <w:spacing w:after="0"/>
              <w:jc w:val="center"/>
              <w:rPr>
                <w:sz w:val="18"/>
                <w:szCs w:val="18"/>
                <w:lang w:val="en-AU" w:eastAsia="en-US"/>
              </w:rPr>
            </w:pPr>
            <w:r>
              <w:rPr>
                <w:color w:val="FF0000"/>
                <w:sz w:val="18"/>
                <w:szCs w:val="18"/>
                <w:lang w:val="en-AU" w:eastAsia="en-US"/>
              </w:rPr>
              <w:t>Unable to Assess</w:t>
            </w:r>
          </w:p>
        </w:tc>
      </w:tr>
      <w:tr w:rsidR="005039EC" w:rsidRPr="00A54649" w14:paraId="10AE5057" w14:textId="77777777" w:rsidTr="008361B4">
        <w:tblPrEx>
          <w:tblBorders>
            <w:top w:val="nil"/>
          </w:tblBorders>
        </w:tblPrEx>
        <w:tc>
          <w:tcPr>
            <w:tcW w:w="1725" w:type="dxa"/>
            <w:tcBorders>
              <w:top w:val="single" w:sz="6" w:space="0" w:color="000000"/>
              <w:left w:val="single" w:sz="8" w:space="0" w:color="000000"/>
              <w:bottom w:val="single" w:sz="6" w:space="0" w:color="000000"/>
              <w:right w:val="single" w:sz="6" w:space="0" w:color="000000"/>
            </w:tcBorders>
            <w:vAlign w:val="center"/>
          </w:tcPr>
          <w:p w14:paraId="5A2E15DF" w14:textId="40B1FBC5" w:rsidR="005039EC" w:rsidRPr="00A54649" w:rsidRDefault="005039EC" w:rsidP="009464EC">
            <w:pPr>
              <w:spacing w:after="0"/>
              <w:rPr>
                <w:sz w:val="18"/>
                <w:szCs w:val="18"/>
                <w:lang w:val="en-AU" w:eastAsia="en-US"/>
              </w:rPr>
            </w:pPr>
            <w:r>
              <w:rPr>
                <w:sz w:val="18"/>
                <w:szCs w:val="18"/>
                <w:lang w:val="en-AU" w:eastAsia="en-US"/>
              </w:rPr>
              <w:t xml:space="preserve">Chlorination/De-chlorination to Vinylidene </w:t>
            </w:r>
            <w:r w:rsidR="00582A26">
              <w:rPr>
                <w:sz w:val="18"/>
                <w:szCs w:val="18"/>
                <w:lang w:val="en-AU" w:eastAsia="en-US"/>
              </w:rPr>
              <w:t>Fluoride</w:t>
            </w:r>
          </w:p>
        </w:tc>
        <w:tc>
          <w:tcPr>
            <w:tcW w:w="10490" w:type="dxa"/>
            <w:gridSpan w:val="9"/>
            <w:tcBorders>
              <w:top w:val="single" w:sz="6" w:space="0" w:color="000000"/>
              <w:left w:val="single" w:sz="6" w:space="0" w:color="000000"/>
              <w:bottom w:val="single" w:sz="6" w:space="0" w:color="000000"/>
              <w:right w:val="single" w:sz="6" w:space="0" w:color="000000"/>
            </w:tcBorders>
            <w:shd w:val="solid" w:color="F2DBDB" w:themeColor="accent2" w:themeTint="33" w:fill="auto"/>
            <w:vAlign w:val="center"/>
          </w:tcPr>
          <w:p w14:paraId="7EE21E0C" w14:textId="077B0292" w:rsidR="005039EC" w:rsidRPr="001124F5" w:rsidRDefault="005039EC" w:rsidP="009464EC">
            <w:pPr>
              <w:spacing w:after="0"/>
              <w:jc w:val="center"/>
              <w:rPr>
                <w:color w:val="FF0000"/>
                <w:sz w:val="18"/>
                <w:szCs w:val="18"/>
                <w:lang w:val="en-AU" w:eastAsia="en-US"/>
              </w:rPr>
            </w:pPr>
            <w:r>
              <w:rPr>
                <w:color w:val="FF0000"/>
                <w:sz w:val="18"/>
                <w:szCs w:val="18"/>
                <w:lang w:val="en-AU" w:eastAsia="en-US"/>
              </w:rPr>
              <w:t>Not a destruction t</w:t>
            </w:r>
            <w:r w:rsidRPr="001124F5">
              <w:rPr>
                <w:color w:val="FF0000"/>
                <w:sz w:val="18"/>
                <w:szCs w:val="18"/>
                <w:lang w:val="en-AU" w:eastAsia="en-US"/>
              </w:rPr>
              <w:t>echnology</w:t>
            </w:r>
          </w:p>
        </w:tc>
        <w:tc>
          <w:tcPr>
            <w:tcW w:w="1063" w:type="dxa"/>
            <w:tcBorders>
              <w:top w:val="single" w:sz="6" w:space="0" w:color="000000"/>
              <w:left w:val="single" w:sz="6" w:space="0" w:color="000000"/>
              <w:bottom w:val="single" w:sz="6" w:space="0" w:color="000000"/>
              <w:right w:val="single" w:sz="8" w:space="0" w:color="000000"/>
            </w:tcBorders>
            <w:vAlign w:val="center"/>
          </w:tcPr>
          <w:p w14:paraId="6F2443BD" w14:textId="77777777" w:rsidR="005039EC" w:rsidRPr="00A54649" w:rsidRDefault="005039EC" w:rsidP="009464EC">
            <w:pPr>
              <w:spacing w:after="0"/>
              <w:jc w:val="center"/>
              <w:rPr>
                <w:sz w:val="18"/>
                <w:szCs w:val="18"/>
                <w:lang w:val="en-AU" w:eastAsia="en-US"/>
              </w:rPr>
            </w:pPr>
          </w:p>
        </w:tc>
        <w:tc>
          <w:tcPr>
            <w:tcW w:w="1063" w:type="dxa"/>
            <w:tcBorders>
              <w:top w:val="single" w:sz="6" w:space="0" w:color="000000"/>
              <w:left w:val="single" w:sz="6" w:space="0" w:color="000000"/>
              <w:bottom w:val="single" w:sz="6" w:space="0" w:color="000000"/>
              <w:right w:val="single" w:sz="8" w:space="0" w:color="000000"/>
            </w:tcBorders>
            <w:vAlign w:val="center"/>
          </w:tcPr>
          <w:p w14:paraId="43A79FE8" w14:textId="56B1695F" w:rsidR="005039EC" w:rsidRPr="00A54649" w:rsidRDefault="005039EC" w:rsidP="009464EC">
            <w:pPr>
              <w:spacing w:after="0"/>
              <w:jc w:val="center"/>
              <w:rPr>
                <w:sz w:val="18"/>
                <w:szCs w:val="18"/>
                <w:lang w:val="en-AU" w:eastAsia="en-US"/>
              </w:rPr>
            </w:pPr>
          </w:p>
        </w:tc>
      </w:tr>
      <w:tr w:rsidR="005039EC" w:rsidRPr="00A54649" w14:paraId="48E997E4" w14:textId="77777777" w:rsidTr="008361B4">
        <w:tblPrEx>
          <w:tblBorders>
            <w:top w:val="nil"/>
          </w:tblBorders>
        </w:tblPrEx>
        <w:tc>
          <w:tcPr>
            <w:tcW w:w="1725" w:type="dxa"/>
            <w:tcBorders>
              <w:top w:val="single" w:sz="6" w:space="0" w:color="000000"/>
              <w:left w:val="single" w:sz="8" w:space="0" w:color="000000"/>
              <w:bottom w:val="single" w:sz="8" w:space="0" w:color="000000"/>
              <w:right w:val="single" w:sz="6" w:space="0" w:color="000000"/>
            </w:tcBorders>
            <w:vAlign w:val="center"/>
          </w:tcPr>
          <w:p w14:paraId="0481B204" w14:textId="6453206A" w:rsidR="005039EC" w:rsidRPr="00A54649" w:rsidRDefault="005039EC" w:rsidP="009464EC">
            <w:pPr>
              <w:spacing w:after="0"/>
              <w:rPr>
                <w:sz w:val="18"/>
                <w:szCs w:val="18"/>
                <w:lang w:val="en-AU" w:eastAsia="en-US"/>
              </w:rPr>
            </w:pPr>
            <w:r>
              <w:rPr>
                <w:sz w:val="18"/>
                <w:szCs w:val="18"/>
                <w:lang w:val="en-AU" w:eastAsia="en-US"/>
              </w:rPr>
              <w:t>Solid Alkali Reaction</w:t>
            </w:r>
          </w:p>
        </w:tc>
        <w:tc>
          <w:tcPr>
            <w:tcW w:w="10490" w:type="dxa"/>
            <w:gridSpan w:val="9"/>
            <w:tcBorders>
              <w:top w:val="single" w:sz="6" w:space="0" w:color="000000"/>
              <w:left w:val="single" w:sz="6" w:space="0" w:color="000000"/>
              <w:bottom w:val="single" w:sz="6" w:space="0" w:color="000000"/>
              <w:right w:val="single" w:sz="6" w:space="0" w:color="000000"/>
            </w:tcBorders>
            <w:shd w:val="solid" w:color="F2DBDB" w:themeColor="accent2" w:themeTint="33" w:fill="auto"/>
            <w:vAlign w:val="center"/>
          </w:tcPr>
          <w:p w14:paraId="129DFE78" w14:textId="73312D22" w:rsidR="005039EC" w:rsidRPr="00CC0C72" w:rsidRDefault="005039EC" w:rsidP="009464EC">
            <w:pPr>
              <w:spacing w:after="0"/>
              <w:jc w:val="center"/>
              <w:rPr>
                <w:color w:val="FF0000"/>
                <w:sz w:val="18"/>
                <w:szCs w:val="18"/>
                <w:lang w:val="en-AU" w:eastAsia="en-US"/>
              </w:rPr>
            </w:pPr>
            <w:r w:rsidRPr="00CC0C72">
              <w:rPr>
                <w:color w:val="FF0000"/>
                <w:sz w:val="18"/>
                <w:szCs w:val="18"/>
                <w:lang w:val="en-AU" w:eastAsia="en-US"/>
              </w:rPr>
              <w:t>Unable to Access</w:t>
            </w:r>
          </w:p>
        </w:tc>
        <w:tc>
          <w:tcPr>
            <w:tcW w:w="1063" w:type="dxa"/>
            <w:tcBorders>
              <w:top w:val="single" w:sz="6" w:space="0" w:color="000000"/>
              <w:left w:val="single" w:sz="6" w:space="0" w:color="000000"/>
              <w:bottom w:val="single" w:sz="8" w:space="0" w:color="000000"/>
              <w:right w:val="single" w:sz="8" w:space="0" w:color="000000"/>
            </w:tcBorders>
            <w:vAlign w:val="center"/>
          </w:tcPr>
          <w:p w14:paraId="3B783AEB" w14:textId="77777777" w:rsidR="005039EC" w:rsidRPr="00A54649" w:rsidRDefault="005039EC" w:rsidP="009464EC">
            <w:pPr>
              <w:spacing w:after="0"/>
              <w:jc w:val="center"/>
              <w:rPr>
                <w:sz w:val="18"/>
                <w:szCs w:val="18"/>
                <w:lang w:val="en-AU" w:eastAsia="en-US"/>
              </w:rPr>
            </w:pPr>
          </w:p>
        </w:tc>
        <w:tc>
          <w:tcPr>
            <w:tcW w:w="1063" w:type="dxa"/>
            <w:tcBorders>
              <w:top w:val="single" w:sz="6" w:space="0" w:color="000000"/>
              <w:left w:val="single" w:sz="6" w:space="0" w:color="000000"/>
              <w:bottom w:val="single" w:sz="8" w:space="0" w:color="000000"/>
              <w:right w:val="single" w:sz="8" w:space="0" w:color="000000"/>
            </w:tcBorders>
            <w:vAlign w:val="center"/>
          </w:tcPr>
          <w:p w14:paraId="5237FCC9" w14:textId="14FCA5FB" w:rsidR="005039EC" w:rsidRPr="00A54649" w:rsidRDefault="005039EC" w:rsidP="009464EC">
            <w:pPr>
              <w:spacing w:after="0"/>
              <w:jc w:val="center"/>
              <w:rPr>
                <w:sz w:val="18"/>
                <w:szCs w:val="18"/>
                <w:lang w:val="en-AU" w:eastAsia="en-US"/>
              </w:rPr>
            </w:pPr>
          </w:p>
        </w:tc>
      </w:tr>
    </w:tbl>
    <w:p w14:paraId="601D84AB" w14:textId="77777777" w:rsidR="001D2563" w:rsidRPr="0098413B" w:rsidRDefault="001D2563" w:rsidP="001D2563">
      <w:pPr>
        <w:rPr>
          <w:sz w:val="20"/>
          <w:lang w:val="en-AU"/>
        </w:rPr>
      </w:pPr>
      <w:r w:rsidRPr="0098413B">
        <w:rPr>
          <w:sz w:val="20"/>
          <w:lang w:val="en-AU" w:eastAsia="en-US"/>
        </w:rPr>
        <w:t>*DRE - Destruction &amp; Removal Efficiency</w:t>
      </w:r>
    </w:p>
    <w:bookmarkEnd w:id="142"/>
    <w:p w14:paraId="3F48B987" w14:textId="77777777" w:rsidR="00351235" w:rsidRPr="00210126" w:rsidRDefault="00351235" w:rsidP="00351235">
      <w:pPr>
        <w:widowControl w:val="0"/>
        <w:rPr>
          <w:b/>
          <w:bCs/>
        </w:rPr>
      </w:pPr>
    </w:p>
    <w:p w14:paraId="640257AB" w14:textId="77777777" w:rsidR="00351235" w:rsidRPr="00C33FF9" w:rsidRDefault="00351235" w:rsidP="00C33FF9">
      <w:pPr>
        <w:widowControl w:val="0"/>
        <w:rPr>
          <w:b/>
        </w:rPr>
        <w:sectPr w:rsidR="00351235" w:rsidRPr="00C33FF9" w:rsidSect="007D7370">
          <w:footnotePr>
            <w:numRestart w:val="eachSect"/>
          </w:footnotePr>
          <w:pgSz w:w="16839" w:h="11907" w:orient="landscape" w:code="9"/>
          <w:pgMar w:top="1800" w:right="1440" w:bottom="1800" w:left="1526" w:header="720" w:footer="792" w:gutter="0"/>
          <w:cols w:space="720"/>
          <w:docGrid w:linePitch="299"/>
        </w:sectPr>
      </w:pPr>
    </w:p>
    <w:p w14:paraId="48EA1CFA" w14:textId="732C0394" w:rsidR="002741FC" w:rsidRPr="00275CBE" w:rsidRDefault="00821E67" w:rsidP="00533CC3">
      <w:pPr>
        <w:pStyle w:val="Heading1"/>
        <w:ind w:left="1701" w:hanging="1701"/>
        <w:rPr>
          <w:rStyle w:val="Heading1Char2"/>
        </w:rPr>
      </w:pPr>
      <w:bookmarkStart w:id="144" w:name="_Toc356240468"/>
      <w:bookmarkStart w:id="145" w:name="_Toc510531496"/>
      <w:r w:rsidRPr="00275CBE">
        <w:rPr>
          <w:rStyle w:val="Heading1Char2"/>
        </w:rPr>
        <w:lastRenderedPageBreak/>
        <w:t xml:space="preserve">Appendix </w:t>
      </w:r>
      <w:r w:rsidR="00656E7D" w:rsidRPr="00275CBE">
        <w:rPr>
          <w:rStyle w:val="Heading1Char2"/>
        </w:rPr>
        <w:t>1:</w:t>
      </w:r>
      <w:bookmarkEnd w:id="144"/>
      <w:r w:rsidR="00441815" w:rsidRPr="00275CBE">
        <w:rPr>
          <w:rStyle w:val="Heading1Char2"/>
        </w:rPr>
        <w:tab/>
        <w:t>Summary of s</w:t>
      </w:r>
      <w:r w:rsidR="002741FC" w:rsidRPr="00275CBE">
        <w:rPr>
          <w:rStyle w:val="Heading1Char2"/>
        </w:rPr>
        <w:t>ubmissions received from parties</w:t>
      </w:r>
      <w:r w:rsidR="00796A8C" w:rsidRPr="00275CBE">
        <w:rPr>
          <w:rStyle w:val="Heading1Char2"/>
        </w:rPr>
        <w:t xml:space="preserve"> in response to Decision XXIX/4</w:t>
      </w:r>
      <w:bookmarkEnd w:id="145"/>
    </w:p>
    <w:p w14:paraId="31A981E2" w14:textId="6416C105" w:rsidR="00441815" w:rsidRPr="00441815" w:rsidRDefault="00441815" w:rsidP="00441815">
      <w:pPr>
        <w:rPr>
          <w:lang w:val="en-US" w:eastAsia="en-US"/>
        </w:rPr>
      </w:pPr>
      <w:r>
        <w:rPr>
          <w:szCs w:val="22"/>
        </w:rPr>
        <w:t>Submissions were received from Armenia, Australia, Canada, China, E</w:t>
      </w:r>
      <w:r w:rsidR="00663CDF">
        <w:rPr>
          <w:szCs w:val="22"/>
        </w:rPr>
        <w:t xml:space="preserve">uropean </w:t>
      </w:r>
      <w:r>
        <w:rPr>
          <w:szCs w:val="22"/>
        </w:rPr>
        <w:t>U</w:t>
      </w:r>
      <w:r w:rsidR="00663CDF">
        <w:rPr>
          <w:szCs w:val="22"/>
        </w:rPr>
        <w:t>nion</w:t>
      </w:r>
      <w:r>
        <w:rPr>
          <w:szCs w:val="22"/>
        </w:rPr>
        <w:t>, Japan, Luxembourg, Mexico, United States, and Venezuela. TEAP</w:t>
      </w:r>
      <w:r w:rsidRPr="000D6BA0">
        <w:rPr>
          <w:szCs w:val="22"/>
        </w:rPr>
        <w:t xml:space="preserve"> has </w:t>
      </w:r>
      <w:r>
        <w:rPr>
          <w:szCs w:val="22"/>
        </w:rPr>
        <w:t xml:space="preserve">responded to requests for technology assessment and </w:t>
      </w:r>
      <w:r w:rsidRPr="000D6BA0">
        <w:rPr>
          <w:szCs w:val="22"/>
        </w:rPr>
        <w:t xml:space="preserve">incorporated </w:t>
      </w:r>
      <w:r>
        <w:rPr>
          <w:szCs w:val="22"/>
        </w:rPr>
        <w:t>relevant</w:t>
      </w:r>
      <w:r w:rsidRPr="000D6BA0">
        <w:rPr>
          <w:szCs w:val="22"/>
        </w:rPr>
        <w:t xml:space="preserve"> information into this assessment. The substantive parts of parties’ submissions </w:t>
      </w:r>
      <w:r>
        <w:rPr>
          <w:szCs w:val="22"/>
        </w:rPr>
        <w:t>will be</w:t>
      </w:r>
      <w:r w:rsidRPr="00D16ECC">
        <w:rPr>
          <w:szCs w:val="22"/>
        </w:rPr>
        <w:t xml:space="preserve"> compiled in a separate document, in pdf format. The document </w:t>
      </w:r>
      <w:r>
        <w:rPr>
          <w:szCs w:val="22"/>
        </w:rPr>
        <w:t>will</w:t>
      </w:r>
      <w:r w:rsidRPr="00D16ECC">
        <w:rPr>
          <w:szCs w:val="22"/>
        </w:rPr>
        <w:t xml:space="preserve"> be </w:t>
      </w:r>
      <w:r w:rsidR="002E4DD6">
        <w:rPr>
          <w:szCs w:val="22"/>
        </w:rPr>
        <w:t>posted</w:t>
      </w:r>
      <w:r w:rsidR="002E4DD6" w:rsidRPr="00D16ECC">
        <w:rPr>
          <w:szCs w:val="22"/>
        </w:rPr>
        <w:t xml:space="preserve"> </w:t>
      </w:r>
      <w:r>
        <w:rPr>
          <w:szCs w:val="22"/>
        </w:rPr>
        <w:t>in time for the 40</w:t>
      </w:r>
      <w:r w:rsidRPr="000D6C1D">
        <w:rPr>
          <w:szCs w:val="22"/>
          <w:vertAlign w:val="superscript"/>
        </w:rPr>
        <w:t>th</w:t>
      </w:r>
      <w:r>
        <w:rPr>
          <w:szCs w:val="22"/>
        </w:rPr>
        <w:t xml:space="preserve"> Open-ended Working Group </w:t>
      </w:r>
      <w:r w:rsidRPr="00D16ECC">
        <w:rPr>
          <w:szCs w:val="22"/>
        </w:rPr>
        <w:t>on the Ozone Secretariat website at the following link:</w:t>
      </w:r>
      <w:r w:rsidRPr="00D16ECC" w:rsidDel="004958B8">
        <w:rPr>
          <w:szCs w:val="22"/>
        </w:rPr>
        <w:t xml:space="preserve"> </w:t>
      </w:r>
      <w:hyperlink r:id="rId36" w:history="1">
        <w:r w:rsidR="008724E6" w:rsidRPr="00746C78">
          <w:rPr>
            <w:rStyle w:val="Hyperlink"/>
            <w:szCs w:val="22"/>
          </w:rPr>
          <w:t>http://conf.montreal-protocol.org/meeting/oewg/oewg-40/presession/SitePages/Home.aspx</w:t>
        </w:r>
      </w:hyperlink>
      <w:r w:rsidRPr="00D16ECC">
        <w:rPr>
          <w:szCs w:val="22"/>
        </w:rPr>
        <w:t>.</w:t>
      </w:r>
    </w:p>
    <w:tbl>
      <w:tblPr>
        <w:tblStyle w:val="TableGrid"/>
        <w:tblW w:w="14454" w:type="dxa"/>
        <w:tblLook w:val="04A0" w:firstRow="1" w:lastRow="0" w:firstColumn="1" w:lastColumn="0" w:noHBand="0" w:noVBand="1"/>
      </w:tblPr>
      <w:tblGrid>
        <w:gridCol w:w="1554"/>
        <w:gridCol w:w="1135"/>
        <w:gridCol w:w="8079"/>
        <w:gridCol w:w="1843"/>
        <w:gridCol w:w="1843"/>
      </w:tblGrid>
      <w:tr w:rsidR="005A0C8B" w14:paraId="5575668F" w14:textId="77777777" w:rsidTr="00A82C74">
        <w:trPr>
          <w:trHeight w:val="1249"/>
        </w:trPr>
        <w:tc>
          <w:tcPr>
            <w:tcW w:w="1554" w:type="dxa"/>
          </w:tcPr>
          <w:p w14:paraId="58668533" w14:textId="77777777" w:rsidR="005A0C8B" w:rsidRPr="00F93039" w:rsidRDefault="005A0C8B" w:rsidP="00F93039">
            <w:pPr>
              <w:spacing w:before="120" w:after="120"/>
              <w:rPr>
                <w:b/>
              </w:rPr>
            </w:pPr>
            <w:r w:rsidRPr="00F93039">
              <w:rPr>
                <w:b/>
              </w:rPr>
              <w:t>Party</w:t>
            </w:r>
          </w:p>
        </w:tc>
        <w:tc>
          <w:tcPr>
            <w:tcW w:w="1135" w:type="dxa"/>
          </w:tcPr>
          <w:p w14:paraId="7010E252" w14:textId="77777777" w:rsidR="005A0C8B" w:rsidRPr="00F93039" w:rsidRDefault="005A0C8B" w:rsidP="00F93039">
            <w:pPr>
              <w:spacing w:before="120" w:after="120"/>
              <w:rPr>
                <w:b/>
              </w:rPr>
            </w:pPr>
            <w:r w:rsidRPr="00F93039">
              <w:rPr>
                <w:b/>
              </w:rPr>
              <w:t>Article 5 or non-Article 5 party</w:t>
            </w:r>
          </w:p>
        </w:tc>
        <w:tc>
          <w:tcPr>
            <w:tcW w:w="8079" w:type="dxa"/>
          </w:tcPr>
          <w:p w14:paraId="52C75A1A" w14:textId="77777777" w:rsidR="005A0C8B" w:rsidRPr="00F93039" w:rsidRDefault="005A0C8B" w:rsidP="00F93039">
            <w:pPr>
              <w:spacing w:before="120" w:after="120"/>
              <w:rPr>
                <w:b/>
              </w:rPr>
            </w:pPr>
            <w:r w:rsidRPr="00F93039">
              <w:rPr>
                <w:b/>
              </w:rPr>
              <w:t>Destruction Technology Type Referenced in the Submission (Proponent, if mentioned)</w:t>
            </w:r>
          </w:p>
        </w:tc>
        <w:tc>
          <w:tcPr>
            <w:tcW w:w="1843" w:type="dxa"/>
          </w:tcPr>
          <w:p w14:paraId="3D6ADB9B" w14:textId="097B4668" w:rsidR="005A0C8B" w:rsidRPr="00F93039" w:rsidRDefault="005A0C8B" w:rsidP="00F93039">
            <w:pPr>
              <w:spacing w:before="120" w:after="120"/>
              <w:jc w:val="center"/>
              <w:rPr>
                <w:b/>
              </w:rPr>
            </w:pPr>
            <w:r w:rsidRPr="00F93039">
              <w:rPr>
                <w:b/>
              </w:rPr>
              <w:t xml:space="preserve">Approved Technologies: Assessment for </w:t>
            </w:r>
            <w:r w:rsidR="005039EC" w:rsidRPr="00F93039">
              <w:rPr>
                <w:b/>
              </w:rPr>
              <w:t xml:space="preserve">applicability to </w:t>
            </w:r>
            <w:r w:rsidRPr="00F93039">
              <w:rPr>
                <w:b/>
              </w:rPr>
              <w:t xml:space="preserve">HFCs </w:t>
            </w:r>
            <w:r w:rsidR="005039EC" w:rsidRPr="00F93039">
              <w:rPr>
                <w:b/>
              </w:rPr>
              <w:t>destruction</w:t>
            </w:r>
          </w:p>
        </w:tc>
        <w:tc>
          <w:tcPr>
            <w:tcW w:w="1843" w:type="dxa"/>
          </w:tcPr>
          <w:p w14:paraId="4777AEB0" w14:textId="7EDAC60F" w:rsidR="005A0C8B" w:rsidRPr="00F93039" w:rsidRDefault="005A0C8B" w:rsidP="00F93039">
            <w:pPr>
              <w:spacing w:before="120" w:after="120"/>
              <w:jc w:val="center"/>
              <w:rPr>
                <w:b/>
              </w:rPr>
            </w:pPr>
            <w:r w:rsidRPr="00F93039">
              <w:rPr>
                <w:b/>
              </w:rPr>
              <w:t xml:space="preserve">New Technology: Assessment for </w:t>
            </w:r>
            <w:r w:rsidR="005039EC" w:rsidRPr="00F93039">
              <w:rPr>
                <w:b/>
              </w:rPr>
              <w:t xml:space="preserve">possible </w:t>
            </w:r>
            <w:r w:rsidRPr="00F93039">
              <w:rPr>
                <w:b/>
              </w:rPr>
              <w:t>inclusion</w:t>
            </w:r>
            <w:r w:rsidR="005039EC" w:rsidRPr="00F93039">
              <w:rPr>
                <w:b/>
              </w:rPr>
              <w:t xml:space="preserve"> on list of approved technologies</w:t>
            </w:r>
          </w:p>
        </w:tc>
      </w:tr>
      <w:tr w:rsidR="005A0C8B" w14:paraId="4F54FC77" w14:textId="77777777" w:rsidTr="00A82C74">
        <w:trPr>
          <w:trHeight w:val="192"/>
        </w:trPr>
        <w:tc>
          <w:tcPr>
            <w:tcW w:w="1554" w:type="dxa"/>
          </w:tcPr>
          <w:p w14:paraId="13EC66E0" w14:textId="77777777" w:rsidR="005A0C8B" w:rsidRDefault="005A0C8B" w:rsidP="00F93039">
            <w:pPr>
              <w:spacing w:before="120" w:after="120"/>
            </w:pPr>
            <w:r>
              <w:t>Armenia</w:t>
            </w:r>
          </w:p>
        </w:tc>
        <w:tc>
          <w:tcPr>
            <w:tcW w:w="1135" w:type="dxa"/>
          </w:tcPr>
          <w:p w14:paraId="6F335A91" w14:textId="77777777" w:rsidR="005A0C8B" w:rsidRDefault="005A0C8B" w:rsidP="00F93039">
            <w:pPr>
              <w:spacing w:before="120" w:after="120"/>
            </w:pPr>
            <w:r>
              <w:t>A5</w:t>
            </w:r>
          </w:p>
        </w:tc>
        <w:tc>
          <w:tcPr>
            <w:tcW w:w="8079" w:type="dxa"/>
          </w:tcPr>
          <w:p w14:paraId="2026598D" w14:textId="77777777" w:rsidR="005A0C8B" w:rsidRDefault="005A0C8B" w:rsidP="00F93039">
            <w:pPr>
              <w:spacing w:before="120" w:after="120"/>
            </w:pPr>
            <w:r>
              <w:t>No destruction technology – for information</w:t>
            </w:r>
          </w:p>
        </w:tc>
        <w:tc>
          <w:tcPr>
            <w:tcW w:w="1843" w:type="dxa"/>
            <w:vAlign w:val="center"/>
          </w:tcPr>
          <w:p w14:paraId="704D4E9C" w14:textId="77777777" w:rsidR="005A0C8B" w:rsidRDefault="005A0C8B" w:rsidP="00F93039">
            <w:pPr>
              <w:spacing w:before="120" w:after="120"/>
              <w:jc w:val="center"/>
            </w:pPr>
            <w:r>
              <w:t>N.A.</w:t>
            </w:r>
          </w:p>
        </w:tc>
        <w:tc>
          <w:tcPr>
            <w:tcW w:w="1843" w:type="dxa"/>
            <w:vAlign w:val="center"/>
          </w:tcPr>
          <w:p w14:paraId="60CDB992" w14:textId="77777777" w:rsidR="005A0C8B" w:rsidRDefault="005A0C8B" w:rsidP="00F93039">
            <w:pPr>
              <w:spacing w:before="120" w:after="120"/>
              <w:jc w:val="center"/>
            </w:pPr>
            <w:r>
              <w:t>N.A.</w:t>
            </w:r>
          </w:p>
        </w:tc>
      </w:tr>
      <w:tr w:rsidR="005A0C8B" w14:paraId="4DBD84AF" w14:textId="77777777" w:rsidTr="00A82C74">
        <w:trPr>
          <w:trHeight w:val="97"/>
        </w:trPr>
        <w:tc>
          <w:tcPr>
            <w:tcW w:w="1554" w:type="dxa"/>
            <w:vMerge w:val="restart"/>
          </w:tcPr>
          <w:p w14:paraId="0A6646B0" w14:textId="77777777" w:rsidR="005A0C8B" w:rsidRDefault="005A0C8B" w:rsidP="00F93039">
            <w:pPr>
              <w:spacing w:before="120" w:after="120"/>
            </w:pPr>
            <w:r>
              <w:t>Australia</w:t>
            </w:r>
          </w:p>
        </w:tc>
        <w:tc>
          <w:tcPr>
            <w:tcW w:w="1135" w:type="dxa"/>
            <w:vMerge w:val="restart"/>
          </w:tcPr>
          <w:p w14:paraId="10B27F2B" w14:textId="77777777" w:rsidR="005A0C8B" w:rsidRDefault="005A0C8B" w:rsidP="00F93039">
            <w:pPr>
              <w:spacing w:before="120" w:after="120"/>
            </w:pPr>
            <w:r>
              <w:t>Non-A5</w:t>
            </w:r>
          </w:p>
        </w:tc>
        <w:tc>
          <w:tcPr>
            <w:tcW w:w="8079" w:type="dxa"/>
          </w:tcPr>
          <w:p w14:paraId="2AC55510" w14:textId="2BC21C88" w:rsidR="005A0C8B" w:rsidRDefault="005A0C8B" w:rsidP="00F93039">
            <w:pPr>
              <w:spacing w:before="120" w:after="120"/>
            </w:pPr>
            <w:r>
              <w:t>Argon Plasma Arc (one company)</w:t>
            </w:r>
          </w:p>
        </w:tc>
        <w:tc>
          <w:tcPr>
            <w:tcW w:w="1843" w:type="dxa"/>
            <w:vAlign w:val="center"/>
          </w:tcPr>
          <w:p w14:paraId="5E312C96" w14:textId="7B537E12" w:rsidR="005A0C8B" w:rsidRDefault="00293F93" w:rsidP="00F93039">
            <w:pPr>
              <w:spacing w:before="120" w:after="120"/>
              <w:jc w:val="center"/>
            </w:pPr>
            <w:r>
              <w:sym w:font="Wingdings 2" w:char="F050"/>
            </w:r>
          </w:p>
        </w:tc>
        <w:tc>
          <w:tcPr>
            <w:tcW w:w="1843" w:type="dxa"/>
            <w:vAlign w:val="center"/>
          </w:tcPr>
          <w:p w14:paraId="1F885F52" w14:textId="3BBDC6B9" w:rsidR="005A0C8B" w:rsidRDefault="005A0C8B" w:rsidP="00F93039">
            <w:pPr>
              <w:spacing w:before="120" w:after="120"/>
              <w:jc w:val="center"/>
            </w:pPr>
          </w:p>
        </w:tc>
      </w:tr>
      <w:tr w:rsidR="005A0C8B" w14:paraId="07AD8973" w14:textId="77777777" w:rsidTr="00A82C74">
        <w:trPr>
          <w:trHeight w:val="94"/>
        </w:trPr>
        <w:tc>
          <w:tcPr>
            <w:tcW w:w="1554" w:type="dxa"/>
            <w:vMerge/>
          </w:tcPr>
          <w:p w14:paraId="7A981ABE" w14:textId="77777777" w:rsidR="005A0C8B" w:rsidRDefault="005A0C8B" w:rsidP="00F93039">
            <w:pPr>
              <w:spacing w:before="120" w:after="120"/>
            </w:pPr>
          </w:p>
        </w:tc>
        <w:tc>
          <w:tcPr>
            <w:tcW w:w="1135" w:type="dxa"/>
            <w:vMerge/>
          </w:tcPr>
          <w:p w14:paraId="3846DDD0" w14:textId="77777777" w:rsidR="005A0C8B" w:rsidRDefault="005A0C8B" w:rsidP="00F93039">
            <w:pPr>
              <w:spacing w:before="120" w:after="120"/>
            </w:pPr>
          </w:p>
        </w:tc>
        <w:tc>
          <w:tcPr>
            <w:tcW w:w="8079" w:type="dxa"/>
          </w:tcPr>
          <w:p w14:paraId="11B858E5" w14:textId="4EF80B49" w:rsidR="005A0C8B" w:rsidRDefault="005A0C8B" w:rsidP="00F93039">
            <w:pPr>
              <w:spacing w:before="120" w:after="120"/>
            </w:pPr>
            <w:r>
              <w:t>Argon Plasma Arc (one company)</w:t>
            </w:r>
          </w:p>
        </w:tc>
        <w:tc>
          <w:tcPr>
            <w:tcW w:w="1843" w:type="dxa"/>
            <w:vAlign w:val="center"/>
          </w:tcPr>
          <w:p w14:paraId="21C70F71" w14:textId="7A7D8251" w:rsidR="005A0C8B" w:rsidRDefault="00293F93" w:rsidP="00F93039">
            <w:pPr>
              <w:spacing w:before="120" w:after="120"/>
              <w:jc w:val="center"/>
            </w:pPr>
            <w:r>
              <w:sym w:font="Wingdings 2" w:char="F050"/>
            </w:r>
          </w:p>
        </w:tc>
        <w:tc>
          <w:tcPr>
            <w:tcW w:w="1843" w:type="dxa"/>
            <w:vAlign w:val="center"/>
          </w:tcPr>
          <w:p w14:paraId="6CA817FF" w14:textId="3BFD58D5" w:rsidR="005A0C8B" w:rsidRDefault="005A0C8B" w:rsidP="00F93039">
            <w:pPr>
              <w:spacing w:before="120" w:after="120"/>
              <w:jc w:val="center"/>
            </w:pPr>
          </w:p>
        </w:tc>
      </w:tr>
      <w:tr w:rsidR="005A0C8B" w14:paraId="09E795D0" w14:textId="77777777" w:rsidTr="00A82C74">
        <w:trPr>
          <w:trHeight w:val="94"/>
        </w:trPr>
        <w:tc>
          <w:tcPr>
            <w:tcW w:w="1554" w:type="dxa"/>
            <w:vMerge/>
          </w:tcPr>
          <w:p w14:paraId="277EC557" w14:textId="77777777" w:rsidR="005A0C8B" w:rsidRDefault="005A0C8B" w:rsidP="00F93039">
            <w:pPr>
              <w:spacing w:before="120" w:after="120"/>
            </w:pPr>
          </w:p>
        </w:tc>
        <w:tc>
          <w:tcPr>
            <w:tcW w:w="1135" w:type="dxa"/>
            <w:vMerge/>
          </w:tcPr>
          <w:p w14:paraId="456555CC" w14:textId="77777777" w:rsidR="005A0C8B" w:rsidRDefault="005A0C8B" w:rsidP="00F93039">
            <w:pPr>
              <w:spacing w:before="120" w:after="120"/>
            </w:pPr>
          </w:p>
        </w:tc>
        <w:tc>
          <w:tcPr>
            <w:tcW w:w="8079" w:type="dxa"/>
          </w:tcPr>
          <w:p w14:paraId="5B995FFB" w14:textId="5226743F" w:rsidR="005A0C8B" w:rsidRDefault="005A0C8B" w:rsidP="00F93039">
            <w:pPr>
              <w:spacing w:before="120" w:after="120"/>
            </w:pPr>
            <w:r>
              <w:t>Thermal Reaction with Methane</w:t>
            </w:r>
          </w:p>
        </w:tc>
        <w:tc>
          <w:tcPr>
            <w:tcW w:w="1843" w:type="dxa"/>
            <w:vAlign w:val="center"/>
          </w:tcPr>
          <w:p w14:paraId="012B6EE6" w14:textId="0145C384" w:rsidR="005A0C8B" w:rsidRDefault="00293F93" w:rsidP="00F93039">
            <w:pPr>
              <w:spacing w:before="120" w:after="120"/>
              <w:jc w:val="center"/>
            </w:pPr>
            <w:r>
              <w:sym w:font="Wingdings 2" w:char="F050"/>
            </w:r>
          </w:p>
        </w:tc>
        <w:tc>
          <w:tcPr>
            <w:tcW w:w="1843" w:type="dxa"/>
            <w:vAlign w:val="center"/>
          </w:tcPr>
          <w:p w14:paraId="7A4A27D8" w14:textId="6C6A5426" w:rsidR="005A0C8B" w:rsidRDefault="005A0C8B" w:rsidP="00F93039">
            <w:pPr>
              <w:spacing w:before="120" w:after="120"/>
              <w:jc w:val="center"/>
            </w:pPr>
          </w:p>
        </w:tc>
      </w:tr>
      <w:tr w:rsidR="005A0C8B" w14:paraId="0832A235" w14:textId="77777777" w:rsidTr="00A82C74">
        <w:trPr>
          <w:trHeight w:val="94"/>
        </w:trPr>
        <w:tc>
          <w:tcPr>
            <w:tcW w:w="1554" w:type="dxa"/>
            <w:vMerge/>
          </w:tcPr>
          <w:p w14:paraId="146B13D3" w14:textId="77777777" w:rsidR="005A0C8B" w:rsidRDefault="005A0C8B" w:rsidP="00F93039">
            <w:pPr>
              <w:spacing w:before="120" w:after="120"/>
            </w:pPr>
          </w:p>
        </w:tc>
        <w:tc>
          <w:tcPr>
            <w:tcW w:w="1135" w:type="dxa"/>
            <w:vMerge/>
          </w:tcPr>
          <w:p w14:paraId="6AE42F29" w14:textId="77777777" w:rsidR="005A0C8B" w:rsidRDefault="005A0C8B" w:rsidP="00F93039">
            <w:pPr>
              <w:spacing w:before="120" w:after="120"/>
            </w:pPr>
          </w:p>
        </w:tc>
        <w:tc>
          <w:tcPr>
            <w:tcW w:w="8079" w:type="dxa"/>
          </w:tcPr>
          <w:p w14:paraId="4EF229DC" w14:textId="1FFDBC09" w:rsidR="005A0C8B" w:rsidRDefault="00391219" w:rsidP="00F93039">
            <w:pPr>
              <w:spacing w:before="120" w:after="120"/>
            </w:pPr>
            <w:r>
              <w:t>Thermal Decay of Methyl Bromide</w:t>
            </w:r>
          </w:p>
        </w:tc>
        <w:tc>
          <w:tcPr>
            <w:tcW w:w="1843" w:type="dxa"/>
            <w:vAlign w:val="center"/>
          </w:tcPr>
          <w:p w14:paraId="24D45626" w14:textId="529D4D9C" w:rsidR="005A0C8B" w:rsidRDefault="005A0C8B" w:rsidP="00F93039">
            <w:pPr>
              <w:spacing w:before="120" w:after="120"/>
              <w:jc w:val="center"/>
            </w:pPr>
          </w:p>
        </w:tc>
        <w:tc>
          <w:tcPr>
            <w:tcW w:w="1843" w:type="dxa"/>
            <w:vAlign w:val="center"/>
          </w:tcPr>
          <w:p w14:paraId="00F9BF75" w14:textId="462B34A9" w:rsidR="005A0C8B" w:rsidRDefault="00293F93" w:rsidP="00F93039">
            <w:pPr>
              <w:spacing w:before="120" w:after="120"/>
              <w:jc w:val="center"/>
            </w:pPr>
            <w:r>
              <w:sym w:font="Wingdings 2" w:char="F050"/>
            </w:r>
          </w:p>
        </w:tc>
      </w:tr>
      <w:tr w:rsidR="005A0C8B" w14:paraId="2376A1E2" w14:textId="77777777" w:rsidTr="00A82C74">
        <w:trPr>
          <w:trHeight w:val="196"/>
        </w:trPr>
        <w:tc>
          <w:tcPr>
            <w:tcW w:w="1554" w:type="dxa"/>
            <w:vMerge w:val="restart"/>
          </w:tcPr>
          <w:p w14:paraId="19856F4C" w14:textId="77777777" w:rsidR="005A0C8B" w:rsidRDefault="005A0C8B" w:rsidP="00F93039">
            <w:pPr>
              <w:spacing w:before="120" w:after="120"/>
            </w:pPr>
            <w:r>
              <w:t>Canada</w:t>
            </w:r>
          </w:p>
        </w:tc>
        <w:tc>
          <w:tcPr>
            <w:tcW w:w="1135" w:type="dxa"/>
            <w:vMerge w:val="restart"/>
          </w:tcPr>
          <w:p w14:paraId="2F0B83C0" w14:textId="77777777" w:rsidR="005A0C8B" w:rsidRDefault="005A0C8B" w:rsidP="00F93039">
            <w:pPr>
              <w:spacing w:before="120" w:after="120"/>
            </w:pPr>
            <w:r>
              <w:t>Non-A5</w:t>
            </w:r>
          </w:p>
        </w:tc>
        <w:tc>
          <w:tcPr>
            <w:tcW w:w="8079" w:type="dxa"/>
          </w:tcPr>
          <w:p w14:paraId="67CA235E" w14:textId="342C6EA2" w:rsidR="005A0C8B" w:rsidRDefault="005A0C8B" w:rsidP="00F93039">
            <w:pPr>
              <w:spacing w:before="120" w:after="120"/>
            </w:pPr>
            <w:r>
              <w:t>Rotary Kiln Incinerator</w:t>
            </w:r>
          </w:p>
        </w:tc>
        <w:tc>
          <w:tcPr>
            <w:tcW w:w="1843" w:type="dxa"/>
            <w:vAlign w:val="center"/>
          </w:tcPr>
          <w:p w14:paraId="4E02CB70" w14:textId="02900A58" w:rsidR="005A0C8B" w:rsidRDefault="00293F93" w:rsidP="00F93039">
            <w:pPr>
              <w:spacing w:before="120" w:after="120"/>
              <w:jc w:val="center"/>
            </w:pPr>
            <w:r>
              <w:sym w:font="Wingdings 2" w:char="F050"/>
            </w:r>
          </w:p>
        </w:tc>
        <w:tc>
          <w:tcPr>
            <w:tcW w:w="1843" w:type="dxa"/>
            <w:vAlign w:val="center"/>
          </w:tcPr>
          <w:p w14:paraId="5C43789A" w14:textId="6AE9885D" w:rsidR="005A0C8B" w:rsidRDefault="005A0C8B" w:rsidP="00F93039">
            <w:pPr>
              <w:spacing w:before="120" w:after="120"/>
              <w:jc w:val="center"/>
            </w:pPr>
          </w:p>
        </w:tc>
      </w:tr>
      <w:tr w:rsidR="005A0C8B" w14:paraId="62BA8C00" w14:textId="77777777" w:rsidTr="00A82C74">
        <w:trPr>
          <w:trHeight w:val="195"/>
        </w:trPr>
        <w:tc>
          <w:tcPr>
            <w:tcW w:w="1554" w:type="dxa"/>
            <w:vMerge/>
          </w:tcPr>
          <w:p w14:paraId="192D3132" w14:textId="77777777" w:rsidR="005A0C8B" w:rsidRDefault="005A0C8B" w:rsidP="00F93039">
            <w:pPr>
              <w:spacing w:before="120" w:after="120"/>
            </w:pPr>
          </w:p>
        </w:tc>
        <w:tc>
          <w:tcPr>
            <w:tcW w:w="1135" w:type="dxa"/>
            <w:vMerge/>
          </w:tcPr>
          <w:p w14:paraId="75C519B0" w14:textId="77777777" w:rsidR="005A0C8B" w:rsidRDefault="005A0C8B" w:rsidP="00F93039">
            <w:pPr>
              <w:spacing w:before="120" w:after="120"/>
            </w:pPr>
          </w:p>
        </w:tc>
        <w:tc>
          <w:tcPr>
            <w:tcW w:w="8079" w:type="dxa"/>
          </w:tcPr>
          <w:p w14:paraId="25775C91" w14:textId="68B389B3" w:rsidR="005A0C8B" w:rsidRDefault="005A0C8B" w:rsidP="00F93039">
            <w:pPr>
              <w:spacing w:before="120" w:after="120"/>
            </w:pPr>
            <w:r>
              <w:t>Argon Plasma Arc</w:t>
            </w:r>
          </w:p>
        </w:tc>
        <w:tc>
          <w:tcPr>
            <w:tcW w:w="1843" w:type="dxa"/>
            <w:vAlign w:val="center"/>
          </w:tcPr>
          <w:p w14:paraId="41C24DDF" w14:textId="1C21530C" w:rsidR="005A0C8B" w:rsidRDefault="00293F93" w:rsidP="00F93039">
            <w:pPr>
              <w:spacing w:before="120" w:after="120"/>
              <w:jc w:val="center"/>
            </w:pPr>
            <w:r>
              <w:sym w:font="Wingdings 2" w:char="F050"/>
            </w:r>
          </w:p>
        </w:tc>
        <w:tc>
          <w:tcPr>
            <w:tcW w:w="1843" w:type="dxa"/>
            <w:vAlign w:val="center"/>
          </w:tcPr>
          <w:p w14:paraId="56324CD6" w14:textId="457BB61F" w:rsidR="005A0C8B" w:rsidRDefault="005A0C8B" w:rsidP="00F93039">
            <w:pPr>
              <w:spacing w:before="120" w:after="120"/>
              <w:jc w:val="center"/>
            </w:pPr>
          </w:p>
        </w:tc>
      </w:tr>
      <w:tr w:rsidR="005A0C8B" w14:paraId="53BDF606" w14:textId="77777777" w:rsidTr="00A82C74">
        <w:trPr>
          <w:trHeight w:val="196"/>
        </w:trPr>
        <w:tc>
          <w:tcPr>
            <w:tcW w:w="1554" w:type="dxa"/>
            <w:vMerge w:val="restart"/>
          </w:tcPr>
          <w:p w14:paraId="2999C92C" w14:textId="77777777" w:rsidR="005A0C8B" w:rsidRDefault="005A0C8B" w:rsidP="00F93039">
            <w:pPr>
              <w:spacing w:before="120" w:after="120"/>
            </w:pPr>
            <w:r>
              <w:t>China</w:t>
            </w:r>
          </w:p>
        </w:tc>
        <w:tc>
          <w:tcPr>
            <w:tcW w:w="1135" w:type="dxa"/>
            <w:vMerge w:val="restart"/>
          </w:tcPr>
          <w:p w14:paraId="0BC7696A" w14:textId="77777777" w:rsidR="005A0C8B" w:rsidRDefault="005A0C8B" w:rsidP="00F93039">
            <w:pPr>
              <w:spacing w:before="120" w:after="120"/>
            </w:pPr>
            <w:r>
              <w:t>A5</w:t>
            </w:r>
          </w:p>
        </w:tc>
        <w:tc>
          <w:tcPr>
            <w:tcW w:w="8079" w:type="dxa"/>
          </w:tcPr>
          <w:p w14:paraId="7C23C578" w14:textId="77777777" w:rsidR="005A0C8B" w:rsidRDefault="005A0C8B" w:rsidP="00F93039">
            <w:pPr>
              <w:spacing w:before="120" w:after="120"/>
            </w:pPr>
            <w:r>
              <w:t>Nitrogen Plasma Arc</w:t>
            </w:r>
          </w:p>
        </w:tc>
        <w:tc>
          <w:tcPr>
            <w:tcW w:w="1843" w:type="dxa"/>
            <w:vAlign w:val="center"/>
          </w:tcPr>
          <w:p w14:paraId="6B745193" w14:textId="36069708" w:rsidR="005A0C8B" w:rsidRDefault="00293F93" w:rsidP="00F93039">
            <w:pPr>
              <w:spacing w:before="120" w:after="120"/>
              <w:jc w:val="center"/>
            </w:pPr>
            <w:r>
              <w:sym w:font="Wingdings 2" w:char="F050"/>
            </w:r>
          </w:p>
        </w:tc>
        <w:tc>
          <w:tcPr>
            <w:tcW w:w="1843" w:type="dxa"/>
            <w:vAlign w:val="center"/>
          </w:tcPr>
          <w:p w14:paraId="686A5EA6" w14:textId="35DCEA98" w:rsidR="005A0C8B" w:rsidRDefault="005A0C8B" w:rsidP="00F93039">
            <w:pPr>
              <w:spacing w:before="120" w:after="120"/>
              <w:jc w:val="center"/>
            </w:pPr>
          </w:p>
        </w:tc>
      </w:tr>
      <w:tr w:rsidR="005A0C8B" w14:paraId="0D48CE36" w14:textId="77777777" w:rsidTr="00A82C74">
        <w:trPr>
          <w:trHeight w:val="195"/>
        </w:trPr>
        <w:tc>
          <w:tcPr>
            <w:tcW w:w="1554" w:type="dxa"/>
            <w:vMerge/>
          </w:tcPr>
          <w:p w14:paraId="3994175A" w14:textId="77777777" w:rsidR="005A0C8B" w:rsidRDefault="005A0C8B" w:rsidP="00F93039">
            <w:pPr>
              <w:spacing w:before="120" w:after="120"/>
            </w:pPr>
          </w:p>
        </w:tc>
        <w:tc>
          <w:tcPr>
            <w:tcW w:w="1135" w:type="dxa"/>
            <w:vMerge/>
          </w:tcPr>
          <w:p w14:paraId="0150A301" w14:textId="77777777" w:rsidR="005A0C8B" w:rsidRDefault="005A0C8B" w:rsidP="00F93039">
            <w:pPr>
              <w:spacing w:before="120" w:after="120"/>
            </w:pPr>
          </w:p>
        </w:tc>
        <w:tc>
          <w:tcPr>
            <w:tcW w:w="8079" w:type="dxa"/>
          </w:tcPr>
          <w:p w14:paraId="0D89FF89" w14:textId="271830C1" w:rsidR="005A0C8B" w:rsidRPr="00666324" w:rsidRDefault="005A0C8B" w:rsidP="00F93039">
            <w:pPr>
              <w:spacing w:before="120" w:after="120"/>
              <w:rPr>
                <w:highlight w:val="yellow"/>
              </w:rPr>
            </w:pPr>
            <w:r w:rsidRPr="00293F93">
              <w:rPr>
                <w:lang w:val="en-US"/>
              </w:rPr>
              <w:t>Superheated Steam Reactor</w:t>
            </w:r>
          </w:p>
        </w:tc>
        <w:tc>
          <w:tcPr>
            <w:tcW w:w="1843" w:type="dxa"/>
            <w:vAlign w:val="center"/>
          </w:tcPr>
          <w:p w14:paraId="2789FF71" w14:textId="77209724" w:rsidR="005A0C8B" w:rsidRPr="00666324" w:rsidRDefault="00293F93" w:rsidP="00F93039">
            <w:pPr>
              <w:spacing w:before="120" w:after="120"/>
              <w:jc w:val="center"/>
              <w:rPr>
                <w:highlight w:val="yellow"/>
              </w:rPr>
            </w:pPr>
            <w:r>
              <w:sym w:font="Wingdings 2" w:char="F050"/>
            </w:r>
          </w:p>
        </w:tc>
        <w:tc>
          <w:tcPr>
            <w:tcW w:w="1843" w:type="dxa"/>
            <w:vAlign w:val="center"/>
          </w:tcPr>
          <w:p w14:paraId="7419651C" w14:textId="38533CAF" w:rsidR="005A0C8B" w:rsidRPr="00666324" w:rsidRDefault="005A0C8B" w:rsidP="00F93039">
            <w:pPr>
              <w:spacing w:before="120" w:after="120"/>
              <w:jc w:val="center"/>
              <w:rPr>
                <w:highlight w:val="yellow"/>
              </w:rPr>
            </w:pPr>
          </w:p>
        </w:tc>
      </w:tr>
      <w:tr w:rsidR="005A0C8B" w14:paraId="22E841BD" w14:textId="77777777" w:rsidTr="00A82C74">
        <w:trPr>
          <w:trHeight w:val="92"/>
        </w:trPr>
        <w:tc>
          <w:tcPr>
            <w:tcW w:w="1554" w:type="dxa"/>
            <w:vMerge w:val="restart"/>
          </w:tcPr>
          <w:p w14:paraId="3D1BA032" w14:textId="5A723848" w:rsidR="005A0C8B" w:rsidRDefault="005A0C8B" w:rsidP="00F93039">
            <w:pPr>
              <w:spacing w:before="120" w:after="120"/>
            </w:pPr>
            <w:r>
              <w:t>E</w:t>
            </w:r>
            <w:r w:rsidR="00663CDF">
              <w:t xml:space="preserve">uropean </w:t>
            </w:r>
            <w:r>
              <w:t>U</w:t>
            </w:r>
            <w:r w:rsidR="00663CDF">
              <w:t>nion</w:t>
            </w:r>
            <w:r>
              <w:rPr>
                <w:rStyle w:val="FootnoteReference"/>
              </w:rPr>
              <w:footnoteReference w:id="66"/>
            </w:r>
          </w:p>
        </w:tc>
        <w:tc>
          <w:tcPr>
            <w:tcW w:w="1135" w:type="dxa"/>
            <w:vMerge w:val="restart"/>
          </w:tcPr>
          <w:p w14:paraId="67DD68F1" w14:textId="77777777" w:rsidR="005A0C8B" w:rsidRDefault="005A0C8B" w:rsidP="00F93039">
            <w:pPr>
              <w:spacing w:before="120" w:after="120"/>
            </w:pPr>
            <w:r>
              <w:t>Non-A5</w:t>
            </w:r>
          </w:p>
        </w:tc>
        <w:tc>
          <w:tcPr>
            <w:tcW w:w="8079" w:type="dxa"/>
          </w:tcPr>
          <w:p w14:paraId="340FCA08" w14:textId="11B41754" w:rsidR="005A0C8B" w:rsidRPr="008D5CB1" w:rsidRDefault="005A0C8B" w:rsidP="00F93039">
            <w:pPr>
              <w:spacing w:before="120" w:after="120"/>
              <w:rPr>
                <w:lang w:val="en-AU"/>
              </w:rPr>
            </w:pPr>
            <w:r>
              <w:t>Incineration Technologies (</w:t>
            </w:r>
            <w:r w:rsidRPr="008D5CB1">
              <w:rPr>
                <w:lang w:val="en-AU"/>
              </w:rPr>
              <w:t xml:space="preserve">Cement kilns, Gaseous/ Fume oxidation, Liquid injection incineration, </w:t>
            </w:r>
            <w:r w:rsidR="009A5BDD" w:rsidRPr="009A5BDD">
              <w:rPr>
                <w:lang w:val="en-AU"/>
              </w:rPr>
              <w:t>Porous Thermal Reactor</w:t>
            </w:r>
            <w:r w:rsidR="009A5BDD">
              <w:rPr>
                <w:lang w:val="en-AU"/>
              </w:rPr>
              <w:t xml:space="preserve">, </w:t>
            </w:r>
            <w:r w:rsidRPr="008D5CB1">
              <w:rPr>
                <w:lang w:val="en-AU"/>
              </w:rPr>
              <w:t xml:space="preserve">Reactor cracking, Rotary kiln incineration) </w:t>
            </w:r>
          </w:p>
        </w:tc>
        <w:tc>
          <w:tcPr>
            <w:tcW w:w="1843" w:type="dxa"/>
            <w:vAlign w:val="center"/>
          </w:tcPr>
          <w:p w14:paraId="412962DD" w14:textId="6C4BE21C" w:rsidR="005A0C8B" w:rsidRDefault="00293F93" w:rsidP="00F93039">
            <w:pPr>
              <w:spacing w:before="120" w:after="120"/>
              <w:jc w:val="center"/>
            </w:pPr>
            <w:r>
              <w:sym w:font="Wingdings 2" w:char="F050"/>
            </w:r>
          </w:p>
        </w:tc>
        <w:tc>
          <w:tcPr>
            <w:tcW w:w="1843" w:type="dxa"/>
            <w:vAlign w:val="center"/>
          </w:tcPr>
          <w:p w14:paraId="6BC29558" w14:textId="362E3286" w:rsidR="005A0C8B" w:rsidRDefault="005A0C8B" w:rsidP="00F93039">
            <w:pPr>
              <w:spacing w:before="120" w:after="120"/>
              <w:jc w:val="center"/>
            </w:pPr>
          </w:p>
        </w:tc>
      </w:tr>
      <w:tr w:rsidR="005A0C8B" w14:paraId="5988B5EE" w14:textId="77777777" w:rsidTr="00A82C74">
        <w:trPr>
          <w:trHeight w:val="88"/>
        </w:trPr>
        <w:tc>
          <w:tcPr>
            <w:tcW w:w="1554" w:type="dxa"/>
            <w:vMerge/>
          </w:tcPr>
          <w:p w14:paraId="432EB15F" w14:textId="77777777" w:rsidR="005A0C8B" w:rsidRDefault="005A0C8B" w:rsidP="00F93039">
            <w:pPr>
              <w:spacing w:before="120" w:after="120"/>
            </w:pPr>
          </w:p>
        </w:tc>
        <w:tc>
          <w:tcPr>
            <w:tcW w:w="1135" w:type="dxa"/>
            <w:vMerge/>
          </w:tcPr>
          <w:p w14:paraId="71576ED0" w14:textId="77777777" w:rsidR="005A0C8B" w:rsidRDefault="005A0C8B" w:rsidP="00F93039">
            <w:pPr>
              <w:spacing w:before="120" w:after="120"/>
            </w:pPr>
          </w:p>
        </w:tc>
        <w:tc>
          <w:tcPr>
            <w:tcW w:w="8079" w:type="dxa"/>
          </w:tcPr>
          <w:p w14:paraId="42431195" w14:textId="77777777" w:rsidR="005A0C8B" w:rsidRPr="008D5CB1" w:rsidRDefault="005A0C8B" w:rsidP="00F93039">
            <w:pPr>
              <w:spacing w:before="120" w:after="120"/>
              <w:rPr>
                <w:lang w:val="en-AU"/>
              </w:rPr>
            </w:pPr>
            <w:r>
              <w:rPr>
                <w:lang w:val="en-AU"/>
              </w:rPr>
              <w:t>I</w:t>
            </w:r>
            <w:r w:rsidRPr="008D5CB1">
              <w:rPr>
                <w:lang w:val="en-AU"/>
              </w:rPr>
              <w:t>ncineration and co-incineration (furnaces dedicated to manufacturing</w:t>
            </w:r>
            <w:r>
              <w:rPr>
                <w:lang w:val="en-AU"/>
              </w:rPr>
              <w:t>, e.g.</w:t>
            </w:r>
            <w:r w:rsidRPr="008D5CB1">
              <w:rPr>
                <w:lang w:val="en-AU"/>
              </w:rPr>
              <w:t xml:space="preserve"> lime calcination</w:t>
            </w:r>
            <w:r>
              <w:rPr>
                <w:lang w:val="en-AU"/>
              </w:rPr>
              <w:t xml:space="preserve"> furnace, electric furnace</w:t>
            </w:r>
            <w:r w:rsidRPr="008D5CB1">
              <w:rPr>
                <w:lang w:val="en-AU"/>
              </w:rPr>
              <w:t xml:space="preserve">) technologies </w:t>
            </w:r>
            <w:r>
              <w:rPr>
                <w:lang w:val="en-AU"/>
              </w:rPr>
              <w:t>meeting</w:t>
            </w:r>
            <w:r w:rsidRPr="008D5CB1">
              <w:rPr>
                <w:lang w:val="en-AU"/>
              </w:rPr>
              <w:t xml:space="preserve"> the following conditions</w:t>
            </w:r>
            <w:r>
              <w:rPr>
                <w:lang w:val="en-AU"/>
              </w:rPr>
              <w:t>:</w:t>
            </w:r>
            <w:r w:rsidRPr="008D5CB1">
              <w:rPr>
                <w:lang w:val="en-AU"/>
              </w:rPr>
              <w:t xml:space="preserve"> </w:t>
            </w:r>
          </w:p>
          <w:p w14:paraId="220649E3" w14:textId="3A894B40" w:rsidR="005A0C8B" w:rsidRPr="008D5CB1" w:rsidRDefault="005A0C8B" w:rsidP="00F93039">
            <w:pPr>
              <w:pStyle w:val="ListParagraph"/>
              <w:numPr>
                <w:ilvl w:val="0"/>
                <w:numId w:val="50"/>
              </w:numPr>
              <w:spacing w:before="120" w:line="240" w:lineRule="auto"/>
            </w:pPr>
            <w:r w:rsidRPr="008D5CB1">
              <w:t>the temperatures in the oxidation chamber are equal or above 1200</w:t>
            </w:r>
            <w:r w:rsidR="00441815">
              <w:rPr>
                <w:rFonts w:cs="Times New Roman"/>
              </w:rPr>
              <w:t>º</w:t>
            </w:r>
            <w:r w:rsidRPr="008D5CB1">
              <w:t xml:space="preserve">C and the retention time of HFC is at least two seconds; </w:t>
            </w:r>
          </w:p>
          <w:p w14:paraId="664D4B40" w14:textId="40189EB5" w:rsidR="005A0C8B" w:rsidRPr="00587AAA" w:rsidRDefault="005A0C8B" w:rsidP="00F93039">
            <w:pPr>
              <w:pStyle w:val="ListParagraph"/>
              <w:numPr>
                <w:ilvl w:val="0"/>
                <w:numId w:val="50"/>
              </w:numPr>
              <w:spacing w:before="120" w:line="240" w:lineRule="auto"/>
            </w:pPr>
            <w:r w:rsidRPr="008D5CB1">
              <w:t xml:space="preserve">the criteria of the destruction established by the Task force on </w:t>
            </w:r>
            <w:r w:rsidR="00B66966">
              <w:t>destruction technologies in May</w:t>
            </w:r>
            <w:r w:rsidRPr="008D5CB1">
              <w:t xml:space="preserve"> 2002</w:t>
            </w:r>
            <w:r w:rsidR="00441815">
              <w:t>.</w:t>
            </w:r>
            <w:r w:rsidRPr="008D5CB1">
              <w:t xml:space="preserve"> </w:t>
            </w:r>
          </w:p>
        </w:tc>
        <w:tc>
          <w:tcPr>
            <w:tcW w:w="1843" w:type="dxa"/>
            <w:vAlign w:val="center"/>
          </w:tcPr>
          <w:p w14:paraId="21CF5437" w14:textId="25551D51" w:rsidR="005A0C8B" w:rsidRDefault="005A0C8B" w:rsidP="00F93039">
            <w:pPr>
              <w:spacing w:before="120" w:after="120"/>
              <w:jc w:val="center"/>
            </w:pPr>
          </w:p>
        </w:tc>
        <w:tc>
          <w:tcPr>
            <w:tcW w:w="1843" w:type="dxa"/>
            <w:vAlign w:val="center"/>
          </w:tcPr>
          <w:p w14:paraId="29DE8B0A" w14:textId="50B1AB2D" w:rsidR="005A0C8B" w:rsidRDefault="00293F93" w:rsidP="00F93039">
            <w:pPr>
              <w:spacing w:before="120" w:after="120"/>
              <w:jc w:val="center"/>
            </w:pPr>
            <w:r>
              <w:sym w:font="Wingdings 2" w:char="F050"/>
            </w:r>
          </w:p>
        </w:tc>
      </w:tr>
      <w:tr w:rsidR="005A0C8B" w14:paraId="628EF0B9" w14:textId="77777777" w:rsidTr="00A82C74">
        <w:trPr>
          <w:trHeight w:val="88"/>
        </w:trPr>
        <w:tc>
          <w:tcPr>
            <w:tcW w:w="1554" w:type="dxa"/>
            <w:vMerge/>
          </w:tcPr>
          <w:p w14:paraId="6CB8473F" w14:textId="77777777" w:rsidR="005A0C8B" w:rsidRDefault="005A0C8B" w:rsidP="00F93039">
            <w:pPr>
              <w:spacing w:before="120" w:after="120"/>
            </w:pPr>
          </w:p>
        </w:tc>
        <w:tc>
          <w:tcPr>
            <w:tcW w:w="1135" w:type="dxa"/>
            <w:vMerge/>
          </w:tcPr>
          <w:p w14:paraId="74922947" w14:textId="77777777" w:rsidR="005A0C8B" w:rsidRDefault="005A0C8B" w:rsidP="00F93039">
            <w:pPr>
              <w:spacing w:before="120" w:after="120"/>
            </w:pPr>
          </w:p>
        </w:tc>
        <w:tc>
          <w:tcPr>
            <w:tcW w:w="8079" w:type="dxa"/>
          </w:tcPr>
          <w:p w14:paraId="2646907D" w14:textId="77777777" w:rsidR="005A0C8B" w:rsidRPr="008D5CB1" w:rsidRDefault="005A0C8B" w:rsidP="00F93039">
            <w:pPr>
              <w:spacing w:before="120" w:after="120"/>
              <w:rPr>
                <w:lang w:val="en-AU"/>
              </w:rPr>
            </w:pPr>
            <w:r>
              <w:t xml:space="preserve">Plasma Technologies </w:t>
            </w:r>
            <w:r>
              <w:rPr>
                <w:lang w:val="en-AU"/>
              </w:rPr>
              <w:t>(Argon Plasma Arc, Inductively Coupled Radio Frequency P</w:t>
            </w:r>
            <w:r w:rsidRPr="008D5CB1">
              <w:rPr>
                <w:lang w:val="en-AU"/>
              </w:rPr>
              <w:t xml:space="preserve">lasma, Microwave </w:t>
            </w:r>
            <w:r>
              <w:rPr>
                <w:lang w:val="en-AU"/>
              </w:rPr>
              <w:t>P</w:t>
            </w:r>
            <w:r w:rsidRPr="008D5CB1">
              <w:rPr>
                <w:lang w:val="en-AU"/>
              </w:rPr>
              <w:t xml:space="preserve">lasma, Nitrogen </w:t>
            </w:r>
            <w:r>
              <w:rPr>
                <w:lang w:val="en-AU"/>
              </w:rPr>
              <w:t>P</w:t>
            </w:r>
            <w:r w:rsidRPr="008D5CB1">
              <w:rPr>
                <w:lang w:val="en-AU"/>
              </w:rPr>
              <w:t xml:space="preserve">lasma </w:t>
            </w:r>
            <w:r>
              <w:rPr>
                <w:lang w:val="en-AU"/>
              </w:rPr>
              <w:t>A</w:t>
            </w:r>
            <w:r w:rsidRPr="008D5CB1">
              <w:rPr>
                <w:lang w:val="en-AU"/>
              </w:rPr>
              <w:t xml:space="preserve">rc, Portable </w:t>
            </w:r>
            <w:r>
              <w:rPr>
                <w:lang w:val="en-AU"/>
              </w:rPr>
              <w:t>P</w:t>
            </w:r>
            <w:r w:rsidRPr="008D5CB1">
              <w:rPr>
                <w:lang w:val="en-AU"/>
              </w:rPr>
              <w:t xml:space="preserve">lasma </w:t>
            </w:r>
            <w:r>
              <w:rPr>
                <w:lang w:val="en-AU"/>
              </w:rPr>
              <w:t>A</w:t>
            </w:r>
            <w:r w:rsidRPr="008D5CB1">
              <w:rPr>
                <w:lang w:val="en-AU"/>
              </w:rPr>
              <w:t>rc)</w:t>
            </w:r>
          </w:p>
        </w:tc>
        <w:tc>
          <w:tcPr>
            <w:tcW w:w="1843" w:type="dxa"/>
            <w:vAlign w:val="center"/>
          </w:tcPr>
          <w:p w14:paraId="3B1F9D07" w14:textId="4B00ADE5" w:rsidR="005A0C8B" w:rsidRDefault="00293F93" w:rsidP="00F93039">
            <w:pPr>
              <w:spacing w:before="120" w:after="120"/>
              <w:jc w:val="center"/>
            </w:pPr>
            <w:r>
              <w:sym w:font="Wingdings 2" w:char="F050"/>
            </w:r>
          </w:p>
        </w:tc>
        <w:tc>
          <w:tcPr>
            <w:tcW w:w="1843" w:type="dxa"/>
            <w:vAlign w:val="center"/>
          </w:tcPr>
          <w:p w14:paraId="46D7DEE6" w14:textId="741C0E25" w:rsidR="005A0C8B" w:rsidRDefault="005A0C8B" w:rsidP="00F93039">
            <w:pPr>
              <w:spacing w:before="120" w:after="120"/>
              <w:jc w:val="center"/>
            </w:pPr>
          </w:p>
        </w:tc>
      </w:tr>
      <w:tr w:rsidR="00293F93" w14:paraId="46A23FA1" w14:textId="77777777" w:rsidTr="00A82C74">
        <w:trPr>
          <w:trHeight w:val="88"/>
        </w:trPr>
        <w:tc>
          <w:tcPr>
            <w:tcW w:w="1554" w:type="dxa"/>
            <w:vMerge/>
          </w:tcPr>
          <w:p w14:paraId="20B5DAE0" w14:textId="77777777" w:rsidR="00293F93" w:rsidRDefault="00293F93" w:rsidP="00F93039">
            <w:pPr>
              <w:spacing w:before="120" w:after="120"/>
            </w:pPr>
          </w:p>
        </w:tc>
        <w:tc>
          <w:tcPr>
            <w:tcW w:w="1135" w:type="dxa"/>
            <w:vMerge/>
          </w:tcPr>
          <w:p w14:paraId="7B9A8BE7" w14:textId="77777777" w:rsidR="00293F93" w:rsidRDefault="00293F93" w:rsidP="00F93039">
            <w:pPr>
              <w:spacing w:before="120" w:after="120"/>
            </w:pPr>
          </w:p>
        </w:tc>
        <w:tc>
          <w:tcPr>
            <w:tcW w:w="8079" w:type="dxa"/>
          </w:tcPr>
          <w:p w14:paraId="72F61686" w14:textId="77777777" w:rsidR="00293F93" w:rsidRPr="008D5CB1" w:rsidRDefault="00293F93" w:rsidP="00F93039">
            <w:pPr>
              <w:spacing w:before="120" w:after="120"/>
              <w:rPr>
                <w:lang w:val="en-AU"/>
              </w:rPr>
            </w:pPr>
            <w:r>
              <w:rPr>
                <w:lang w:val="en-AU"/>
              </w:rPr>
              <w:t>AC plasma (Alternating Current P</w:t>
            </w:r>
            <w:r w:rsidRPr="00E3400C">
              <w:rPr>
                <w:lang w:val="en-AU"/>
              </w:rPr>
              <w:t>lasma)</w:t>
            </w:r>
          </w:p>
        </w:tc>
        <w:tc>
          <w:tcPr>
            <w:tcW w:w="1843" w:type="dxa"/>
            <w:vAlign w:val="center"/>
          </w:tcPr>
          <w:p w14:paraId="3980C6C8" w14:textId="7357871E" w:rsidR="00293F93" w:rsidRDefault="00293F93" w:rsidP="00F93039">
            <w:pPr>
              <w:spacing w:before="120" w:after="120"/>
              <w:jc w:val="center"/>
            </w:pPr>
          </w:p>
        </w:tc>
        <w:tc>
          <w:tcPr>
            <w:tcW w:w="1843" w:type="dxa"/>
            <w:vAlign w:val="center"/>
          </w:tcPr>
          <w:p w14:paraId="1C56BD20" w14:textId="6DB8BB13" w:rsidR="00293F93" w:rsidRDefault="00293F93" w:rsidP="00F93039">
            <w:pPr>
              <w:spacing w:before="120" w:after="120"/>
              <w:jc w:val="center"/>
            </w:pPr>
            <w:r w:rsidRPr="00134599">
              <w:sym w:font="Wingdings 2" w:char="F050"/>
            </w:r>
          </w:p>
        </w:tc>
      </w:tr>
      <w:tr w:rsidR="00293F93" w14:paraId="77D79764" w14:textId="77777777" w:rsidTr="00A82C74">
        <w:trPr>
          <w:trHeight w:val="88"/>
        </w:trPr>
        <w:tc>
          <w:tcPr>
            <w:tcW w:w="1554" w:type="dxa"/>
            <w:vMerge/>
          </w:tcPr>
          <w:p w14:paraId="596FD682" w14:textId="77777777" w:rsidR="00293F93" w:rsidRDefault="00293F93" w:rsidP="00F93039">
            <w:pPr>
              <w:spacing w:before="120" w:after="120"/>
            </w:pPr>
          </w:p>
        </w:tc>
        <w:tc>
          <w:tcPr>
            <w:tcW w:w="1135" w:type="dxa"/>
            <w:vMerge/>
          </w:tcPr>
          <w:p w14:paraId="32851CF5" w14:textId="77777777" w:rsidR="00293F93" w:rsidRDefault="00293F93" w:rsidP="00F93039">
            <w:pPr>
              <w:spacing w:before="120" w:after="120"/>
            </w:pPr>
          </w:p>
        </w:tc>
        <w:tc>
          <w:tcPr>
            <w:tcW w:w="8079" w:type="dxa"/>
          </w:tcPr>
          <w:p w14:paraId="37B4B3C7" w14:textId="77777777" w:rsidR="00293F93" w:rsidRDefault="00293F93" w:rsidP="00F93039">
            <w:pPr>
              <w:spacing w:before="120" w:after="120"/>
            </w:pPr>
            <w:r w:rsidRPr="00E3400C">
              <w:rPr>
                <w:lang w:val="en-AU"/>
              </w:rPr>
              <w:t>CO</w:t>
            </w:r>
            <w:r w:rsidRPr="00E3400C">
              <w:rPr>
                <w:vertAlign w:val="subscript"/>
                <w:lang w:val="en-AU"/>
              </w:rPr>
              <w:t>2</w:t>
            </w:r>
            <w:r w:rsidRPr="00E3400C">
              <w:rPr>
                <w:lang w:val="en-AU"/>
              </w:rPr>
              <w:t xml:space="preserve"> plasma arc </w:t>
            </w:r>
          </w:p>
        </w:tc>
        <w:tc>
          <w:tcPr>
            <w:tcW w:w="1843" w:type="dxa"/>
            <w:vAlign w:val="center"/>
          </w:tcPr>
          <w:p w14:paraId="00083DB4" w14:textId="62EDADE1" w:rsidR="00293F93" w:rsidRDefault="00293F93" w:rsidP="00F93039">
            <w:pPr>
              <w:spacing w:before="120" w:after="120"/>
              <w:jc w:val="center"/>
            </w:pPr>
          </w:p>
        </w:tc>
        <w:tc>
          <w:tcPr>
            <w:tcW w:w="1843" w:type="dxa"/>
            <w:vAlign w:val="center"/>
          </w:tcPr>
          <w:p w14:paraId="5733C348" w14:textId="533472D2" w:rsidR="00293F93" w:rsidRDefault="00293F93" w:rsidP="00F93039">
            <w:pPr>
              <w:spacing w:before="120" w:after="120"/>
              <w:jc w:val="center"/>
            </w:pPr>
            <w:r w:rsidRPr="00134599">
              <w:sym w:font="Wingdings 2" w:char="F050"/>
            </w:r>
          </w:p>
        </w:tc>
      </w:tr>
      <w:tr w:rsidR="005A0C8B" w14:paraId="6D6DD632" w14:textId="77777777" w:rsidTr="00A82C74">
        <w:trPr>
          <w:trHeight w:val="88"/>
        </w:trPr>
        <w:tc>
          <w:tcPr>
            <w:tcW w:w="1554" w:type="dxa"/>
            <w:vMerge/>
          </w:tcPr>
          <w:p w14:paraId="24D7D6EF" w14:textId="77777777" w:rsidR="005A0C8B" w:rsidRDefault="005A0C8B" w:rsidP="00F93039">
            <w:pPr>
              <w:spacing w:before="120" w:after="120"/>
            </w:pPr>
          </w:p>
        </w:tc>
        <w:tc>
          <w:tcPr>
            <w:tcW w:w="1135" w:type="dxa"/>
            <w:vMerge/>
          </w:tcPr>
          <w:p w14:paraId="075D4F31" w14:textId="77777777" w:rsidR="005A0C8B" w:rsidRDefault="005A0C8B" w:rsidP="00F93039">
            <w:pPr>
              <w:spacing w:before="120" w:after="120"/>
            </w:pPr>
          </w:p>
        </w:tc>
        <w:tc>
          <w:tcPr>
            <w:tcW w:w="8079" w:type="dxa"/>
          </w:tcPr>
          <w:p w14:paraId="21B3BF67" w14:textId="58DC2CEB" w:rsidR="005A0C8B" w:rsidRPr="008D5CB1" w:rsidRDefault="005A0C8B" w:rsidP="00F93039">
            <w:pPr>
              <w:spacing w:before="120" w:after="120"/>
              <w:rPr>
                <w:lang w:val="en-AU"/>
              </w:rPr>
            </w:pPr>
            <w:r>
              <w:rPr>
                <w:lang w:val="en-AU"/>
              </w:rPr>
              <w:t>N</w:t>
            </w:r>
            <w:r w:rsidRPr="008D5CB1">
              <w:rPr>
                <w:lang w:val="en-AU"/>
              </w:rPr>
              <w:t xml:space="preserve">on-incineration technologies </w:t>
            </w:r>
            <w:r>
              <w:rPr>
                <w:lang w:val="en-AU"/>
              </w:rPr>
              <w:t>(Chemical R</w:t>
            </w:r>
            <w:r w:rsidRPr="008D5CB1">
              <w:rPr>
                <w:lang w:val="en-AU"/>
              </w:rPr>
              <w:t>eaction with H</w:t>
            </w:r>
            <w:r w:rsidRPr="008D5CB1">
              <w:rPr>
                <w:vertAlign w:val="subscript"/>
                <w:lang w:val="en-AU"/>
              </w:rPr>
              <w:t>2</w:t>
            </w:r>
            <w:r w:rsidRPr="008D5CB1">
              <w:rPr>
                <w:lang w:val="en-AU"/>
              </w:rPr>
              <w:t xml:space="preserve"> and CO</w:t>
            </w:r>
            <w:r w:rsidRPr="008D5CB1">
              <w:rPr>
                <w:vertAlign w:val="subscript"/>
                <w:lang w:val="en-AU"/>
              </w:rPr>
              <w:t>2</w:t>
            </w:r>
            <w:r>
              <w:rPr>
                <w:lang w:val="en-AU"/>
              </w:rPr>
              <w:t>, Gas Phase Catalytic Dehalogenation, Superheated Steam Reactor, Thermal Reaction with M</w:t>
            </w:r>
            <w:r w:rsidRPr="008D5CB1">
              <w:rPr>
                <w:lang w:val="en-AU"/>
              </w:rPr>
              <w:t xml:space="preserve">ethane) </w:t>
            </w:r>
          </w:p>
        </w:tc>
        <w:tc>
          <w:tcPr>
            <w:tcW w:w="1843" w:type="dxa"/>
            <w:vAlign w:val="center"/>
          </w:tcPr>
          <w:p w14:paraId="4F8891FB" w14:textId="1E25B337" w:rsidR="005A0C8B" w:rsidRDefault="00293F93" w:rsidP="00F93039">
            <w:pPr>
              <w:spacing w:before="120" w:after="120"/>
              <w:jc w:val="center"/>
            </w:pPr>
            <w:r>
              <w:sym w:font="Wingdings 2" w:char="F050"/>
            </w:r>
          </w:p>
        </w:tc>
        <w:tc>
          <w:tcPr>
            <w:tcW w:w="1843" w:type="dxa"/>
            <w:vAlign w:val="center"/>
          </w:tcPr>
          <w:p w14:paraId="45551E07" w14:textId="2758FF0D" w:rsidR="005A0C8B" w:rsidRDefault="005A0C8B" w:rsidP="00F93039">
            <w:pPr>
              <w:spacing w:before="120" w:after="120"/>
              <w:jc w:val="center"/>
            </w:pPr>
          </w:p>
        </w:tc>
      </w:tr>
      <w:tr w:rsidR="005A0C8B" w14:paraId="38B6592B" w14:textId="77777777" w:rsidTr="00A82C74">
        <w:trPr>
          <w:trHeight w:val="84"/>
        </w:trPr>
        <w:tc>
          <w:tcPr>
            <w:tcW w:w="1554" w:type="dxa"/>
            <w:vMerge w:val="restart"/>
          </w:tcPr>
          <w:p w14:paraId="29BF2C55" w14:textId="77777777" w:rsidR="005A0C8B" w:rsidRDefault="005A0C8B" w:rsidP="00F93039">
            <w:pPr>
              <w:spacing w:before="120" w:after="120"/>
            </w:pPr>
            <w:r>
              <w:t>Japan</w:t>
            </w:r>
          </w:p>
        </w:tc>
        <w:tc>
          <w:tcPr>
            <w:tcW w:w="1135" w:type="dxa"/>
            <w:vMerge w:val="restart"/>
          </w:tcPr>
          <w:p w14:paraId="26148F93" w14:textId="77777777" w:rsidR="005A0C8B" w:rsidRDefault="005A0C8B" w:rsidP="00F93039">
            <w:pPr>
              <w:spacing w:before="120" w:after="120"/>
            </w:pPr>
            <w:r>
              <w:t>Non-A5</w:t>
            </w:r>
          </w:p>
        </w:tc>
        <w:tc>
          <w:tcPr>
            <w:tcW w:w="8079" w:type="dxa"/>
          </w:tcPr>
          <w:p w14:paraId="7DD4B3F2" w14:textId="33059EE5" w:rsidR="005A0C8B" w:rsidRPr="008D5CB1" w:rsidRDefault="005A0C8B" w:rsidP="00F93039">
            <w:pPr>
              <w:spacing w:before="120" w:after="120"/>
              <w:rPr>
                <w:lang w:val="en-AU"/>
              </w:rPr>
            </w:pPr>
            <w:r>
              <w:t>Liquid Injection Incineration</w:t>
            </w:r>
          </w:p>
        </w:tc>
        <w:tc>
          <w:tcPr>
            <w:tcW w:w="1843" w:type="dxa"/>
            <w:vAlign w:val="center"/>
          </w:tcPr>
          <w:p w14:paraId="2A56B0C1" w14:textId="1C3D66CC" w:rsidR="005A0C8B" w:rsidRDefault="00293F93" w:rsidP="00F93039">
            <w:pPr>
              <w:spacing w:before="120" w:after="120"/>
              <w:jc w:val="center"/>
            </w:pPr>
            <w:r>
              <w:sym w:font="Wingdings 2" w:char="F050"/>
            </w:r>
          </w:p>
        </w:tc>
        <w:tc>
          <w:tcPr>
            <w:tcW w:w="1843" w:type="dxa"/>
            <w:vAlign w:val="center"/>
          </w:tcPr>
          <w:p w14:paraId="5AC7A94A" w14:textId="7A9D681D" w:rsidR="005A0C8B" w:rsidRDefault="005A0C8B" w:rsidP="00F93039">
            <w:pPr>
              <w:spacing w:before="120" w:after="120"/>
              <w:jc w:val="center"/>
            </w:pPr>
          </w:p>
        </w:tc>
      </w:tr>
      <w:tr w:rsidR="005A0C8B" w14:paraId="3FAA5F0B" w14:textId="77777777" w:rsidTr="00A82C74">
        <w:trPr>
          <w:trHeight w:val="83"/>
        </w:trPr>
        <w:tc>
          <w:tcPr>
            <w:tcW w:w="1554" w:type="dxa"/>
            <w:vMerge/>
          </w:tcPr>
          <w:p w14:paraId="4687A5EE" w14:textId="77777777" w:rsidR="005A0C8B" w:rsidRDefault="005A0C8B" w:rsidP="00F93039">
            <w:pPr>
              <w:spacing w:before="120" w:after="120"/>
            </w:pPr>
          </w:p>
        </w:tc>
        <w:tc>
          <w:tcPr>
            <w:tcW w:w="1135" w:type="dxa"/>
            <w:vMerge/>
          </w:tcPr>
          <w:p w14:paraId="5CF57719" w14:textId="77777777" w:rsidR="005A0C8B" w:rsidRDefault="005A0C8B" w:rsidP="00F93039">
            <w:pPr>
              <w:spacing w:before="120" w:after="120"/>
            </w:pPr>
          </w:p>
        </w:tc>
        <w:tc>
          <w:tcPr>
            <w:tcW w:w="8079" w:type="dxa"/>
          </w:tcPr>
          <w:p w14:paraId="4FE6D98A" w14:textId="19A91C66" w:rsidR="005A0C8B" w:rsidRDefault="005A0C8B" w:rsidP="00F93039">
            <w:pPr>
              <w:spacing w:before="120" w:after="120"/>
            </w:pPr>
            <w:r>
              <w:t>Electric Heater</w:t>
            </w:r>
          </w:p>
        </w:tc>
        <w:tc>
          <w:tcPr>
            <w:tcW w:w="1843" w:type="dxa"/>
            <w:vAlign w:val="center"/>
          </w:tcPr>
          <w:p w14:paraId="043B32F9" w14:textId="03B00FBC" w:rsidR="005A0C8B" w:rsidRDefault="005A0C8B" w:rsidP="00F93039">
            <w:pPr>
              <w:spacing w:before="120" w:after="120"/>
              <w:jc w:val="center"/>
            </w:pPr>
          </w:p>
        </w:tc>
        <w:tc>
          <w:tcPr>
            <w:tcW w:w="1843" w:type="dxa"/>
            <w:vAlign w:val="center"/>
          </w:tcPr>
          <w:p w14:paraId="6E1F3E6A" w14:textId="145841B1" w:rsidR="005A0C8B" w:rsidRDefault="00293F93" w:rsidP="00F93039">
            <w:pPr>
              <w:spacing w:before="120" w:after="120"/>
              <w:jc w:val="center"/>
            </w:pPr>
            <w:r>
              <w:sym w:font="Wingdings 2" w:char="F050"/>
            </w:r>
          </w:p>
        </w:tc>
      </w:tr>
      <w:tr w:rsidR="005A0C8B" w14:paraId="4D7E4B90" w14:textId="77777777" w:rsidTr="00A82C74">
        <w:trPr>
          <w:trHeight w:val="483"/>
        </w:trPr>
        <w:tc>
          <w:tcPr>
            <w:tcW w:w="1554" w:type="dxa"/>
          </w:tcPr>
          <w:p w14:paraId="060D10A0" w14:textId="77777777" w:rsidR="005A0C8B" w:rsidRDefault="005A0C8B" w:rsidP="00F93039">
            <w:pPr>
              <w:spacing w:before="120" w:after="120"/>
            </w:pPr>
            <w:r>
              <w:t>Luxembourg</w:t>
            </w:r>
          </w:p>
        </w:tc>
        <w:tc>
          <w:tcPr>
            <w:tcW w:w="1135" w:type="dxa"/>
          </w:tcPr>
          <w:p w14:paraId="3E43859E" w14:textId="77777777" w:rsidR="005A0C8B" w:rsidRDefault="005A0C8B" w:rsidP="00F93039">
            <w:pPr>
              <w:spacing w:before="120" w:after="120"/>
            </w:pPr>
            <w:r>
              <w:t>Non-A5</w:t>
            </w:r>
          </w:p>
        </w:tc>
        <w:tc>
          <w:tcPr>
            <w:tcW w:w="8079" w:type="dxa"/>
          </w:tcPr>
          <w:p w14:paraId="3F69E0C8" w14:textId="77777777" w:rsidR="005A0C8B" w:rsidRDefault="005A0C8B" w:rsidP="00F93039">
            <w:pPr>
              <w:spacing w:before="120" w:after="120"/>
            </w:pPr>
            <w:r>
              <w:t>No destruction technology – for information</w:t>
            </w:r>
          </w:p>
        </w:tc>
        <w:tc>
          <w:tcPr>
            <w:tcW w:w="1843" w:type="dxa"/>
            <w:vAlign w:val="center"/>
          </w:tcPr>
          <w:p w14:paraId="6672854D" w14:textId="77777777" w:rsidR="005A0C8B" w:rsidRDefault="005A0C8B" w:rsidP="00F93039">
            <w:pPr>
              <w:spacing w:before="120" w:after="120"/>
              <w:jc w:val="center"/>
            </w:pPr>
            <w:r>
              <w:t>N.A.</w:t>
            </w:r>
          </w:p>
        </w:tc>
        <w:tc>
          <w:tcPr>
            <w:tcW w:w="1843" w:type="dxa"/>
            <w:vAlign w:val="center"/>
          </w:tcPr>
          <w:p w14:paraId="5270D3E8" w14:textId="77777777" w:rsidR="005A0C8B" w:rsidRDefault="005A0C8B" w:rsidP="00F93039">
            <w:pPr>
              <w:spacing w:before="120" w:after="120"/>
              <w:jc w:val="center"/>
            </w:pPr>
            <w:r>
              <w:t>N.A.</w:t>
            </w:r>
          </w:p>
        </w:tc>
      </w:tr>
      <w:tr w:rsidR="00293F93" w14:paraId="24A69876" w14:textId="77777777" w:rsidTr="00A82C74">
        <w:trPr>
          <w:trHeight w:val="167"/>
        </w:trPr>
        <w:tc>
          <w:tcPr>
            <w:tcW w:w="1554" w:type="dxa"/>
            <w:vMerge w:val="restart"/>
          </w:tcPr>
          <w:p w14:paraId="0125BCD1" w14:textId="77777777" w:rsidR="00293F93" w:rsidRDefault="00293F93" w:rsidP="00F93039">
            <w:pPr>
              <w:spacing w:before="120" w:after="120"/>
            </w:pPr>
            <w:r>
              <w:lastRenderedPageBreak/>
              <w:t>Mexico</w:t>
            </w:r>
          </w:p>
        </w:tc>
        <w:tc>
          <w:tcPr>
            <w:tcW w:w="1135" w:type="dxa"/>
            <w:vMerge w:val="restart"/>
          </w:tcPr>
          <w:p w14:paraId="1FC947D0" w14:textId="77777777" w:rsidR="00293F93" w:rsidRDefault="00293F93" w:rsidP="00F93039">
            <w:pPr>
              <w:spacing w:before="120" w:after="120"/>
            </w:pPr>
            <w:r>
              <w:t>A5</w:t>
            </w:r>
          </w:p>
        </w:tc>
        <w:tc>
          <w:tcPr>
            <w:tcW w:w="8079" w:type="dxa"/>
          </w:tcPr>
          <w:p w14:paraId="07D4BEA6" w14:textId="1A06F503" w:rsidR="00293F93" w:rsidRDefault="00293F93" w:rsidP="00F93039">
            <w:pPr>
              <w:spacing w:before="120" w:after="120"/>
            </w:pPr>
            <w:r>
              <w:t>Argon Plasma Arc</w:t>
            </w:r>
          </w:p>
        </w:tc>
        <w:tc>
          <w:tcPr>
            <w:tcW w:w="1843" w:type="dxa"/>
            <w:vAlign w:val="center"/>
          </w:tcPr>
          <w:p w14:paraId="042A6CCF" w14:textId="18DCE517" w:rsidR="00293F93" w:rsidRDefault="00293F93" w:rsidP="00F93039">
            <w:pPr>
              <w:spacing w:before="120" w:after="120"/>
              <w:jc w:val="center"/>
            </w:pPr>
            <w:r w:rsidRPr="0001099E">
              <w:sym w:font="Wingdings 2" w:char="F050"/>
            </w:r>
          </w:p>
        </w:tc>
        <w:tc>
          <w:tcPr>
            <w:tcW w:w="1843" w:type="dxa"/>
            <w:vAlign w:val="center"/>
          </w:tcPr>
          <w:p w14:paraId="6A9D03C5" w14:textId="6D4D6943" w:rsidR="00293F93" w:rsidRDefault="00293F93" w:rsidP="00F93039">
            <w:pPr>
              <w:spacing w:before="120" w:after="120"/>
              <w:jc w:val="center"/>
            </w:pPr>
          </w:p>
        </w:tc>
      </w:tr>
      <w:tr w:rsidR="00293F93" w14:paraId="4A328773" w14:textId="77777777" w:rsidTr="00A82C74">
        <w:trPr>
          <w:trHeight w:val="166"/>
        </w:trPr>
        <w:tc>
          <w:tcPr>
            <w:tcW w:w="1554" w:type="dxa"/>
            <w:vMerge/>
          </w:tcPr>
          <w:p w14:paraId="2633BAA4" w14:textId="77777777" w:rsidR="00293F93" w:rsidRDefault="00293F93" w:rsidP="00F93039">
            <w:pPr>
              <w:spacing w:before="120" w:after="120"/>
            </w:pPr>
          </w:p>
        </w:tc>
        <w:tc>
          <w:tcPr>
            <w:tcW w:w="1135" w:type="dxa"/>
            <w:vMerge/>
          </w:tcPr>
          <w:p w14:paraId="298BDBE7" w14:textId="77777777" w:rsidR="00293F93" w:rsidRDefault="00293F93" w:rsidP="00F93039">
            <w:pPr>
              <w:spacing w:before="120" w:after="120"/>
            </w:pPr>
          </w:p>
        </w:tc>
        <w:tc>
          <w:tcPr>
            <w:tcW w:w="8079" w:type="dxa"/>
          </w:tcPr>
          <w:p w14:paraId="757FFAD7" w14:textId="77777777" w:rsidR="00293F93" w:rsidRPr="00E3400C" w:rsidRDefault="00293F93" w:rsidP="00F93039">
            <w:pPr>
              <w:spacing w:before="120" w:after="120"/>
              <w:rPr>
                <w:lang w:val="en-AU"/>
              </w:rPr>
            </w:pPr>
            <w:r>
              <w:t>Cement Kiln</w:t>
            </w:r>
          </w:p>
        </w:tc>
        <w:tc>
          <w:tcPr>
            <w:tcW w:w="1843" w:type="dxa"/>
            <w:vAlign w:val="center"/>
          </w:tcPr>
          <w:p w14:paraId="735950A7" w14:textId="4DCC1B3C" w:rsidR="00293F93" w:rsidRDefault="00293F93" w:rsidP="00F93039">
            <w:pPr>
              <w:spacing w:before="120" w:after="120"/>
              <w:jc w:val="center"/>
            </w:pPr>
            <w:r w:rsidRPr="0001099E">
              <w:sym w:font="Wingdings 2" w:char="F050"/>
            </w:r>
          </w:p>
        </w:tc>
        <w:tc>
          <w:tcPr>
            <w:tcW w:w="1843" w:type="dxa"/>
            <w:vAlign w:val="center"/>
          </w:tcPr>
          <w:p w14:paraId="4477FD05" w14:textId="2A3DBC38" w:rsidR="00293F93" w:rsidRDefault="00293F93" w:rsidP="00F93039">
            <w:pPr>
              <w:spacing w:before="120" w:after="120"/>
              <w:jc w:val="center"/>
            </w:pPr>
          </w:p>
        </w:tc>
      </w:tr>
      <w:tr w:rsidR="00293F93" w14:paraId="0651F845" w14:textId="77777777" w:rsidTr="00A82C74">
        <w:trPr>
          <w:trHeight w:val="210"/>
        </w:trPr>
        <w:tc>
          <w:tcPr>
            <w:tcW w:w="1554" w:type="dxa"/>
            <w:vMerge w:val="restart"/>
          </w:tcPr>
          <w:p w14:paraId="0F83306E" w14:textId="6E0A18BF" w:rsidR="00293F93" w:rsidRDefault="00293F93" w:rsidP="00F93039">
            <w:pPr>
              <w:spacing w:before="120" w:after="120"/>
            </w:pPr>
            <w:r>
              <w:t>United States</w:t>
            </w:r>
            <w:r w:rsidR="006A65C8">
              <w:rPr>
                <w:rStyle w:val="FootnoteReference"/>
              </w:rPr>
              <w:footnoteReference w:id="67"/>
            </w:r>
          </w:p>
        </w:tc>
        <w:tc>
          <w:tcPr>
            <w:tcW w:w="1135" w:type="dxa"/>
            <w:vMerge w:val="restart"/>
          </w:tcPr>
          <w:p w14:paraId="36E5A3C9" w14:textId="77777777" w:rsidR="00293F93" w:rsidRDefault="00293F93" w:rsidP="00F93039">
            <w:pPr>
              <w:spacing w:before="120" w:after="120"/>
            </w:pPr>
            <w:r>
              <w:t>Non-A5</w:t>
            </w:r>
          </w:p>
        </w:tc>
        <w:tc>
          <w:tcPr>
            <w:tcW w:w="8079" w:type="dxa"/>
          </w:tcPr>
          <w:p w14:paraId="22C915DC" w14:textId="77777777" w:rsidR="00293F93" w:rsidRPr="00E3400C" w:rsidRDefault="00293F93" w:rsidP="00F93039">
            <w:pPr>
              <w:spacing w:before="120" w:after="120"/>
              <w:rPr>
                <w:lang w:val="en-AU"/>
              </w:rPr>
            </w:pPr>
            <w:r w:rsidRPr="00796A8C">
              <w:t>Incineration Technologies (</w:t>
            </w:r>
            <w:r>
              <w:rPr>
                <w:lang w:val="en-AU"/>
              </w:rPr>
              <w:t>Cement kilns, Gaseous/</w:t>
            </w:r>
            <w:r w:rsidRPr="00796A8C">
              <w:rPr>
                <w:lang w:val="en-AU"/>
              </w:rPr>
              <w:t xml:space="preserve">Fume oxidation, Liquid injection incineration, </w:t>
            </w:r>
            <w:r w:rsidRPr="00D9429B">
              <w:rPr>
                <w:bCs/>
                <w:lang w:val="en-AU"/>
              </w:rPr>
              <w:t>Mun</w:t>
            </w:r>
            <w:r>
              <w:rPr>
                <w:bCs/>
                <w:lang w:val="en-AU"/>
              </w:rPr>
              <w:t xml:space="preserve">icipal Solid Waste Incineration, </w:t>
            </w:r>
            <w:r>
              <w:rPr>
                <w:lang w:val="en-AU"/>
              </w:rPr>
              <w:t xml:space="preserve">Porous Thermal Reactor, </w:t>
            </w:r>
            <w:r w:rsidRPr="00796A8C">
              <w:rPr>
                <w:lang w:val="en-AU"/>
              </w:rPr>
              <w:t>Reactor cracking, Rotary kiln incineration)</w:t>
            </w:r>
          </w:p>
        </w:tc>
        <w:tc>
          <w:tcPr>
            <w:tcW w:w="1843" w:type="dxa"/>
            <w:vAlign w:val="center"/>
          </w:tcPr>
          <w:p w14:paraId="35D3048D" w14:textId="1D6A67A5" w:rsidR="00293F93" w:rsidRDefault="00293F93" w:rsidP="00F93039">
            <w:pPr>
              <w:spacing w:before="120" w:after="120"/>
              <w:jc w:val="center"/>
            </w:pPr>
            <w:r w:rsidRPr="0001099E">
              <w:sym w:font="Wingdings 2" w:char="F050"/>
            </w:r>
          </w:p>
        </w:tc>
        <w:tc>
          <w:tcPr>
            <w:tcW w:w="1843" w:type="dxa"/>
            <w:vAlign w:val="center"/>
          </w:tcPr>
          <w:p w14:paraId="7B625489" w14:textId="05C40F2F" w:rsidR="00293F93" w:rsidRDefault="00293F93" w:rsidP="00F93039">
            <w:pPr>
              <w:spacing w:before="120" w:after="120"/>
              <w:jc w:val="center"/>
            </w:pPr>
          </w:p>
        </w:tc>
      </w:tr>
      <w:tr w:rsidR="005A0C8B" w14:paraId="70C25934" w14:textId="77777777" w:rsidTr="00A82C74">
        <w:trPr>
          <w:trHeight w:val="210"/>
        </w:trPr>
        <w:tc>
          <w:tcPr>
            <w:tcW w:w="1554" w:type="dxa"/>
            <w:vMerge/>
          </w:tcPr>
          <w:p w14:paraId="11AE2325" w14:textId="77777777" w:rsidR="005A0C8B" w:rsidRDefault="005A0C8B" w:rsidP="00F93039">
            <w:pPr>
              <w:spacing w:before="120" w:after="120"/>
            </w:pPr>
          </w:p>
        </w:tc>
        <w:tc>
          <w:tcPr>
            <w:tcW w:w="1135" w:type="dxa"/>
            <w:vMerge/>
          </w:tcPr>
          <w:p w14:paraId="6086FF22" w14:textId="77777777" w:rsidR="005A0C8B" w:rsidRDefault="005A0C8B" w:rsidP="00F93039">
            <w:pPr>
              <w:spacing w:before="120" w:after="120"/>
            </w:pPr>
          </w:p>
        </w:tc>
        <w:tc>
          <w:tcPr>
            <w:tcW w:w="8079" w:type="dxa"/>
          </w:tcPr>
          <w:p w14:paraId="35F69A23" w14:textId="77777777" w:rsidR="005A0C8B" w:rsidRPr="00E3400C" w:rsidRDefault="005A0C8B" w:rsidP="00F93039">
            <w:pPr>
              <w:spacing w:before="120" w:after="120"/>
              <w:rPr>
                <w:lang w:val="en-AU"/>
              </w:rPr>
            </w:pPr>
            <w:r w:rsidRPr="00D9429B">
              <w:rPr>
                <w:bCs/>
                <w:lang w:val="en-AU"/>
              </w:rPr>
              <w:t xml:space="preserve">Fixed Hearth Incinerator </w:t>
            </w:r>
          </w:p>
        </w:tc>
        <w:tc>
          <w:tcPr>
            <w:tcW w:w="1843" w:type="dxa"/>
            <w:vAlign w:val="center"/>
          </w:tcPr>
          <w:p w14:paraId="734B2A21" w14:textId="4D87390B" w:rsidR="005A0C8B" w:rsidRDefault="005A0C8B" w:rsidP="00F93039">
            <w:pPr>
              <w:spacing w:before="120" w:after="120"/>
              <w:jc w:val="center"/>
            </w:pPr>
          </w:p>
        </w:tc>
        <w:tc>
          <w:tcPr>
            <w:tcW w:w="1843" w:type="dxa"/>
            <w:vAlign w:val="center"/>
          </w:tcPr>
          <w:p w14:paraId="259C1AF1" w14:textId="57A432F6" w:rsidR="005A0C8B" w:rsidRDefault="00293F93" w:rsidP="00F93039">
            <w:pPr>
              <w:spacing w:before="120" w:after="120"/>
              <w:jc w:val="center"/>
            </w:pPr>
            <w:r>
              <w:sym w:font="Wingdings 2" w:char="F050"/>
            </w:r>
            <w:r w:rsidR="005A0C8B">
              <w:t xml:space="preserve"> (ODS)</w:t>
            </w:r>
          </w:p>
        </w:tc>
      </w:tr>
      <w:tr w:rsidR="005A0C8B" w14:paraId="13EE346C" w14:textId="77777777" w:rsidTr="00A82C74">
        <w:trPr>
          <w:trHeight w:val="210"/>
        </w:trPr>
        <w:tc>
          <w:tcPr>
            <w:tcW w:w="1554" w:type="dxa"/>
            <w:vMerge/>
          </w:tcPr>
          <w:p w14:paraId="6AE50EEF" w14:textId="77777777" w:rsidR="005A0C8B" w:rsidRDefault="005A0C8B" w:rsidP="00F93039">
            <w:pPr>
              <w:spacing w:before="120" w:after="120"/>
            </w:pPr>
          </w:p>
        </w:tc>
        <w:tc>
          <w:tcPr>
            <w:tcW w:w="1135" w:type="dxa"/>
            <w:vMerge/>
          </w:tcPr>
          <w:p w14:paraId="707AC827" w14:textId="77777777" w:rsidR="005A0C8B" w:rsidRDefault="005A0C8B" w:rsidP="00F93039">
            <w:pPr>
              <w:spacing w:before="120" w:after="120"/>
            </w:pPr>
          </w:p>
        </w:tc>
        <w:tc>
          <w:tcPr>
            <w:tcW w:w="8079" w:type="dxa"/>
          </w:tcPr>
          <w:p w14:paraId="315D7E93" w14:textId="77777777" w:rsidR="005A0C8B" w:rsidRPr="00E3400C" w:rsidRDefault="005A0C8B" w:rsidP="00F93039">
            <w:pPr>
              <w:spacing w:before="120" w:after="120"/>
              <w:rPr>
                <w:lang w:val="en-AU"/>
              </w:rPr>
            </w:pPr>
            <w:r>
              <w:t xml:space="preserve">Plasma Arc Technologies </w:t>
            </w:r>
            <w:r>
              <w:rPr>
                <w:lang w:val="en-AU"/>
              </w:rPr>
              <w:t>(Argon Plasma Arc, Inductively Coupled Radio Frequency P</w:t>
            </w:r>
            <w:r w:rsidRPr="008D5CB1">
              <w:rPr>
                <w:lang w:val="en-AU"/>
              </w:rPr>
              <w:t xml:space="preserve">lasma, Microwave </w:t>
            </w:r>
            <w:r>
              <w:rPr>
                <w:lang w:val="en-AU"/>
              </w:rPr>
              <w:t>P</w:t>
            </w:r>
            <w:r w:rsidRPr="008D5CB1">
              <w:rPr>
                <w:lang w:val="en-AU"/>
              </w:rPr>
              <w:t xml:space="preserve">lasma, Nitrogen </w:t>
            </w:r>
            <w:r>
              <w:rPr>
                <w:lang w:val="en-AU"/>
              </w:rPr>
              <w:t>P</w:t>
            </w:r>
            <w:r w:rsidRPr="008D5CB1">
              <w:rPr>
                <w:lang w:val="en-AU"/>
              </w:rPr>
              <w:t xml:space="preserve">lasma </w:t>
            </w:r>
            <w:r>
              <w:rPr>
                <w:lang w:val="en-AU"/>
              </w:rPr>
              <w:t>A</w:t>
            </w:r>
            <w:r w:rsidRPr="008D5CB1">
              <w:rPr>
                <w:lang w:val="en-AU"/>
              </w:rPr>
              <w:t xml:space="preserve">rc, Portable </w:t>
            </w:r>
            <w:r>
              <w:rPr>
                <w:lang w:val="en-AU"/>
              </w:rPr>
              <w:t>P</w:t>
            </w:r>
            <w:r w:rsidRPr="008D5CB1">
              <w:rPr>
                <w:lang w:val="en-AU"/>
              </w:rPr>
              <w:t xml:space="preserve">lasma </w:t>
            </w:r>
            <w:r>
              <w:rPr>
                <w:lang w:val="en-AU"/>
              </w:rPr>
              <w:t>A</w:t>
            </w:r>
            <w:r w:rsidRPr="008D5CB1">
              <w:rPr>
                <w:lang w:val="en-AU"/>
              </w:rPr>
              <w:t>rc)</w:t>
            </w:r>
          </w:p>
        </w:tc>
        <w:tc>
          <w:tcPr>
            <w:tcW w:w="1843" w:type="dxa"/>
            <w:vAlign w:val="center"/>
          </w:tcPr>
          <w:p w14:paraId="6B4E6CF5" w14:textId="5143EAA5" w:rsidR="005A0C8B" w:rsidRDefault="00293F93" w:rsidP="00F93039">
            <w:pPr>
              <w:spacing w:before="120" w:after="120"/>
              <w:jc w:val="center"/>
            </w:pPr>
            <w:r>
              <w:sym w:font="Wingdings 2" w:char="F050"/>
            </w:r>
          </w:p>
        </w:tc>
        <w:tc>
          <w:tcPr>
            <w:tcW w:w="1843" w:type="dxa"/>
            <w:vAlign w:val="center"/>
          </w:tcPr>
          <w:p w14:paraId="3AB6DAA1" w14:textId="358DAFA2" w:rsidR="005A0C8B" w:rsidRDefault="005A0C8B" w:rsidP="00F93039">
            <w:pPr>
              <w:spacing w:before="120" w:after="120"/>
              <w:jc w:val="center"/>
            </w:pPr>
          </w:p>
        </w:tc>
      </w:tr>
      <w:tr w:rsidR="005A0C8B" w14:paraId="44C4AFFE" w14:textId="77777777" w:rsidTr="00A82C74">
        <w:trPr>
          <w:trHeight w:val="210"/>
        </w:trPr>
        <w:tc>
          <w:tcPr>
            <w:tcW w:w="1554" w:type="dxa"/>
            <w:vMerge/>
          </w:tcPr>
          <w:p w14:paraId="345DD639" w14:textId="77777777" w:rsidR="005A0C8B" w:rsidRDefault="005A0C8B" w:rsidP="00F93039">
            <w:pPr>
              <w:spacing w:before="120" w:after="120"/>
            </w:pPr>
          </w:p>
        </w:tc>
        <w:tc>
          <w:tcPr>
            <w:tcW w:w="1135" w:type="dxa"/>
            <w:vMerge/>
          </w:tcPr>
          <w:p w14:paraId="0EF00B06" w14:textId="77777777" w:rsidR="005A0C8B" w:rsidRDefault="005A0C8B" w:rsidP="00F93039">
            <w:pPr>
              <w:spacing w:before="120" w:after="120"/>
            </w:pPr>
          </w:p>
        </w:tc>
        <w:tc>
          <w:tcPr>
            <w:tcW w:w="8079" w:type="dxa"/>
          </w:tcPr>
          <w:p w14:paraId="29E38F24" w14:textId="77777777" w:rsidR="005A0C8B" w:rsidRDefault="005A0C8B" w:rsidP="00F93039">
            <w:pPr>
              <w:spacing w:before="120" w:after="120"/>
            </w:pPr>
            <w:r>
              <w:t>Air Plasma Arc</w:t>
            </w:r>
          </w:p>
        </w:tc>
        <w:tc>
          <w:tcPr>
            <w:tcW w:w="1843" w:type="dxa"/>
            <w:vAlign w:val="center"/>
          </w:tcPr>
          <w:p w14:paraId="39A4E8AB" w14:textId="4DF75F69" w:rsidR="005A0C8B" w:rsidRDefault="005A0C8B" w:rsidP="00F93039">
            <w:pPr>
              <w:spacing w:before="120" w:after="120"/>
              <w:jc w:val="center"/>
            </w:pPr>
          </w:p>
        </w:tc>
        <w:tc>
          <w:tcPr>
            <w:tcW w:w="1843" w:type="dxa"/>
            <w:vAlign w:val="center"/>
          </w:tcPr>
          <w:p w14:paraId="067EAD22" w14:textId="5BCA69A9" w:rsidR="005A0C8B" w:rsidRDefault="00293F93" w:rsidP="00F93039">
            <w:pPr>
              <w:spacing w:before="120" w:after="120"/>
              <w:jc w:val="center"/>
            </w:pPr>
            <w:r>
              <w:sym w:font="Wingdings 2" w:char="F050"/>
            </w:r>
          </w:p>
        </w:tc>
      </w:tr>
      <w:tr w:rsidR="00293F93" w14:paraId="3B0EC47D" w14:textId="77777777" w:rsidTr="00A82C74">
        <w:trPr>
          <w:trHeight w:val="210"/>
        </w:trPr>
        <w:tc>
          <w:tcPr>
            <w:tcW w:w="1554" w:type="dxa"/>
            <w:vMerge/>
          </w:tcPr>
          <w:p w14:paraId="48A0776B" w14:textId="77777777" w:rsidR="00293F93" w:rsidRDefault="00293F93" w:rsidP="00F93039">
            <w:pPr>
              <w:spacing w:before="120" w:after="120"/>
            </w:pPr>
          </w:p>
        </w:tc>
        <w:tc>
          <w:tcPr>
            <w:tcW w:w="1135" w:type="dxa"/>
            <w:vMerge/>
          </w:tcPr>
          <w:p w14:paraId="4F121D09" w14:textId="77777777" w:rsidR="00293F93" w:rsidRDefault="00293F93" w:rsidP="00F93039">
            <w:pPr>
              <w:spacing w:before="120" w:after="120"/>
            </w:pPr>
          </w:p>
        </w:tc>
        <w:tc>
          <w:tcPr>
            <w:tcW w:w="8079" w:type="dxa"/>
          </w:tcPr>
          <w:p w14:paraId="04F0C1F5" w14:textId="77777777" w:rsidR="00293F93" w:rsidRDefault="00293F93" w:rsidP="00F93039">
            <w:pPr>
              <w:spacing w:before="120" w:after="120"/>
            </w:pPr>
            <w:r>
              <w:t>Steam Plasma Arc</w:t>
            </w:r>
          </w:p>
        </w:tc>
        <w:tc>
          <w:tcPr>
            <w:tcW w:w="1843" w:type="dxa"/>
            <w:vAlign w:val="center"/>
          </w:tcPr>
          <w:p w14:paraId="70112E54" w14:textId="17979EB7" w:rsidR="00293F93" w:rsidRDefault="00293F93" w:rsidP="00F93039">
            <w:pPr>
              <w:spacing w:before="120" w:after="120"/>
              <w:jc w:val="center"/>
            </w:pPr>
          </w:p>
        </w:tc>
        <w:tc>
          <w:tcPr>
            <w:tcW w:w="1843" w:type="dxa"/>
            <w:vAlign w:val="center"/>
          </w:tcPr>
          <w:p w14:paraId="5E2B37F6" w14:textId="2EB0832F" w:rsidR="00293F93" w:rsidRDefault="00293F93" w:rsidP="00F93039">
            <w:pPr>
              <w:spacing w:before="120" w:after="120"/>
              <w:jc w:val="center"/>
            </w:pPr>
            <w:r w:rsidRPr="00947E7F">
              <w:sym w:font="Wingdings 2" w:char="F050"/>
            </w:r>
          </w:p>
        </w:tc>
      </w:tr>
      <w:tr w:rsidR="00293F93" w14:paraId="4BDD41D4" w14:textId="77777777" w:rsidTr="00A82C74">
        <w:trPr>
          <w:trHeight w:val="210"/>
        </w:trPr>
        <w:tc>
          <w:tcPr>
            <w:tcW w:w="1554" w:type="dxa"/>
            <w:vMerge/>
          </w:tcPr>
          <w:p w14:paraId="4094CD5F" w14:textId="77777777" w:rsidR="00293F93" w:rsidRDefault="00293F93" w:rsidP="00F93039">
            <w:pPr>
              <w:spacing w:before="120" w:after="120"/>
            </w:pPr>
          </w:p>
        </w:tc>
        <w:tc>
          <w:tcPr>
            <w:tcW w:w="1135" w:type="dxa"/>
            <w:vMerge/>
          </w:tcPr>
          <w:p w14:paraId="279786D0" w14:textId="77777777" w:rsidR="00293F93" w:rsidRDefault="00293F93" w:rsidP="00F93039">
            <w:pPr>
              <w:spacing w:before="120" w:after="120"/>
            </w:pPr>
          </w:p>
        </w:tc>
        <w:tc>
          <w:tcPr>
            <w:tcW w:w="8079" w:type="dxa"/>
          </w:tcPr>
          <w:p w14:paraId="7B1B901B" w14:textId="77777777" w:rsidR="00293F93" w:rsidRDefault="00293F93" w:rsidP="00F93039">
            <w:pPr>
              <w:spacing w:before="120" w:after="120"/>
            </w:pPr>
            <w:r>
              <w:rPr>
                <w:lang w:val="en-AU"/>
              </w:rPr>
              <w:t>N</w:t>
            </w:r>
            <w:r w:rsidRPr="008D5CB1">
              <w:rPr>
                <w:lang w:val="en-AU"/>
              </w:rPr>
              <w:t xml:space="preserve">on-incineration technologies </w:t>
            </w:r>
            <w:r>
              <w:rPr>
                <w:lang w:val="en-AU"/>
              </w:rPr>
              <w:t>(Chemical R</w:t>
            </w:r>
            <w:r w:rsidRPr="008D5CB1">
              <w:rPr>
                <w:lang w:val="en-AU"/>
              </w:rPr>
              <w:t>eaction with H</w:t>
            </w:r>
            <w:r w:rsidRPr="008D5CB1">
              <w:rPr>
                <w:vertAlign w:val="subscript"/>
                <w:lang w:val="en-AU"/>
              </w:rPr>
              <w:t>2</w:t>
            </w:r>
            <w:r w:rsidRPr="008D5CB1">
              <w:rPr>
                <w:lang w:val="en-AU"/>
              </w:rPr>
              <w:t xml:space="preserve"> and CO</w:t>
            </w:r>
            <w:r w:rsidRPr="008D5CB1">
              <w:rPr>
                <w:vertAlign w:val="subscript"/>
                <w:lang w:val="en-AU"/>
              </w:rPr>
              <w:t>2</w:t>
            </w:r>
            <w:r>
              <w:rPr>
                <w:lang w:val="en-AU"/>
              </w:rPr>
              <w:t>, Gas Phase Catalytic Dehalogenation, Superheated Steam Reactor, Thermal Reaction with M</w:t>
            </w:r>
            <w:r w:rsidRPr="008D5CB1">
              <w:rPr>
                <w:lang w:val="en-AU"/>
              </w:rPr>
              <w:t>ethane)</w:t>
            </w:r>
          </w:p>
        </w:tc>
        <w:tc>
          <w:tcPr>
            <w:tcW w:w="1843" w:type="dxa"/>
            <w:vAlign w:val="center"/>
          </w:tcPr>
          <w:p w14:paraId="6B53A151" w14:textId="77777777" w:rsidR="00293F93" w:rsidRDefault="00293F93" w:rsidP="00F93039">
            <w:pPr>
              <w:spacing w:before="120" w:after="120"/>
              <w:jc w:val="center"/>
            </w:pPr>
          </w:p>
        </w:tc>
        <w:tc>
          <w:tcPr>
            <w:tcW w:w="1843" w:type="dxa"/>
            <w:vAlign w:val="center"/>
          </w:tcPr>
          <w:p w14:paraId="0260850F" w14:textId="217618E4" w:rsidR="00293F93" w:rsidRDefault="00293F93" w:rsidP="00F93039">
            <w:pPr>
              <w:spacing w:before="120" w:after="120"/>
              <w:jc w:val="center"/>
            </w:pPr>
            <w:r w:rsidRPr="00947E7F">
              <w:sym w:font="Wingdings 2" w:char="F050"/>
            </w:r>
          </w:p>
        </w:tc>
      </w:tr>
      <w:tr w:rsidR="00293F93" w14:paraId="73052163" w14:textId="77777777" w:rsidTr="00A82C74">
        <w:trPr>
          <w:trHeight w:val="210"/>
        </w:trPr>
        <w:tc>
          <w:tcPr>
            <w:tcW w:w="1554" w:type="dxa"/>
            <w:vMerge/>
          </w:tcPr>
          <w:p w14:paraId="02333066" w14:textId="77777777" w:rsidR="00293F93" w:rsidRDefault="00293F93" w:rsidP="00F93039">
            <w:pPr>
              <w:spacing w:before="120" w:after="120"/>
            </w:pPr>
          </w:p>
        </w:tc>
        <w:tc>
          <w:tcPr>
            <w:tcW w:w="1135" w:type="dxa"/>
            <w:vMerge/>
          </w:tcPr>
          <w:p w14:paraId="00D45D06" w14:textId="77777777" w:rsidR="00293F93" w:rsidRDefault="00293F93" w:rsidP="00F93039">
            <w:pPr>
              <w:spacing w:before="120" w:after="120"/>
            </w:pPr>
          </w:p>
        </w:tc>
        <w:tc>
          <w:tcPr>
            <w:tcW w:w="8079" w:type="dxa"/>
          </w:tcPr>
          <w:p w14:paraId="6E0169D9" w14:textId="0714808C" w:rsidR="00293F93" w:rsidRPr="00D9429B" w:rsidRDefault="00293F93" w:rsidP="00F93039">
            <w:pPr>
              <w:spacing w:before="120" w:after="120"/>
              <w:rPr>
                <w:lang w:val="en-AU"/>
              </w:rPr>
            </w:pPr>
            <w:r>
              <w:t xml:space="preserve">Chlorination/De-chlorination to </w:t>
            </w:r>
            <w:proofErr w:type="spellStart"/>
            <w:r>
              <w:t>Vinylidene</w:t>
            </w:r>
            <w:proofErr w:type="spellEnd"/>
            <w:r>
              <w:t xml:space="preserve"> </w:t>
            </w:r>
            <w:r w:rsidR="00582A26">
              <w:t>Fluoride</w:t>
            </w:r>
          </w:p>
        </w:tc>
        <w:tc>
          <w:tcPr>
            <w:tcW w:w="1843" w:type="dxa"/>
            <w:vAlign w:val="center"/>
          </w:tcPr>
          <w:p w14:paraId="7BF2FF1B" w14:textId="44A57E76" w:rsidR="00293F93" w:rsidRDefault="00293F93" w:rsidP="00F93039">
            <w:pPr>
              <w:spacing w:before="120" w:after="120"/>
              <w:jc w:val="center"/>
            </w:pPr>
          </w:p>
        </w:tc>
        <w:tc>
          <w:tcPr>
            <w:tcW w:w="1843" w:type="dxa"/>
            <w:vAlign w:val="center"/>
          </w:tcPr>
          <w:p w14:paraId="3431BBF9" w14:textId="1BF14D49" w:rsidR="00293F93" w:rsidRDefault="00293F93" w:rsidP="00F93039">
            <w:pPr>
              <w:spacing w:before="120" w:after="120"/>
              <w:jc w:val="center"/>
            </w:pPr>
            <w:r w:rsidRPr="00947E7F">
              <w:sym w:font="Wingdings 2" w:char="F050"/>
            </w:r>
          </w:p>
        </w:tc>
      </w:tr>
      <w:tr w:rsidR="00293F93" w14:paraId="69932E25" w14:textId="77777777" w:rsidTr="00A82C74">
        <w:trPr>
          <w:trHeight w:val="210"/>
        </w:trPr>
        <w:tc>
          <w:tcPr>
            <w:tcW w:w="1554" w:type="dxa"/>
            <w:vMerge/>
          </w:tcPr>
          <w:p w14:paraId="26DEBC51" w14:textId="77777777" w:rsidR="00293F93" w:rsidRDefault="00293F93" w:rsidP="00F93039">
            <w:pPr>
              <w:spacing w:before="120" w:after="120"/>
            </w:pPr>
          </w:p>
        </w:tc>
        <w:tc>
          <w:tcPr>
            <w:tcW w:w="1135" w:type="dxa"/>
            <w:vMerge/>
          </w:tcPr>
          <w:p w14:paraId="49EB31E3" w14:textId="77777777" w:rsidR="00293F93" w:rsidRDefault="00293F93" w:rsidP="00F93039">
            <w:pPr>
              <w:spacing w:before="120" w:after="120"/>
            </w:pPr>
          </w:p>
        </w:tc>
        <w:tc>
          <w:tcPr>
            <w:tcW w:w="8079" w:type="dxa"/>
          </w:tcPr>
          <w:p w14:paraId="5EE5AFB9" w14:textId="04180097" w:rsidR="00293F93" w:rsidRPr="00E232AF" w:rsidRDefault="00293F93" w:rsidP="00F93039">
            <w:pPr>
              <w:spacing w:before="120" w:after="120"/>
              <w:rPr>
                <w:highlight w:val="yellow"/>
                <w:lang w:val="en-AU"/>
              </w:rPr>
            </w:pPr>
            <w:r w:rsidRPr="00293F93">
              <w:t xml:space="preserve">Catalytic Destruction </w:t>
            </w:r>
          </w:p>
        </w:tc>
        <w:tc>
          <w:tcPr>
            <w:tcW w:w="1843" w:type="dxa"/>
            <w:vAlign w:val="center"/>
          </w:tcPr>
          <w:p w14:paraId="270D0AAB" w14:textId="132EA9E3" w:rsidR="00293F93" w:rsidRDefault="00293F93" w:rsidP="00F93039">
            <w:pPr>
              <w:spacing w:before="120" w:after="120"/>
              <w:jc w:val="center"/>
            </w:pPr>
          </w:p>
        </w:tc>
        <w:tc>
          <w:tcPr>
            <w:tcW w:w="1843" w:type="dxa"/>
            <w:vAlign w:val="center"/>
          </w:tcPr>
          <w:p w14:paraId="3A5F0016" w14:textId="03E63949" w:rsidR="00293F93" w:rsidRDefault="00293F93" w:rsidP="00F93039">
            <w:pPr>
              <w:spacing w:before="120" w:after="120"/>
              <w:jc w:val="center"/>
            </w:pPr>
            <w:r w:rsidRPr="00947E7F">
              <w:sym w:font="Wingdings 2" w:char="F050"/>
            </w:r>
          </w:p>
        </w:tc>
      </w:tr>
      <w:tr w:rsidR="005A0C8B" w14:paraId="5B87E820" w14:textId="77777777" w:rsidTr="00A82C74">
        <w:trPr>
          <w:trHeight w:val="477"/>
        </w:trPr>
        <w:tc>
          <w:tcPr>
            <w:tcW w:w="1554" w:type="dxa"/>
          </w:tcPr>
          <w:p w14:paraId="4E5E3FB2" w14:textId="77777777" w:rsidR="005A0C8B" w:rsidRDefault="005A0C8B" w:rsidP="00F93039">
            <w:pPr>
              <w:spacing w:before="120" w:after="120"/>
            </w:pPr>
            <w:r>
              <w:t>Venezuela</w:t>
            </w:r>
          </w:p>
        </w:tc>
        <w:tc>
          <w:tcPr>
            <w:tcW w:w="1135" w:type="dxa"/>
          </w:tcPr>
          <w:p w14:paraId="10BE6BFB" w14:textId="77777777" w:rsidR="005A0C8B" w:rsidRDefault="005A0C8B" w:rsidP="00F93039">
            <w:pPr>
              <w:spacing w:before="120" w:after="120"/>
            </w:pPr>
            <w:r>
              <w:t>A5</w:t>
            </w:r>
          </w:p>
        </w:tc>
        <w:tc>
          <w:tcPr>
            <w:tcW w:w="8079" w:type="dxa"/>
          </w:tcPr>
          <w:p w14:paraId="74412744" w14:textId="77777777" w:rsidR="005A0C8B" w:rsidRPr="00796A8C" w:rsidRDefault="005A0C8B" w:rsidP="00F93039">
            <w:pPr>
              <w:spacing w:before="120" w:after="120"/>
            </w:pPr>
            <w:r>
              <w:t>Cement Kiln</w:t>
            </w:r>
          </w:p>
        </w:tc>
        <w:tc>
          <w:tcPr>
            <w:tcW w:w="1843" w:type="dxa"/>
            <w:vAlign w:val="center"/>
          </w:tcPr>
          <w:p w14:paraId="5A7B69F6" w14:textId="05FDD5BA" w:rsidR="005A0C8B" w:rsidRDefault="00293F93" w:rsidP="00F93039">
            <w:pPr>
              <w:spacing w:before="120" w:after="120"/>
              <w:jc w:val="center"/>
            </w:pPr>
            <w:r>
              <w:sym w:font="Wingdings 2" w:char="F050"/>
            </w:r>
          </w:p>
        </w:tc>
        <w:tc>
          <w:tcPr>
            <w:tcW w:w="1843" w:type="dxa"/>
            <w:vAlign w:val="center"/>
          </w:tcPr>
          <w:p w14:paraId="4B9CDAEF" w14:textId="75FCE22C" w:rsidR="005A0C8B" w:rsidRDefault="005A0C8B" w:rsidP="00F93039">
            <w:pPr>
              <w:spacing w:before="120" w:after="120"/>
              <w:jc w:val="center"/>
            </w:pPr>
          </w:p>
        </w:tc>
      </w:tr>
    </w:tbl>
    <w:p w14:paraId="5E55999F" w14:textId="77777777" w:rsidR="00A03D9E" w:rsidRDefault="00A03D9E" w:rsidP="00151175">
      <w:pPr>
        <w:rPr>
          <w:lang w:val="en-US" w:eastAsia="en-US"/>
        </w:rPr>
      </w:pPr>
    </w:p>
    <w:p w14:paraId="14F349F2" w14:textId="77777777" w:rsidR="00151175" w:rsidRDefault="00151175" w:rsidP="002741FC">
      <w:pPr>
        <w:rPr>
          <w:lang w:val="en-US" w:eastAsia="en-US"/>
        </w:rPr>
        <w:sectPr w:rsidR="00151175" w:rsidSect="007D7370">
          <w:headerReference w:type="even" r:id="rId37"/>
          <w:headerReference w:type="default" r:id="rId38"/>
          <w:footerReference w:type="even" r:id="rId39"/>
          <w:headerReference w:type="first" r:id="rId40"/>
          <w:pgSz w:w="16839" w:h="11907" w:orient="landscape" w:code="9"/>
          <w:pgMar w:top="1797" w:right="1525" w:bottom="1797" w:left="1440" w:header="720" w:footer="794" w:gutter="0"/>
          <w:cols w:space="720"/>
          <w:docGrid w:linePitch="299"/>
        </w:sectPr>
      </w:pPr>
    </w:p>
    <w:p w14:paraId="546892F1" w14:textId="0F70AAF6" w:rsidR="00151175" w:rsidRPr="00533CC3" w:rsidRDefault="00204019" w:rsidP="00533CC3">
      <w:pPr>
        <w:pStyle w:val="Heading1"/>
        <w:ind w:left="1701" w:hanging="1701"/>
        <w:rPr>
          <w:rStyle w:val="Heading1Char2"/>
          <w:rFonts w:ascii="Times New Roman" w:hAnsi="Times New Roman"/>
        </w:rPr>
      </w:pPr>
      <w:bookmarkStart w:id="146" w:name="_Toc510531497"/>
      <w:r w:rsidRPr="00533CC3">
        <w:rPr>
          <w:rStyle w:val="Heading1Char2"/>
          <w:rFonts w:ascii="Times New Roman" w:hAnsi="Times New Roman"/>
        </w:rPr>
        <w:lastRenderedPageBreak/>
        <w:t xml:space="preserve">Appendix </w:t>
      </w:r>
      <w:r w:rsidR="00821E67" w:rsidRPr="00533CC3">
        <w:rPr>
          <w:rStyle w:val="Heading1Char2"/>
          <w:rFonts w:ascii="Times New Roman" w:hAnsi="Times New Roman"/>
        </w:rPr>
        <w:t>2</w:t>
      </w:r>
      <w:r w:rsidR="00533CC3">
        <w:rPr>
          <w:rStyle w:val="Heading1Char2"/>
          <w:rFonts w:ascii="Times New Roman" w:hAnsi="Times New Roman"/>
        </w:rPr>
        <w:t>:</w:t>
      </w:r>
      <w:r w:rsidR="00533CC3">
        <w:rPr>
          <w:rStyle w:val="Heading1Char2"/>
          <w:rFonts w:ascii="Times New Roman" w:hAnsi="Times New Roman"/>
        </w:rPr>
        <w:tab/>
      </w:r>
      <w:r w:rsidRPr="00533CC3">
        <w:rPr>
          <w:rStyle w:val="Heading1Char2"/>
          <w:rFonts w:ascii="Times New Roman" w:hAnsi="Times New Roman"/>
        </w:rPr>
        <w:t>Decision IV/11, Annex VII: Suggested minimum standards for the operation of destruction facilities</w:t>
      </w:r>
      <w:bookmarkEnd w:id="146"/>
      <w:r w:rsidRPr="00533CC3">
        <w:rPr>
          <w:rStyle w:val="Heading1Char2"/>
          <w:rFonts w:ascii="Times New Roman" w:hAnsi="Times New Roman"/>
        </w:rPr>
        <w:t xml:space="preserve"> </w:t>
      </w:r>
    </w:p>
    <w:bookmarkEnd w:id="12"/>
    <w:bookmarkEnd w:id="13"/>
    <w:p w14:paraId="201D731A" w14:textId="282DF586" w:rsidR="009600D4" w:rsidRDefault="009600D4" w:rsidP="009600D4">
      <w:pPr>
        <w:rPr>
          <w:lang w:val="en-AU"/>
        </w:rPr>
      </w:pPr>
      <w:r>
        <w:rPr>
          <w:lang w:val="en-AU"/>
        </w:rPr>
        <w:t>At their</w:t>
      </w:r>
      <w:r w:rsidRPr="00497DDE">
        <w:rPr>
          <w:lang w:val="en-AU"/>
        </w:rPr>
        <w:t xml:space="preserve"> Fourth Meeting</w:t>
      </w:r>
      <w:r>
        <w:rPr>
          <w:lang w:val="en-AU"/>
        </w:rPr>
        <w:t xml:space="preserve"> in 1992,</w:t>
      </w:r>
      <w:r w:rsidRPr="00497DDE">
        <w:rPr>
          <w:lang w:val="en-AU"/>
        </w:rPr>
        <w:t xml:space="preserve"> in </w:t>
      </w:r>
      <w:r>
        <w:rPr>
          <w:lang w:val="en-AU"/>
        </w:rPr>
        <w:t>decision IV/11, p</w:t>
      </w:r>
      <w:r w:rsidRPr="00497DDE">
        <w:rPr>
          <w:lang w:val="en-AU"/>
        </w:rPr>
        <w:t xml:space="preserve">arties decided </w:t>
      </w:r>
      <w:r>
        <w:rPr>
          <w:lang w:val="en-AU"/>
        </w:rPr>
        <w:t xml:space="preserve">upon suggested </w:t>
      </w:r>
      <w:r w:rsidR="00AD75BC">
        <w:rPr>
          <w:lang w:val="en-AU"/>
        </w:rPr>
        <w:t>m</w:t>
      </w:r>
      <w:r>
        <w:rPr>
          <w:lang w:val="en-AU"/>
        </w:rPr>
        <w:t xml:space="preserve">inimum </w:t>
      </w:r>
      <w:r w:rsidR="00AD75BC">
        <w:rPr>
          <w:lang w:val="en-AU"/>
        </w:rPr>
        <w:t>s</w:t>
      </w:r>
      <w:r>
        <w:rPr>
          <w:lang w:val="en-AU"/>
        </w:rPr>
        <w:t>tandards for the operation of destruction facilities:</w:t>
      </w:r>
    </w:p>
    <w:p w14:paraId="24D560AC" w14:textId="77777777" w:rsidR="009600D4" w:rsidRPr="008B4F17" w:rsidRDefault="009600D4" w:rsidP="009600D4">
      <w:pPr>
        <w:ind w:left="284"/>
        <w:rPr>
          <w:lang w:val="en-AU"/>
        </w:rPr>
      </w:pPr>
      <w:r w:rsidRPr="008B4F17">
        <w:rPr>
          <w:i/>
          <w:lang w:val="en-AU"/>
        </w:rPr>
        <w:t xml:space="preserve">2. </w:t>
      </w:r>
      <w:r>
        <w:rPr>
          <w:i/>
          <w:lang w:val="en-AU"/>
        </w:rPr>
        <w:t>T</w:t>
      </w:r>
      <w:r w:rsidRPr="008B4F17">
        <w:rPr>
          <w:i/>
          <w:lang w:val="en-AU"/>
        </w:rPr>
        <w:t>o approve, for the purposes of paragraph 5 of Article 1 of the Protocol, those destruction technologies that are listed in Annex VI to the report on the work of the Fourth Meeting of the Parties which are operated in accordance with the suggested minimum standards identified in Annex VII to the report of the Fourth Meeting of the Parties unless similar standards currently exist domestically;</w:t>
      </w:r>
      <w:r w:rsidRPr="008B4F17">
        <w:rPr>
          <w:lang w:val="en-AU"/>
        </w:rPr>
        <w:t xml:space="preserve"> </w:t>
      </w:r>
      <w:r w:rsidRPr="008B4F17">
        <w:rPr>
          <w:rFonts w:ascii="MS Mincho" w:eastAsia="MS Mincho" w:hAnsi="MS Mincho" w:cs="MS Mincho" w:hint="eastAsia"/>
          <w:lang w:val="en-AU"/>
        </w:rPr>
        <w:t> </w:t>
      </w:r>
    </w:p>
    <w:p w14:paraId="28EA711D" w14:textId="133ECB12" w:rsidR="009600D4" w:rsidRDefault="009600D4" w:rsidP="009600D4">
      <w:pPr>
        <w:rPr>
          <w:lang w:val="en-AU"/>
        </w:rPr>
      </w:pPr>
      <w:r>
        <w:rPr>
          <w:lang w:val="en-AU"/>
        </w:rPr>
        <w:t xml:space="preserve">The suggested minimum standards contained in Annex VII to the Fourth Meeting report are presented in </w:t>
      </w:r>
      <w:r w:rsidR="00AD75BC">
        <w:rPr>
          <w:lang w:val="en-AU"/>
        </w:rPr>
        <w:t>the table below</w:t>
      </w:r>
      <w:r>
        <w:rPr>
          <w:lang w:val="en-AU"/>
        </w:rPr>
        <w:t>. These standards were subsequently reviewed and updated by the 2002 TFDT</w:t>
      </w:r>
      <w:r w:rsidR="00AD75BC">
        <w:rPr>
          <w:lang w:val="en-AU"/>
        </w:rPr>
        <w:t>,</w:t>
      </w:r>
      <w:r>
        <w:rPr>
          <w:lang w:val="en-AU"/>
        </w:rPr>
        <w:t xml:space="preserve"> resulting in the 2002 technical performance criteria outlined </w:t>
      </w:r>
      <w:r w:rsidR="00AD75BC">
        <w:rPr>
          <w:lang w:val="en-AU"/>
        </w:rPr>
        <w:t>in section 2.1</w:t>
      </w:r>
      <w:r>
        <w:rPr>
          <w:lang w:val="en-AU"/>
        </w:rPr>
        <w:t>.</w:t>
      </w:r>
    </w:p>
    <w:p w14:paraId="45023C14" w14:textId="25C4FE53" w:rsidR="009600D4" w:rsidRPr="00D1412D" w:rsidRDefault="009600D4" w:rsidP="009600D4">
      <w:pPr>
        <w:rPr>
          <w:b/>
          <w:i/>
          <w:lang w:val="en-AU"/>
        </w:rPr>
      </w:pPr>
      <w:r w:rsidRPr="00D1412D">
        <w:rPr>
          <w:b/>
          <w:i/>
          <w:lang w:val="en-AU"/>
        </w:rPr>
        <w:t>Decision IV/11, Annex VII of the report of the Fourth Meeting of the Parties</w:t>
      </w:r>
    </w:p>
    <w:tbl>
      <w:tblPr>
        <w:tblStyle w:val="TableGrid"/>
        <w:tblW w:w="0" w:type="auto"/>
        <w:tblInd w:w="-49" w:type="dxa"/>
        <w:tblLook w:val="04A0" w:firstRow="1" w:lastRow="0" w:firstColumn="1" w:lastColumn="0" w:noHBand="0" w:noVBand="1"/>
      </w:tblPr>
      <w:tblGrid>
        <w:gridCol w:w="1339"/>
        <w:gridCol w:w="1479"/>
        <w:gridCol w:w="5760"/>
      </w:tblGrid>
      <w:tr w:rsidR="009600D4" w:rsidRPr="00D1412D" w14:paraId="5704BED7" w14:textId="77777777" w:rsidTr="00356C4A">
        <w:tc>
          <w:tcPr>
            <w:tcW w:w="0" w:type="auto"/>
          </w:tcPr>
          <w:p w14:paraId="01C79D3E" w14:textId="77777777" w:rsidR="009600D4" w:rsidRPr="00D1412D" w:rsidRDefault="009600D4" w:rsidP="00356C4A">
            <w:pPr>
              <w:spacing w:before="60" w:after="60"/>
              <w:jc w:val="center"/>
              <w:rPr>
                <w:i/>
                <w:sz w:val="20"/>
                <w:szCs w:val="20"/>
                <w:lang w:val="en-AU"/>
              </w:rPr>
            </w:pPr>
            <w:r w:rsidRPr="00D1412D">
              <w:rPr>
                <w:i/>
                <w:sz w:val="20"/>
                <w:szCs w:val="20"/>
                <w:lang w:val="en-AU"/>
              </w:rPr>
              <w:t>Pollutant</w:t>
            </w:r>
          </w:p>
        </w:tc>
        <w:tc>
          <w:tcPr>
            <w:tcW w:w="0" w:type="auto"/>
          </w:tcPr>
          <w:p w14:paraId="61E7FC0F" w14:textId="77777777" w:rsidR="009600D4" w:rsidRPr="00D1412D" w:rsidRDefault="009600D4" w:rsidP="00356C4A">
            <w:pPr>
              <w:spacing w:before="60" w:after="60"/>
              <w:jc w:val="center"/>
              <w:rPr>
                <w:i/>
                <w:sz w:val="20"/>
                <w:szCs w:val="20"/>
                <w:lang w:val="en-AU"/>
              </w:rPr>
            </w:pPr>
            <w:r w:rsidRPr="00D1412D">
              <w:rPr>
                <w:i/>
                <w:sz w:val="20"/>
                <w:szCs w:val="20"/>
                <w:lang w:val="en-AU"/>
              </w:rPr>
              <w:t>Stack Concentration</w:t>
            </w:r>
          </w:p>
        </w:tc>
        <w:tc>
          <w:tcPr>
            <w:tcW w:w="0" w:type="auto"/>
          </w:tcPr>
          <w:p w14:paraId="1BBDAF8F" w14:textId="77777777" w:rsidR="009600D4" w:rsidRPr="00D1412D" w:rsidRDefault="009600D4" w:rsidP="00356C4A">
            <w:pPr>
              <w:spacing w:before="60" w:after="60"/>
              <w:jc w:val="center"/>
              <w:rPr>
                <w:i/>
                <w:sz w:val="20"/>
                <w:szCs w:val="20"/>
                <w:lang w:val="en-AU"/>
              </w:rPr>
            </w:pPr>
            <w:r w:rsidRPr="00D1412D">
              <w:rPr>
                <w:i/>
                <w:sz w:val="20"/>
                <w:szCs w:val="20"/>
                <w:lang w:val="en-AU"/>
              </w:rPr>
              <w:t>Comments</w:t>
            </w:r>
          </w:p>
        </w:tc>
      </w:tr>
      <w:tr w:rsidR="009600D4" w:rsidRPr="00D1412D" w14:paraId="253866FA" w14:textId="77777777" w:rsidTr="00356C4A">
        <w:tc>
          <w:tcPr>
            <w:tcW w:w="0" w:type="auto"/>
          </w:tcPr>
          <w:p w14:paraId="6C1A194A" w14:textId="77777777" w:rsidR="009600D4" w:rsidRPr="00D1412D" w:rsidRDefault="009600D4" w:rsidP="00356C4A">
            <w:pPr>
              <w:spacing w:before="60" w:after="60"/>
              <w:rPr>
                <w:i/>
                <w:sz w:val="20"/>
                <w:szCs w:val="20"/>
                <w:lang w:val="en-AU"/>
              </w:rPr>
            </w:pPr>
            <w:r w:rsidRPr="00D1412D">
              <w:rPr>
                <w:i/>
                <w:sz w:val="20"/>
                <w:szCs w:val="20"/>
                <w:lang w:val="en-AU"/>
              </w:rPr>
              <w:t>PCDD/PCDF</w:t>
            </w:r>
          </w:p>
        </w:tc>
        <w:tc>
          <w:tcPr>
            <w:tcW w:w="0" w:type="auto"/>
          </w:tcPr>
          <w:p w14:paraId="40492E42" w14:textId="77777777" w:rsidR="009600D4" w:rsidRPr="00D1412D" w:rsidRDefault="009600D4" w:rsidP="00356C4A">
            <w:pPr>
              <w:spacing w:before="60" w:after="60"/>
              <w:jc w:val="right"/>
              <w:rPr>
                <w:i/>
                <w:sz w:val="20"/>
                <w:szCs w:val="20"/>
                <w:lang w:val="en-AU"/>
              </w:rPr>
            </w:pPr>
            <w:r w:rsidRPr="00D1412D">
              <w:rPr>
                <w:i/>
                <w:sz w:val="20"/>
                <w:szCs w:val="20"/>
                <w:lang w:val="en-AU"/>
              </w:rPr>
              <w:t>&lt;1.0* ng/m</w:t>
            </w:r>
            <w:r w:rsidRPr="00D1412D">
              <w:rPr>
                <w:i/>
                <w:sz w:val="20"/>
                <w:szCs w:val="20"/>
                <w:vertAlign w:val="superscript"/>
                <w:lang w:val="en-AU"/>
              </w:rPr>
              <w:t>3</w:t>
            </w:r>
          </w:p>
        </w:tc>
        <w:tc>
          <w:tcPr>
            <w:tcW w:w="0" w:type="auto"/>
            <w:vMerge w:val="restart"/>
            <w:vAlign w:val="center"/>
          </w:tcPr>
          <w:p w14:paraId="528075EA" w14:textId="77777777" w:rsidR="009600D4" w:rsidRPr="00D1412D" w:rsidRDefault="009600D4" w:rsidP="00356C4A">
            <w:pPr>
              <w:spacing w:before="60" w:after="60"/>
              <w:rPr>
                <w:i/>
                <w:sz w:val="20"/>
                <w:lang w:val="en-AU"/>
              </w:rPr>
            </w:pPr>
            <w:r w:rsidRPr="00D1412D">
              <w:rPr>
                <w:i/>
                <w:sz w:val="20"/>
                <w:lang w:val="en-AU"/>
              </w:rPr>
              <w:t>Frequency, method of sampling, and limit for the ODS that is being destroyed as recommended by national regulatory agencies</w:t>
            </w:r>
          </w:p>
        </w:tc>
      </w:tr>
      <w:tr w:rsidR="009600D4" w:rsidRPr="00D1412D" w14:paraId="4791FAF3" w14:textId="77777777" w:rsidTr="00356C4A">
        <w:tc>
          <w:tcPr>
            <w:tcW w:w="0" w:type="auto"/>
          </w:tcPr>
          <w:p w14:paraId="7FD35DE8" w14:textId="77777777" w:rsidR="009600D4" w:rsidRPr="00D1412D" w:rsidRDefault="009600D4" w:rsidP="00356C4A">
            <w:pPr>
              <w:spacing w:before="60" w:after="60"/>
              <w:rPr>
                <w:i/>
                <w:sz w:val="20"/>
                <w:szCs w:val="20"/>
                <w:lang w:val="en-AU"/>
              </w:rPr>
            </w:pPr>
            <w:proofErr w:type="spellStart"/>
            <w:r w:rsidRPr="00D1412D">
              <w:rPr>
                <w:i/>
                <w:sz w:val="20"/>
                <w:szCs w:val="20"/>
                <w:lang w:val="en-AU"/>
              </w:rPr>
              <w:t>HCl</w:t>
            </w:r>
            <w:proofErr w:type="spellEnd"/>
          </w:p>
        </w:tc>
        <w:tc>
          <w:tcPr>
            <w:tcW w:w="0" w:type="auto"/>
          </w:tcPr>
          <w:p w14:paraId="6AC68C5B" w14:textId="77777777" w:rsidR="009600D4" w:rsidRPr="00D1412D" w:rsidRDefault="009600D4" w:rsidP="00356C4A">
            <w:pPr>
              <w:spacing w:before="60" w:after="60"/>
              <w:jc w:val="right"/>
              <w:rPr>
                <w:i/>
                <w:sz w:val="20"/>
                <w:szCs w:val="20"/>
                <w:lang w:val="en-AU"/>
              </w:rPr>
            </w:pPr>
            <w:r w:rsidRPr="00D1412D">
              <w:rPr>
                <w:i/>
                <w:sz w:val="20"/>
                <w:szCs w:val="20"/>
                <w:lang w:val="en-AU"/>
              </w:rPr>
              <w:t>&lt;100 mg/m</w:t>
            </w:r>
            <w:r w:rsidRPr="00D1412D">
              <w:rPr>
                <w:i/>
                <w:sz w:val="20"/>
                <w:szCs w:val="20"/>
                <w:vertAlign w:val="superscript"/>
                <w:lang w:val="en-AU"/>
              </w:rPr>
              <w:t>3</w:t>
            </w:r>
          </w:p>
        </w:tc>
        <w:tc>
          <w:tcPr>
            <w:tcW w:w="0" w:type="auto"/>
            <w:vMerge/>
            <w:vAlign w:val="center"/>
          </w:tcPr>
          <w:p w14:paraId="5E0381A8" w14:textId="77777777" w:rsidR="009600D4" w:rsidRPr="00D1412D" w:rsidRDefault="009600D4" w:rsidP="00356C4A">
            <w:pPr>
              <w:spacing w:before="60" w:after="60"/>
              <w:rPr>
                <w:i/>
                <w:sz w:val="20"/>
                <w:szCs w:val="20"/>
                <w:lang w:val="en-AU"/>
              </w:rPr>
            </w:pPr>
          </w:p>
        </w:tc>
      </w:tr>
      <w:tr w:rsidR="009600D4" w:rsidRPr="00D1412D" w14:paraId="0E012E69" w14:textId="77777777" w:rsidTr="00356C4A">
        <w:tc>
          <w:tcPr>
            <w:tcW w:w="0" w:type="auto"/>
          </w:tcPr>
          <w:p w14:paraId="46550BDA" w14:textId="77777777" w:rsidR="009600D4" w:rsidRPr="00D1412D" w:rsidRDefault="009600D4" w:rsidP="00356C4A">
            <w:pPr>
              <w:spacing w:before="60" w:after="60"/>
              <w:rPr>
                <w:i/>
                <w:sz w:val="20"/>
                <w:szCs w:val="20"/>
                <w:lang w:val="en-AU"/>
              </w:rPr>
            </w:pPr>
            <w:r w:rsidRPr="00D1412D">
              <w:rPr>
                <w:i/>
                <w:sz w:val="20"/>
                <w:szCs w:val="20"/>
                <w:lang w:val="en-AU"/>
              </w:rPr>
              <w:t>HF</w:t>
            </w:r>
          </w:p>
        </w:tc>
        <w:tc>
          <w:tcPr>
            <w:tcW w:w="0" w:type="auto"/>
          </w:tcPr>
          <w:p w14:paraId="47B4804A" w14:textId="77777777" w:rsidR="009600D4" w:rsidRPr="00D1412D" w:rsidRDefault="009600D4" w:rsidP="00356C4A">
            <w:pPr>
              <w:spacing w:before="60" w:after="60"/>
              <w:jc w:val="right"/>
              <w:rPr>
                <w:i/>
                <w:sz w:val="20"/>
                <w:szCs w:val="20"/>
                <w:lang w:val="en-AU"/>
              </w:rPr>
            </w:pPr>
            <w:r w:rsidRPr="00D1412D">
              <w:rPr>
                <w:i/>
                <w:sz w:val="20"/>
                <w:szCs w:val="20"/>
                <w:lang w:val="en-AU"/>
              </w:rPr>
              <w:t>5 mg/m</w:t>
            </w:r>
            <w:r w:rsidRPr="00D1412D">
              <w:rPr>
                <w:i/>
                <w:sz w:val="20"/>
                <w:szCs w:val="20"/>
                <w:vertAlign w:val="superscript"/>
                <w:lang w:val="en-AU"/>
              </w:rPr>
              <w:t>3</w:t>
            </w:r>
          </w:p>
        </w:tc>
        <w:tc>
          <w:tcPr>
            <w:tcW w:w="0" w:type="auto"/>
            <w:vMerge/>
            <w:vAlign w:val="center"/>
          </w:tcPr>
          <w:p w14:paraId="72AA6568" w14:textId="77777777" w:rsidR="009600D4" w:rsidRPr="00D1412D" w:rsidRDefault="009600D4" w:rsidP="00356C4A">
            <w:pPr>
              <w:spacing w:before="60" w:after="60"/>
              <w:rPr>
                <w:i/>
                <w:sz w:val="20"/>
                <w:szCs w:val="20"/>
                <w:lang w:val="en-AU"/>
              </w:rPr>
            </w:pPr>
          </w:p>
        </w:tc>
      </w:tr>
      <w:tr w:rsidR="009600D4" w:rsidRPr="00D1412D" w14:paraId="15A7059B" w14:textId="77777777" w:rsidTr="00356C4A">
        <w:tc>
          <w:tcPr>
            <w:tcW w:w="0" w:type="auto"/>
          </w:tcPr>
          <w:p w14:paraId="5E5E2DB6" w14:textId="77777777" w:rsidR="009600D4" w:rsidRPr="00D1412D" w:rsidRDefault="009600D4" w:rsidP="00356C4A">
            <w:pPr>
              <w:spacing w:before="60" w:after="60"/>
              <w:rPr>
                <w:i/>
                <w:sz w:val="20"/>
                <w:szCs w:val="20"/>
                <w:lang w:val="en-AU"/>
              </w:rPr>
            </w:pPr>
            <w:proofErr w:type="spellStart"/>
            <w:r w:rsidRPr="00D1412D">
              <w:rPr>
                <w:i/>
                <w:sz w:val="20"/>
                <w:szCs w:val="20"/>
                <w:lang w:val="en-AU"/>
              </w:rPr>
              <w:t>HBr</w:t>
            </w:r>
            <w:proofErr w:type="spellEnd"/>
            <w:r w:rsidRPr="00D1412D">
              <w:rPr>
                <w:i/>
                <w:sz w:val="20"/>
                <w:szCs w:val="20"/>
                <w:lang w:val="en-AU"/>
              </w:rPr>
              <w:t>/Br</w:t>
            </w:r>
            <w:r w:rsidRPr="00D1412D">
              <w:rPr>
                <w:i/>
                <w:sz w:val="20"/>
                <w:szCs w:val="20"/>
                <w:vertAlign w:val="subscript"/>
                <w:lang w:val="en-AU"/>
              </w:rPr>
              <w:t>2</w:t>
            </w:r>
          </w:p>
        </w:tc>
        <w:tc>
          <w:tcPr>
            <w:tcW w:w="0" w:type="auto"/>
          </w:tcPr>
          <w:p w14:paraId="5E0C8877" w14:textId="77777777" w:rsidR="009600D4" w:rsidRPr="00D1412D" w:rsidRDefault="009600D4" w:rsidP="00356C4A">
            <w:pPr>
              <w:spacing w:before="60" w:after="60"/>
              <w:jc w:val="right"/>
              <w:rPr>
                <w:i/>
                <w:sz w:val="20"/>
                <w:szCs w:val="20"/>
                <w:lang w:val="en-AU"/>
              </w:rPr>
            </w:pPr>
            <w:r w:rsidRPr="00D1412D">
              <w:rPr>
                <w:i/>
                <w:sz w:val="20"/>
                <w:szCs w:val="20"/>
                <w:lang w:val="en-AU"/>
              </w:rPr>
              <w:t>&lt; 5 mg/m</w:t>
            </w:r>
            <w:r w:rsidRPr="00D1412D">
              <w:rPr>
                <w:i/>
                <w:sz w:val="20"/>
                <w:szCs w:val="20"/>
                <w:vertAlign w:val="superscript"/>
                <w:lang w:val="en-AU"/>
              </w:rPr>
              <w:t>3</w:t>
            </w:r>
          </w:p>
        </w:tc>
        <w:tc>
          <w:tcPr>
            <w:tcW w:w="0" w:type="auto"/>
            <w:vMerge/>
            <w:vAlign w:val="center"/>
          </w:tcPr>
          <w:p w14:paraId="21DC25E8" w14:textId="77777777" w:rsidR="009600D4" w:rsidRPr="00D1412D" w:rsidRDefault="009600D4" w:rsidP="00356C4A">
            <w:pPr>
              <w:spacing w:before="60" w:after="60"/>
              <w:rPr>
                <w:i/>
                <w:sz w:val="20"/>
                <w:szCs w:val="20"/>
                <w:lang w:val="en-AU"/>
              </w:rPr>
            </w:pPr>
          </w:p>
        </w:tc>
      </w:tr>
      <w:tr w:rsidR="009600D4" w:rsidRPr="00D1412D" w14:paraId="16624826" w14:textId="77777777" w:rsidTr="00356C4A">
        <w:tc>
          <w:tcPr>
            <w:tcW w:w="0" w:type="auto"/>
          </w:tcPr>
          <w:p w14:paraId="438EDA5C" w14:textId="77777777" w:rsidR="009600D4" w:rsidRPr="00D1412D" w:rsidRDefault="009600D4" w:rsidP="00356C4A">
            <w:pPr>
              <w:spacing w:before="60" w:after="60"/>
              <w:rPr>
                <w:i/>
                <w:sz w:val="20"/>
                <w:szCs w:val="20"/>
                <w:lang w:val="en-AU"/>
              </w:rPr>
            </w:pPr>
            <w:r w:rsidRPr="00D1412D">
              <w:rPr>
                <w:i/>
                <w:sz w:val="20"/>
                <w:szCs w:val="20"/>
                <w:lang w:val="en-AU"/>
              </w:rPr>
              <w:t>Particulates</w:t>
            </w:r>
          </w:p>
        </w:tc>
        <w:tc>
          <w:tcPr>
            <w:tcW w:w="0" w:type="auto"/>
          </w:tcPr>
          <w:p w14:paraId="5A5BC719" w14:textId="77777777" w:rsidR="009600D4" w:rsidRPr="00D1412D" w:rsidRDefault="009600D4" w:rsidP="00356C4A">
            <w:pPr>
              <w:spacing w:before="60" w:after="60"/>
              <w:jc w:val="right"/>
              <w:rPr>
                <w:i/>
                <w:sz w:val="20"/>
                <w:szCs w:val="20"/>
                <w:lang w:val="en-AU"/>
              </w:rPr>
            </w:pPr>
            <w:r w:rsidRPr="00D1412D">
              <w:rPr>
                <w:i/>
                <w:sz w:val="20"/>
                <w:szCs w:val="20"/>
                <w:lang w:val="en-AU"/>
              </w:rPr>
              <w:t>&lt; 50 mg/m</w:t>
            </w:r>
            <w:r w:rsidRPr="00D1412D">
              <w:rPr>
                <w:i/>
                <w:sz w:val="20"/>
                <w:szCs w:val="20"/>
                <w:vertAlign w:val="superscript"/>
                <w:lang w:val="en-AU"/>
              </w:rPr>
              <w:t>3</w:t>
            </w:r>
          </w:p>
        </w:tc>
        <w:tc>
          <w:tcPr>
            <w:tcW w:w="0" w:type="auto"/>
            <w:vMerge/>
            <w:vAlign w:val="center"/>
          </w:tcPr>
          <w:p w14:paraId="0DF1F575" w14:textId="77777777" w:rsidR="009600D4" w:rsidRPr="00D1412D" w:rsidRDefault="009600D4" w:rsidP="00356C4A">
            <w:pPr>
              <w:spacing w:before="60" w:after="60"/>
              <w:rPr>
                <w:i/>
                <w:sz w:val="20"/>
                <w:szCs w:val="20"/>
                <w:lang w:val="en-AU"/>
              </w:rPr>
            </w:pPr>
          </w:p>
        </w:tc>
      </w:tr>
      <w:tr w:rsidR="009600D4" w:rsidRPr="00D1412D" w14:paraId="6D8E6E98" w14:textId="77777777" w:rsidTr="00356C4A">
        <w:tc>
          <w:tcPr>
            <w:tcW w:w="0" w:type="auto"/>
          </w:tcPr>
          <w:p w14:paraId="53768796" w14:textId="77777777" w:rsidR="009600D4" w:rsidRPr="00D1412D" w:rsidRDefault="009600D4" w:rsidP="00356C4A">
            <w:pPr>
              <w:spacing w:before="60" w:after="60"/>
              <w:rPr>
                <w:i/>
                <w:sz w:val="20"/>
                <w:szCs w:val="20"/>
                <w:lang w:val="en-AU"/>
              </w:rPr>
            </w:pPr>
            <w:r w:rsidRPr="00D1412D">
              <w:rPr>
                <w:i/>
                <w:sz w:val="20"/>
                <w:szCs w:val="20"/>
                <w:lang w:val="en-AU"/>
              </w:rPr>
              <w:t>CO</w:t>
            </w:r>
          </w:p>
        </w:tc>
        <w:tc>
          <w:tcPr>
            <w:tcW w:w="0" w:type="auto"/>
          </w:tcPr>
          <w:p w14:paraId="053C5EA9" w14:textId="77777777" w:rsidR="009600D4" w:rsidRPr="00D1412D" w:rsidRDefault="009600D4" w:rsidP="00356C4A">
            <w:pPr>
              <w:spacing w:before="60" w:after="60"/>
              <w:jc w:val="right"/>
              <w:rPr>
                <w:i/>
                <w:sz w:val="20"/>
                <w:szCs w:val="20"/>
                <w:lang w:val="en-AU"/>
              </w:rPr>
            </w:pPr>
            <w:r w:rsidRPr="00D1412D">
              <w:rPr>
                <w:i/>
                <w:sz w:val="20"/>
                <w:szCs w:val="20"/>
                <w:lang w:val="en-AU"/>
              </w:rPr>
              <w:t>&lt;100 mg/m</w:t>
            </w:r>
            <w:r w:rsidRPr="00D1412D">
              <w:rPr>
                <w:i/>
                <w:sz w:val="20"/>
                <w:szCs w:val="20"/>
                <w:vertAlign w:val="superscript"/>
                <w:lang w:val="en-AU"/>
              </w:rPr>
              <w:t>3</w:t>
            </w:r>
          </w:p>
        </w:tc>
        <w:tc>
          <w:tcPr>
            <w:tcW w:w="0" w:type="auto"/>
            <w:vAlign w:val="center"/>
          </w:tcPr>
          <w:p w14:paraId="780832B6" w14:textId="77777777" w:rsidR="009600D4" w:rsidRPr="00D1412D" w:rsidRDefault="009600D4" w:rsidP="00356C4A">
            <w:pPr>
              <w:spacing w:before="60" w:after="60"/>
              <w:rPr>
                <w:i/>
                <w:sz w:val="20"/>
                <w:lang w:val="en-AU"/>
              </w:rPr>
            </w:pPr>
            <w:r w:rsidRPr="00D1412D">
              <w:rPr>
                <w:i/>
                <w:sz w:val="20"/>
                <w:lang w:val="en-AU"/>
              </w:rPr>
              <w:t>Continuous emission monitoring with 1 hour rolling average</w:t>
            </w:r>
          </w:p>
        </w:tc>
      </w:tr>
      <w:tr w:rsidR="009600D4" w:rsidRPr="00D1412D" w14:paraId="19E2100D" w14:textId="77777777" w:rsidTr="00356C4A">
        <w:tc>
          <w:tcPr>
            <w:tcW w:w="0" w:type="auto"/>
          </w:tcPr>
          <w:p w14:paraId="0C35AE70" w14:textId="77777777" w:rsidR="009600D4" w:rsidRPr="00D1412D" w:rsidRDefault="009600D4" w:rsidP="00356C4A">
            <w:pPr>
              <w:spacing w:before="60" w:after="60"/>
              <w:rPr>
                <w:i/>
                <w:sz w:val="20"/>
                <w:szCs w:val="20"/>
                <w:lang w:val="en-AU"/>
              </w:rPr>
            </w:pPr>
            <w:r w:rsidRPr="00D1412D">
              <w:rPr>
                <w:i/>
                <w:sz w:val="20"/>
                <w:szCs w:val="20"/>
                <w:lang w:val="en-AU"/>
              </w:rPr>
              <w:t>ODS</w:t>
            </w:r>
          </w:p>
        </w:tc>
        <w:tc>
          <w:tcPr>
            <w:tcW w:w="0" w:type="auto"/>
          </w:tcPr>
          <w:p w14:paraId="0271C3DA" w14:textId="77777777" w:rsidR="009600D4" w:rsidRPr="00D1412D" w:rsidRDefault="009600D4" w:rsidP="00356C4A">
            <w:pPr>
              <w:spacing w:before="60" w:after="60"/>
              <w:rPr>
                <w:i/>
                <w:sz w:val="20"/>
                <w:szCs w:val="20"/>
                <w:lang w:val="en-AU"/>
              </w:rPr>
            </w:pPr>
          </w:p>
        </w:tc>
        <w:tc>
          <w:tcPr>
            <w:tcW w:w="0" w:type="auto"/>
            <w:vAlign w:val="center"/>
          </w:tcPr>
          <w:p w14:paraId="61732868" w14:textId="77777777" w:rsidR="009600D4" w:rsidRPr="00D1412D" w:rsidRDefault="009600D4" w:rsidP="00356C4A">
            <w:pPr>
              <w:spacing w:before="60" w:after="60"/>
              <w:rPr>
                <w:i/>
                <w:sz w:val="20"/>
                <w:szCs w:val="20"/>
                <w:lang w:val="en-AU"/>
              </w:rPr>
            </w:pPr>
            <w:r w:rsidRPr="00D1412D">
              <w:rPr>
                <w:i/>
                <w:sz w:val="20"/>
                <w:lang w:val="en-AU"/>
              </w:rPr>
              <w:t>Atmospheric releases of ODS shall be monitored at all facilities with air emission discharges (where applicable) to ensure compliance with the recommendations of the report of the ad hoc Technical Advisory Committee on Destruction Technologies.</w:t>
            </w:r>
          </w:p>
        </w:tc>
      </w:tr>
    </w:tbl>
    <w:p w14:paraId="108E8D48" w14:textId="77777777" w:rsidR="009600D4" w:rsidRPr="00D1412D" w:rsidRDefault="009600D4" w:rsidP="009600D4">
      <w:pPr>
        <w:rPr>
          <w:i/>
          <w:lang w:val="en-AU"/>
        </w:rPr>
      </w:pPr>
      <w:r w:rsidRPr="00D1412D">
        <w:rPr>
          <w:i/>
          <w:lang w:val="en-AU"/>
        </w:rPr>
        <w:t>* Toxic equivalence using international method. Emissions limits are expressed as mass per dry cubic metre of flue gas at 0</w:t>
      </w:r>
      <w:r w:rsidRPr="00D1412D">
        <w:rPr>
          <w:i/>
          <w:vertAlign w:val="superscript"/>
          <w:lang w:val="en-AU"/>
        </w:rPr>
        <w:t>o</w:t>
      </w:r>
      <w:r w:rsidRPr="00D1412D">
        <w:rPr>
          <w:i/>
          <w:lang w:val="en-AU"/>
        </w:rPr>
        <w:t xml:space="preserve">C and 101.3 </w:t>
      </w:r>
      <w:proofErr w:type="spellStart"/>
      <w:r w:rsidRPr="00D1412D">
        <w:rPr>
          <w:i/>
          <w:lang w:val="en-AU"/>
        </w:rPr>
        <w:t>kPa</w:t>
      </w:r>
      <w:proofErr w:type="spellEnd"/>
      <w:r w:rsidRPr="00D1412D">
        <w:rPr>
          <w:i/>
          <w:lang w:val="en-AU"/>
        </w:rPr>
        <w:t xml:space="preserve"> corrected to 11% 0</w:t>
      </w:r>
      <w:r w:rsidRPr="00D1412D">
        <w:rPr>
          <w:i/>
          <w:vertAlign w:val="subscript"/>
          <w:lang w:val="en-AU"/>
        </w:rPr>
        <w:t>2</w:t>
      </w:r>
      <w:r w:rsidRPr="00D1412D">
        <w:rPr>
          <w:i/>
          <w:lang w:val="en-AU"/>
        </w:rPr>
        <w:t>.</w:t>
      </w:r>
    </w:p>
    <w:p w14:paraId="218C3EE7" w14:textId="77777777" w:rsidR="002E4DD6" w:rsidRDefault="002E4DD6" w:rsidP="00D444B5">
      <w:pPr>
        <w:pStyle w:val="Refs0"/>
        <w:spacing w:line="240" w:lineRule="auto"/>
        <w:ind w:left="0" w:firstLine="0"/>
        <w:rPr>
          <w:rFonts w:ascii="Times New Roman" w:hAnsi="Times New Roman"/>
        </w:rPr>
        <w:sectPr w:rsidR="002E4DD6" w:rsidSect="007D7370">
          <w:pgSz w:w="11907" w:h="16839" w:code="9"/>
          <w:pgMar w:top="1440" w:right="1797" w:bottom="1525" w:left="1797" w:header="720" w:footer="794" w:gutter="0"/>
          <w:cols w:space="720"/>
          <w:docGrid w:linePitch="299"/>
        </w:sectPr>
      </w:pPr>
    </w:p>
    <w:p w14:paraId="3B54D101" w14:textId="2ACCCAD7" w:rsidR="002E4DD6" w:rsidRPr="008D58B5" w:rsidRDefault="002E4DD6" w:rsidP="00533CC3">
      <w:pPr>
        <w:pStyle w:val="Heading1"/>
        <w:ind w:left="1701" w:hanging="1701"/>
      </w:pPr>
      <w:bookmarkStart w:id="147" w:name="_Toc510531498"/>
      <w:r>
        <w:lastRenderedPageBreak/>
        <w:t>Appendix 3</w:t>
      </w:r>
      <w:r w:rsidR="00533CC3">
        <w:t>:</w:t>
      </w:r>
      <w:r w:rsidR="00533CC3">
        <w:tab/>
      </w:r>
      <w:r>
        <w:t>Summary of Recommendations in Chapters 3 and 4</w:t>
      </w:r>
      <w:bookmarkEnd w:id="147"/>
    </w:p>
    <w:p w14:paraId="199453C4" w14:textId="5565ABD4" w:rsidR="002E4DD6" w:rsidRDefault="002E4DD6" w:rsidP="00BC5C67">
      <w:r>
        <w:t xml:space="preserve">Appendix 3 summarises the written recommendations included in Chapters 3 and 4, with </w:t>
      </w:r>
      <w:r w:rsidR="00A82C74">
        <w:t xml:space="preserve">corresponding </w:t>
      </w:r>
      <w:r>
        <w:t>numbered heading references.</w:t>
      </w:r>
      <w:r w:rsidR="00533CC3">
        <w:t xml:space="preserve"> </w:t>
      </w:r>
      <w:r w:rsidR="00FC7374">
        <w:t>In</w:t>
      </w:r>
      <w:r w:rsidR="00533CC3">
        <w:t xml:space="preserve"> the Word version of this document, the headings </w:t>
      </w:r>
      <w:r w:rsidR="00A82C74">
        <w:t xml:space="preserve">below </w:t>
      </w:r>
      <w:r w:rsidR="00D830ED">
        <w:t>are</w:t>
      </w:r>
      <w:r w:rsidR="00533CC3">
        <w:t xml:space="preserve"> hyperlinks to the relevant section in the body of the report.</w:t>
      </w:r>
    </w:p>
    <w:p w14:paraId="7EEAD7B0" w14:textId="6C1EBFEC" w:rsidR="002E4DD6" w:rsidRPr="00533CC3" w:rsidRDefault="00533CC3" w:rsidP="00BC5C67">
      <w:pPr>
        <w:rPr>
          <w:b/>
        </w:rPr>
      </w:pPr>
      <w:r w:rsidRPr="00533CC3">
        <w:rPr>
          <w:b/>
        </w:rPr>
        <w:fldChar w:fldCharType="begin"/>
      </w:r>
      <w:r w:rsidRPr="00533CC3">
        <w:rPr>
          <w:b/>
        </w:rPr>
        <w:instrText xml:space="preserve"> REF _Ref510530234 \h  \* MERGEFORMAT </w:instrText>
      </w:r>
      <w:r w:rsidRPr="00533CC3">
        <w:rPr>
          <w:b/>
        </w:rPr>
      </w:r>
      <w:r w:rsidRPr="00533CC3">
        <w:rPr>
          <w:b/>
        </w:rPr>
        <w:fldChar w:fldCharType="separate"/>
      </w:r>
      <w:r w:rsidR="00E65509" w:rsidRPr="00E65509">
        <w:rPr>
          <w:b/>
        </w:rPr>
        <w:t>3.2.1</w:t>
      </w:r>
      <w:r w:rsidR="00E65509" w:rsidRPr="00E65509">
        <w:rPr>
          <w:b/>
        </w:rPr>
        <w:tab/>
        <w:t>Cement Kilns</w:t>
      </w:r>
      <w:r w:rsidRPr="00533CC3">
        <w:rPr>
          <w:b/>
        </w:rPr>
        <w:fldChar w:fldCharType="end"/>
      </w:r>
    </w:p>
    <w:p w14:paraId="3FC990E5" w14:textId="77777777" w:rsidR="002E4DD6" w:rsidRPr="002E4DD6" w:rsidRDefault="002E4DD6" w:rsidP="00BC5C67">
      <w:r w:rsidRPr="002E4DD6">
        <w:t xml:space="preserve">At the time of writing, no specific DRE or relevant emissions data were available for assessment of HFC destruction against the performance criteria. Cement Kilns are recommended as high potential for applicability to HFCs destruction, including HFC-23.  </w:t>
      </w:r>
    </w:p>
    <w:p w14:paraId="4D2AF5D9" w14:textId="5029F413" w:rsidR="002E4DD6" w:rsidRPr="00533CC3" w:rsidRDefault="00533CC3" w:rsidP="00BC5C67">
      <w:pPr>
        <w:rPr>
          <w:b/>
        </w:rPr>
      </w:pPr>
      <w:r w:rsidRPr="00533CC3">
        <w:rPr>
          <w:b/>
        </w:rPr>
        <w:fldChar w:fldCharType="begin"/>
      </w:r>
      <w:r w:rsidRPr="00533CC3">
        <w:rPr>
          <w:b/>
        </w:rPr>
        <w:instrText xml:space="preserve"> REF _Ref510530326 \h  \* MERGEFORMAT </w:instrText>
      </w:r>
      <w:r w:rsidRPr="00533CC3">
        <w:rPr>
          <w:b/>
        </w:rPr>
      </w:r>
      <w:r w:rsidRPr="00533CC3">
        <w:rPr>
          <w:b/>
        </w:rPr>
        <w:fldChar w:fldCharType="separate"/>
      </w:r>
      <w:r w:rsidR="00E65509" w:rsidRPr="00E65509">
        <w:rPr>
          <w:b/>
        </w:rPr>
        <w:t>3.2.2</w:t>
      </w:r>
      <w:r w:rsidR="00E65509" w:rsidRPr="00E65509">
        <w:rPr>
          <w:b/>
        </w:rPr>
        <w:tab/>
        <w:t>Gaseous/Fume Oxidation</w:t>
      </w:r>
      <w:r w:rsidRPr="00533CC3">
        <w:rPr>
          <w:b/>
        </w:rPr>
        <w:fldChar w:fldCharType="end"/>
      </w:r>
    </w:p>
    <w:p w14:paraId="51CEDD06" w14:textId="77777777" w:rsidR="002E4DD6" w:rsidRPr="002E4DD6" w:rsidRDefault="002E4DD6" w:rsidP="00BC5C67">
      <w:r w:rsidRPr="002E4DD6">
        <w:t>Given the availability of information on demonstrated destruction of HFCs that meet the performance criteria, Gaseous/Fume Oxidation is recommended for approval for applicability to HFCs destruction, including HFC-23, using HFC-23 data as a proxy for other HFCs.</w:t>
      </w:r>
    </w:p>
    <w:p w14:paraId="50E47934" w14:textId="32E7ACC2" w:rsidR="002E4DD6" w:rsidRPr="00533CC3" w:rsidRDefault="00533CC3" w:rsidP="00BC5C67">
      <w:pPr>
        <w:rPr>
          <w:b/>
        </w:rPr>
      </w:pPr>
      <w:r w:rsidRPr="00533CC3">
        <w:rPr>
          <w:b/>
        </w:rPr>
        <w:fldChar w:fldCharType="begin"/>
      </w:r>
      <w:r w:rsidRPr="00533CC3">
        <w:rPr>
          <w:b/>
        </w:rPr>
        <w:instrText xml:space="preserve"> REF _Ref510530361 \h  \* MERGEFORMAT </w:instrText>
      </w:r>
      <w:r w:rsidRPr="00533CC3">
        <w:rPr>
          <w:b/>
        </w:rPr>
      </w:r>
      <w:r w:rsidRPr="00533CC3">
        <w:rPr>
          <w:b/>
        </w:rPr>
        <w:fldChar w:fldCharType="separate"/>
      </w:r>
      <w:r w:rsidR="00E65509" w:rsidRPr="00E65509">
        <w:rPr>
          <w:b/>
        </w:rPr>
        <w:t>3.2.3</w:t>
      </w:r>
      <w:r w:rsidR="00E65509" w:rsidRPr="00E65509">
        <w:rPr>
          <w:b/>
        </w:rPr>
        <w:tab/>
        <w:t>Liquid Injection Incineration</w:t>
      </w:r>
      <w:r w:rsidRPr="00533CC3">
        <w:rPr>
          <w:b/>
        </w:rPr>
        <w:fldChar w:fldCharType="end"/>
      </w:r>
    </w:p>
    <w:p w14:paraId="7B1FBC70" w14:textId="77777777" w:rsidR="002E4DD6" w:rsidRPr="002E4DD6" w:rsidRDefault="002E4DD6" w:rsidP="00BC5C67">
      <w:r w:rsidRPr="002E4DD6">
        <w:t>The 2002 TFDT reported dioxins/furans emissions data that were higher than the performance criteria for ODS destruction. At the time of writing, no data were available to confirm dioxins/furans emissions for HFC-134a destruction, and no data were provided for HFC-23 performance or destruction, therefore, Liquid Injection Incineration is recommended as high potential for applicability to HFCs destruction, including HFC-23.</w:t>
      </w:r>
    </w:p>
    <w:p w14:paraId="3BE07DC0" w14:textId="7E975D24" w:rsidR="002E4DD6" w:rsidRPr="00533CC3" w:rsidRDefault="00533CC3" w:rsidP="00BC5C67">
      <w:pPr>
        <w:rPr>
          <w:b/>
        </w:rPr>
      </w:pPr>
      <w:r w:rsidRPr="00533CC3">
        <w:rPr>
          <w:b/>
        </w:rPr>
        <w:fldChar w:fldCharType="begin"/>
      </w:r>
      <w:r w:rsidRPr="00533CC3">
        <w:rPr>
          <w:b/>
        </w:rPr>
        <w:instrText xml:space="preserve"> REF _Ref510530462 \h  \* MERGEFORMAT </w:instrText>
      </w:r>
      <w:r w:rsidRPr="00533CC3">
        <w:rPr>
          <w:b/>
        </w:rPr>
      </w:r>
      <w:r w:rsidRPr="00533CC3">
        <w:rPr>
          <w:b/>
        </w:rPr>
        <w:fldChar w:fldCharType="separate"/>
      </w:r>
      <w:r w:rsidR="00E65509" w:rsidRPr="00E65509">
        <w:rPr>
          <w:b/>
        </w:rPr>
        <w:t>3.2.4</w:t>
      </w:r>
      <w:r w:rsidR="00E65509" w:rsidRPr="00E65509">
        <w:rPr>
          <w:b/>
        </w:rPr>
        <w:tab/>
        <w:t>Municipal Solid Waste Incineration</w:t>
      </w:r>
      <w:r w:rsidRPr="00533CC3">
        <w:rPr>
          <w:b/>
        </w:rPr>
        <w:fldChar w:fldCharType="end"/>
      </w:r>
    </w:p>
    <w:p w14:paraId="26A71A37" w14:textId="77777777" w:rsidR="002E4DD6" w:rsidRPr="002E4DD6" w:rsidRDefault="002E4DD6" w:rsidP="00BC5C67">
      <w:r w:rsidRPr="002E4DD6">
        <w:t>No dioxins/furans emissions data were available to the 2018 TFDT at the time of this writing, and the dioxins/furans emissions were higher than the criteria for ODS as noted in the 2002 TFDT. Municipal Solid Waste Incineration is recommended as high potential for applicability to destruction of dilute HFC sources (except for HFC-23), specifically for the destruction of HFC blowing agents in foam.</w:t>
      </w:r>
    </w:p>
    <w:p w14:paraId="2CA89CE0" w14:textId="6299B49A" w:rsidR="002E4DD6" w:rsidRPr="00533CC3" w:rsidRDefault="00533CC3" w:rsidP="00BC5C67">
      <w:pPr>
        <w:rPr>
          <w:b/>
        </w:rPr>
      </w:pPr>
      <w:r w:rsidRPr="00533CC3">
        <w:rPr>
          <w:b/>
        </w:rPr>
        <w:fldChar w:fldCharType="begin"/>
      </w:r>
      <w:r w:rsidRPr="00533CC3">
        <w:rPr>
          <w:b/>
        </w:rPr>
        <w:instrText xml:space="preserve"> REF _Ref510530489 \h  \* MERGEFORMAT </w:instrText>
      </w:r>
      <w:r w:rsidRPr="00533CC3">
        <w:rPr>
          <w:b/>
        </w:rPr>
      </w:r>
      <w:r w:rsidRPr="00533CC3">
        <w:rPr>
          <w:b/>
        </w:rPr>
        <w:fldChar w:fldCharType="separate"/>
      </w:r>
      <w:r w:rsidR="00E65509" w:rsidRPr="00E65509">
        <w:rPr>
          <w:b/>
        </w:rPr>
        <w:t>3.2.5</w:t>
      </w:r>
      <w:r w:rsidR="00E65509" w:rsidRPr="00E65509">
        <w:rPr>
          <w:b/>
        </w:rPr>
        <w:tab/>
        <w:t>Porous Thermal Reactor</w:t>
      </w:r>
      <w:r w:rsidRPr="00533CC3">
        <w:rPr>
          <w:b/>
        </w:rPr>
        <w:fldChar w:fldCharType="end"/>
      </w:r>
    </w:p>
    <w:p w14:paraId="495AA497" w14:textId="77777777" w:rsidR="002E4DD6" w:rsidRPr="002E4DD6" w:rsidRDefault="002E4DD6" w:rsidP="00BC5C67">
      <w:r w:rsidRPr="002E4DD6">
        <w:t>Porous Thermal Reactor is recommended for approval for applicability to HFCs destruction, except for HFC-23, for which no data was available for assessment. Porous Thermal Reactor is recommended as high potential for applicability to HFC-23 destruction.</w:t>
      </w:r>
    </w:p>
    <w:p w14:paraId="1B0C4CD6" w14:textId="33C59C8C" w:rsidR="002E4DD6" w:rsidRPr="00533CC3" w:rsidRDefault="00533CC3" w:rsidP="00BC5C67">
      <w:pPr>
        <w:rPr>
          <w:b/>
        </w:rPr>
      </w:pPr>
      <w:r w:rsidRPr="00533CC3">
        <w:rPr>
          <w:b/>
        </w:rPr>
        <w:fldChar w:fldCharType="begin"/>
      </w:r>
      <w:r w:rsidRPr="00533CC3">
        <w:rPr>
          <w:b/>
        </w:rPr>
        <w:instrText xml:space="preserve"> REF _Ref510530516 \h  \* MERGEFORMAT </w:instrText>
      </w:r>
      <w:r w:rsidRPr="00533CC3">
        <w:rPr>
          <w:b/>
        </w:rPr>
      </w:r>
      <w:r w:rsidRPr="00533CC3">
        <w:rPr>
          <w:b/>
        </w:rPr>
        <w:fldChar w:fldCharType="separate"/>
      </w:r>
      <w:r w:rsidR="00E65509" w:rsidRPr="00E65509">
        <w:rPr>
          <w:b/>
        </w:rPr>
        <w:t>3.2.6</w:t>
      </w:r>
      <w:r w:rsidR="00E65509" w:rsidRPr="00E65509">
        <w:rPr>
          <w:b/>
        </w:rPr>
        <w:tab/>
        <w:t>Reactor Cracking</w:t>
      </w:r>
      <w:r w:rsidRPr="00533CC3">
        <w:rPr>
          <w:b/>
        </w:rPr>
        <w:fldChar w:fldCharType="end"/>
      </w:r>
    </w:p>
    <w:p w14:paraId="28B5C0D7" w14:textId="2A5AFB2E" w:rsidR="002E4DD6" w:rsidRPr="002E4DD6" w:rsidRDefault="002E4DD6" w:rsidP="00BC5C67">
      <w:r w:rsidRPr="002E4DD6">
        <w:t>At the time of writing, no specific emission data for particulates were available for assessment against the performance criteria.</w:t>
      </w:r>
      <w:r w:rsidR="00533CC3">
        <w:t xml:space="preserve"> </w:t>
      </w:r>
      <w:r w:rsidRPr="002E4DD6">
        <w:t>Reactor Cracking is recommended as high potential for applicability to HFCs destruction, including HFC-23.</w:t>
      </w:r>
    </w:p>
    <w:p w14:paraId="0C90705F" w14:textId="302446D2" w:rsidR="002E4DD6" w:rsidRPr="00533CC3" w:rsidRDefault="00533CC3" w:rsidP="00BC5C67">
      <w:pPr>
        <w:rPr>
          <w:b/>
        </w:rPr>
      </w:pPr>
      <w:r w:rsidRPr="00533CC3">
        <w:rPr>
          <w:b/>
        </w:rPr>
        <w:fldChar w:fldCharType="begin"/>
      </w:r>
      <w:r w:rsidRPr="00533CC3">
        <w:rPr>
          <w:b/>
        </w:rPr>
        <w:instrText xml:space="preserve"> REF _Ref510530544 \h  \* MERGEFORMAT </w:instrText>
      </w:r>
      <w:r w:rsidRPr="00533CC3">
        <w:rPr>
          <w:b/>
        </w:rPr>
      </w:r>
      <w:r w:rsidRPr="00533CC3">
        <w:rPr>
          <w:b/>
        </w:rPr>
        <w:fldChar w:fldCharType="separate"/>
      </w:r>
      <w:r w:rsidR="00E65509" w:rsidRPr="00E65509">
        <w:rPr>
          <w:b/>
        </w:rPr>
        <w:t>3.2.7</w:t>
      </w:r>
      <w:r w:rsidR="00E65509" w:rsidRPr="00E65509">
        <w:rPr>
          <w:b/>
        </w:rPr>
        <w:tab/>
        <w:t>Rotary Kiln Incineration</w:t>
      </w:r>
      <w:r w:rsidRPr="00533CC3">
        <w:rPr>
          <w:b/>
        </w:rPr>
        <w:fldChar w:fldCharType="end"/>
      </w:r>
    </w:p>
    <w:p w14:paraId="03A47D8D" w14:textId="77777777" w:rsidR="002E4DD6" w:rsidRPr="002E4DD6" w:rsidRDefault="002E4DD6" w:rsidP="00BC5C67">
      <w:r w:rsidRPr="002E4DD6">
        <w:t>No HFC performance data is presently available to undertake a performance criteria assessment on rotary kiln incineration, therefore, Rotary Kiln Incineration is recommended as high potential for applicability to HFCs destruction, including HFC-23.</w:t>
      </w:r>
    </w:p>
    <w:p w14:paraId="0C16852B" w14:textId="1D5AB857" w:rsidR="002E4DD6" w:rsidRPr="00533CC3" w:rsidRDefault="00533CC3" w:rsidP="00533CC3">
      <w:pPr>
        <w:keepNext/>
        <w:rPr>
          <w:b/>
        </w:rPr>
      </w:pPr>
      <w:r w:rsidRPr="00533CC3">
        <w:rPr>
          <w:b/>
        </w:rPr>
        <w:lastRenderedPageBreak/>
        <w:fldChar w:fldCharType="begin"/>
      </w:r>
      <w:r w:rsidRPr="00533CC3">
        <w:rPr>
          <w:b/>
        </w:rPr>
        <w:instrText xml:space="preserve"> REF _Ref510530569 \h  \* MERGEFORMAT </w:instrText>
      </w:r>
      <w:r w:rsidRPr="00533CC3">
        <w:rPr>
          <w:b/>
        </w:rPr>
      </w:r>
      <w:r w:rsidRPr="00533CC3">
        <w:rPr>
          <w:b/>
        </w:rPr>
        <w:fldChar w:fldCharType="separate"/>
      </w:r>
      <w:r w:rsidR="00E65509" w:rsidRPr="00E65509">
        <w:rPr>
          <w:b/>
        </w:rPr>
        <w:t>3.3.1</w:t>
      </w:r>
      <w:r w:rsidR="00E65509" w:rsidRPr="00E65509">
        <w:rPr>
          <w:b/>
        </w:rPr>
        <w:tab/>
        <w:t>Argon Plasma Arc</w:t>
      </w:r>
      <w:r w:rsidRPr="00533CC3">
        <w:rPr>
          <w:b/>
        </w:rPr>
        <w:fldChar w:fldCharType="end"/>
      </w:r>
    </w:p>
    <w:p w14:paraId="20CCF57B" w14:textId="77777777" w:rsidR="002E4DD6" w:rsidRPr="002E4DD6" w:rsidRDefault="002E4DD6" w:rsidP="00BC5C67">
      <w:r w:rsidRPr="002E4DD6">
        <w:t>At the time of writing, either emissions data are higher than performance criteria (for CO) or are presently unavailable to undertake a performance criteria assessment, therefore, Argon plasma arc is recommended as high potential for applicability to HFCs destruction, including HFC-23.</w:t>
      </w:r>
    </w:p>
    <w:p w14:paraId="7488C78B" w14:textId="704DD78D" w:rsidR="002E4DD6" w:rsidRPr="00533CC3" w:rsidRDefault="00533CC3" w:rsidP="00BC5C67">
      <w:pPr>
        <w:rPr>
          <w:b/>
        </w:rPr>
      </w:pPr>
      <w:r w:rsidRPr="00533CC3">
        <w:rPr>
          <w:b/>
        </w:rPr>
        <w:fldChar w:fldCharType="begin"/>
      </w:r>
      <w:r w:rsidRPr="00533CC3">
        <w:rPr>
          <w:b/>
        </w:rPr>
        <w:instrText xml:space="preserve"> REF _Ref510530638 \h  \* MERGEFORMAT </w:instrText>
      </w:r>
      <w:r w:rsidRPr="00533CC3">
        <w:rPr>
          <w:b/>
        </w:rPr>
      </w:r>
      <w:r w:rsidRPr="00533CC3">
        <w:rPr>
          <w:b/>
        </w:rPr>
        <w:fldChar w:fldCharType="separate"/>
      </w:r>
      <w:r w:rsidR="00E65509" w:rsidRPr="00E65509">
        <w:rPr>
          <w:b/>
        </w:rPr>
        <w:t>3.3.2</w:t>
      </w:r>
      <w:r w:rsidR="00E65509" w:rsidRPr="00E65509">
        <w:rPr>
          <w:b/>
        </w:rPr>
        <w:tab/>
        <w:t>Inductively coupled radio frequency plasma</w:t>
      </w:r>
      <w:r w:rsidRPr="00533CC3">
        <w:rPr>
          <w:b/>
        </w:rPr>
        <w:fldChar w:fldCharType="end"/>
      </w:r>
    </w:p>
    <w:p w14:paraId="6BCF0F16" w14:textId="77777777" w:rsidR="002E4DD6" w:rsidRPr="002E4DD6" w:rsidRDefault="002E4DD6" w:rsidP="00BC5C67">
      <w:r w:rsidRPr="002E4DD6">
        <w:t>Due to insufficient data being available at the time of writing, the 2018 TFDT is unable to assess Inductively Coupled Radio Frequency Plasma for applicability for HFCs destruction.</w:t>
      </w:r>
    </w:p>
    <w:p w14:paraId="0EEDDE80" w14:textId="12AC4CE5" w:rsidR="002E4DD6" w:rsidRPr="00533CC3" w:rsidRDefault="00533CC3" w:rsidP="00BC5C67">
      <w:pPr>
        <w:rPr>
          <w:b/>
        </w:rPr>
      </w:pPr>
      <w:r w:rsidRPr="00533CC3">
        <w:rPr>
          <w:b/>
        </w:rPr>
        <w:fldChar w:fldCharType="begin"/>
      </w:r>
      <w:r w:rsidRPr="00533CC3">
        <w:rPr>
          <w:b/>
        </w:rPr>
        <w:instrText xml:space="preserve"> REF _Ref510530770 \h  \* MERGEFORMAT </w:instrText>
      </w:r>
      <w:r w:rsidRPr="00533CC3">
        <w:rPr>
          <w:b/>
        </w:rPr>
      </w:r>
      <w:r w:rsidRPr="00533CC3">
        <w:rPr>
          <w:b/>
        </w:rPr>
        <w:fldChar w:fldCharType="separate"/>
      </w:r>
      <w:r w:rsidR="00E65509" w:rsidRPr="00E65509">
        <w:rPr>
          <w:b/>
        </w:rPr>
        <w:t>3.3.3</w:t>
      </w:r>
      <w:r w:rsidR="00E65509" w:rsidRPr="00E65509">
        <w:rPr>
          <w:b/>
        </w:rPr>
        <w:tab/>
        <w:t>Microwave Plasma</w:t>
      </w:r>
      <w:r w:rsidRPr="00533CC3">
        <w:rPr>
          <w:b/>
        </w:rPr>
        <w:fldChar w:fldCharType="end"/>
      </w:r>
    </w:p>
    <w:p w14:paraId="285504D1" w14:textId="77777777" w:rsidR="002E4DD6" w:rsidRPr="002E4DD6" w:rsidRDefault="002E4DD6" w:rsidP="00BC5C67">
      <w:r w:rsidRPr="002E4DD6">
        <w:t>Due to insufficient data being available at the time of writing, the 2018 TFDT is unable to assess Microwave Plasma for applicability for HFCs destruction.</w:t>
      </w:r>
    </w:p>
    <w:p w14:paraId="6EBA0882" w14:textId="7BFC25F1" w:rsidR="002E4DD6" w:rsidRPr="00533CC3" w:rsidRDefault="00533CC3" w:rsidP="00BC5C67">
      <w:pPr>
        <w:rPr>
          <w:b/>
        </w:rPr>
      </w:pPr>
      <w:r w:rsidRPr="00533CC3">
        <w:rPr>
          <w:b/>
        </w:rPr>
        <w:fldChar w:fldCharType="begin"/>
      </w:r>
      <w:r w:rsidRPr="00533CC3">
        <w:rPr>
          <w:b/>
        </w:rPr>
        <w:instrText xml:space="preserve"> REF _Ref510530793 \h  \* MERGEFORMAT </w:instrText>
      </w:r>
      <w:r w:rsidRPr="00533CC3">
        <w:rPr>
          <w:b/>
        </w:rPr>
      </w:r>
      <w:r w:rsidRPr="00533CC3">
        <w:rPr>
          <w:b/>
        </w:rPr>
        <w:fldChar w:fldCharType="separate"/>
      </w:r>
      <w:r w:rsidR="00E65509" w:rsidRPr="00E65509">
        <w:rPr>
          <w:b/>
        </w:rPr>
        <w:t>3.3.4</w:t>
      </w:r>
      <w:r w:rsidR="00E65509" w:rsidRPr="00E65509">
        <w:rPr>
          <w:b/>
        </w:rPr>
        <w:tab/>
        <w:t>Nitrogen Plasma Arc</w:t>
      </w:r>
      <w:r w:rsidRPr="00533CC3">
        <w:rPr>
          <w:b/>
        </w:rPr>
        <w:fldChar w:fldCharType="end"/>
      </w:r>
    </w:p>
    <w:p w14:paraId="0677F80E" w14:textId="77777777" w:rsidR="002E4DD6" w:rsidRPr="002E4DD6" w:rsidRDefault="002E4DD6" w:rsidP="00BC5C67">
      <w:r w:rsidRPr="002E4DD6">
        <w:t>Information available at the writing of this report indicated that reported particulate and HF emissions are above the performance criteria, therefore, Nitrogen Plasma Arc is recommended as high potential for applicability to HFCs destruction, including HFC-23.</w:t>
      </w:r>
    </w:p>
    <w:p w14:paraId="52252230" w14:textId="7B0686A1" w:rsidR="002E4DD6" w:rsidRPr="00533CC3" w:rsidRDefault="00533CC3" w:rsidP="00BC5C67">
      <w:pPr>
        <w:rPr>
          <w:b/>
        </w:rPr>
      </w:pPr>
      <w:r w:rsidRPr="00533CC3">
        <w:rPr>
          <w:b/>
        </w:rPr>
        <w:fldChar w:fldCharType="begin"/>
      </w:r>
      <w:r w:rsidRPr="00533CC3">
        <w:rPr>
          <w:b/>
        </w:rPr>
        <w:instrText xml:space="preserve"> REF _Ref510530813 \h  \* MERGEFORMAT </w:instrText>
      </w:r>
      <w:r w:rsidRPr="00533CC3">
        <w:rPr>
          <w:b/>
        </w:rPr>
      </w:r>
      <w:r w:rsidRPr="00533CC3">
        <w:rPr>
          <w:b/>
        </w:rPr>
        <w:fldChar w:fldCharType="separate"/>
      </w:r>
      <w:r w:rsidR="00E65509" w:rsidRPr="00E65509">
        <w:rPr>
          <w:b/>
        </w:rPr>
        <w:t>3.3.5</w:t>
      </w:r>
      <w:r w:rsidR="00E65509" w:rsidRPr="00E65509">
        <w:rPr>
          <w:b/>
        </w:rPr>
        <w:tab/>
        <w:t>Portable Plasma Arc</w:t>
      </w:r>
      <w:r w:rsidRPr="00533CC3">
        <w:rPr>
          <w:b/>
        </w:rPr>
        <w:fldChar w:fldCharType="end"/>
      </w:r>
    </w:p>
    <w:p w14:paraId="338AD7B9" w14:textId="77777777" w:rsidR="002E4DD6" w:rsidRPr="002E4DD6" w:rsidRDefault="002E4DD6" w:rsidP="00BC5C67">
      <w:r w:rsidRPr="002E4DD6">
        <w:t xml:space="preserve">Data were not available for </w:t>
      </w:r>
      <w:proofErr w:type="spellStart"/>
      <w:r w:rsidRPr="002E4DD6">
        <w:t>HCl</w:t>
      </w:r>
      <w:proofErr w:type="spellEnd"/>
      <w:r w:rsidRPr="002E4DD6">
        <w:t xml:space="preserve"> and dioxins/furans emissions at the time of writing of this report. Portable Plasma Arc is recommended as high potential for applicability to HFCs destruction, including HFC-23.</w:t>
      </w:r>
    </w:p>
    <w:p w14:paraId="5EE0651A" w14:textId="7E1388CA" w:rsidR="002E4DD6" w:rsidRPr="00533CC3" w:rsidRDefault="00533CC3" w:rsidP="00BC5C67">
      <w:pPr>
        <w:rPr>
          <w:b/>
        </w:rPr>
      </w:pPr>
      <w:r w:rsidRPr="00533CC3">
        <w:rPr>
          <w:b/>
        </w:rPr>
        <w:fldChar w:fldCharType="begin"/>
      </w:r>
      <w:r w:rsidRPr="00533CC3">
        <w:rPr>
          <w:b/>
        </w:rPr>
        <w:instrText xml:space="preserve"> REF _Ref510530850 \h  \* MERGEFORMAT </w:instrText>
      </w:r>
      <w:r w:rsidRPr="00533CC3">
        <w:rPr>
          <w:b/>
        </w:rPr>
      </w:r>
      <w:r w:rsidRPr="00533CC3">
        <w:rPr>
          <w:b/>
        </w:rPr>
        <w:fldChar w:fldCharType="separate"/>
      </w:r>
      <w:r w:rsidR="00E65509" w:rsidRPr="00E65509">
        <w:rPr>
          <w:b/>
        </w:rPr>
        <w:t>3.4.1</w:t>
      </w:r>
      <w:r w:rsidR="00E65509" w:rsidRPr="00E65509">
        <w:rPr>
          <w:b/>
        </w:rPr>
        <w:tab/>
        <w:t>Chemical Reaction with H2 and CO2</w:t>
      </w:r>
      <w:r w:rsidRPr="00533CC3">
        <w:rPr>
          <w:b/>
        </w:rPr>
        <w:fldChar w:fldCharType="end"/>
      </w:r>
    </w:p>
    <w:p w14:paraId="714466CF" w14:textId="77777777" w:rsidR="002E4DD6" w:rsidRPr="002E4DD6" w:rsidRDefault="002E4DD6" w:rsidP="00BC5C67">
      <w:r w:rsidRPr="002E4DD6">
        <w:t>In the absence of emissions data demonstrating it meets the performance criteria for particulates and dioxins/furans, Chemical Reaction with H</w:t>
      </w:r>
      <w:r w:rsidRPr="00533CC3">
        <w:rPr>
          <w:vertAlign w:val="subscript"/>
        </w:rPr>
        <w:t>2</w:t>
      </w:r>
      <w:r w:rsidRPr="002E4DD6">
        <w:t xml:space="preserve"> and CO</w:t>
      </w:r>
      <w:r w:rsidRPr="00533CC3">
        <w:rPr>
          <w:vertAlign w:val="subscript"/>
        </w:rPr>
        <w:t>2</w:t>
      </w:r>
      <w:r w:rsidRPr="002E4DD6">
        <w:t xml:space="preserve"> is recommended as high potential for applicability to HFCs destruction, including HFC-23.</w:t>
      </w:r>
    </w:p>
    <w:p w14:paraId="082E06F3" w14:textId="7934F24F" w:rsidR="002E4DD6" w:rsidRPr="00533CC3" w:rsidRDefault="00533CC3" w:rsidP="00BC5C67">
      <w:pPr>
        <w:rPr>
          <w:b/>
        </w:rPr>
      </w:pPr>
      <w:r w:rsidRPr="00533CC3">
        <w:rPr>
          <w:b/>
        </w:rPr>
        <w:fldChar w:fldCharType="begin"/>
      </w:r>
      <w:r w:rsidRPr="00533CC3">
        <w:rPr>
          <w:b/>
        </w:rPr>
        <w:instrText xml:space="preserve"> REF _Ref510530886 \h  \* MERGEFORMAT </w:instrText>
      </w:r>
      <w:r w:rsidRPr="00533CC3">
        <w:rPr>
          <w:b/>
        </w:rPr>
      </w:r>
      <w:r w:rsidRPr="00533CC3">
        <w:rPr>
          <w:b/>
        </w:rPr>
        <w:fldChar w:fldCharType="separate"/>
      </w:r>
      <w:r w:rsidR="00E65509" w:rsidRPr="00E65509">
        <w:rPr>
          <w:b/>
        </w:rPr>
        <w:t>3.4.2</w:t>
      </w:r>
      <w:r w:rsidR="00E65509" w:rsidRPr="00E65509">
        <w:rPr>
          <w:b/>
        </w:rPr>
        <w:tab/>
        <w:t>Gas Phase Catalytic De-halogenation</w:t>
      </w:r>
      <w:r w:rsidRPr="00533CC3">
        <w:rPr>
          <w:b/>
        </w:rPr>
        <w:fldChar w:fldCharType="end"/>
      </w:r>
    </w:p>
    <w:p w14:paraId="255BEE3F" w14:textId="77777777" w:rsidR="002E4DD6" w:rsidRPr="002E4DD6" w:rsidRDefault="002E4DD6" w:rsidP="00BC5C67">
      <w:r w:rsidRPr="002E4DD6">
        <w:t>No dioxins/furans emissions data for HFCs destruction were available to the 2018 TFDT at the time of writing. The 2002 TFDT report noted that the TFDT believed that the dioxins/furans emissions would be comparable to those from rotary kilns, although also had no actual emissions data available. Gas Phase Catalytic De-halogenation is recommended as high potential for applicability to HFCs destruction, including HFC-23.</w:t>
      </w:r>
    </w:p>
    <w:p w14:paraId="04333300" w14:textId="6A59F2CD" w:rsidR="002E4DD6" w:rsidRPr="00533CC3" w:rsidRDefault="00533CC3" w:rsidP="00BC5C67">
      <w:pPr>
        <w:rPr>
          <w:b/>
        </w:rPr>
      </w:pPr>
      <w:r w:rsidRPr="00533CC3">
        <w:rPr>
          <w:b/>
        </w:rPr>
        <w:fldChar w:fldCharType="begin"/>
      </w:r>
      <w:r w:rsidRPr="00533CC3">
        <w:rPr>
          <w:b/>
        </w:rPr>
        <w:instrText xml:space="preserve"> REF _Ref510530916 \h  \* MERGEFORMAT </w:instrText>
      </w:r>
      <w:r w:rsidRPr="00533CC3">
        <w:rPr>
          <w:b/>
        </w:rPr>
      </w:r>
      <w:r w:rsidRPr="00533CC3">
        <w:rPr>
          <w:b/>
        </w:rPr>
        <w:fldChar w:fldCharType="separate"/>
      </w:r>
      <w:r w:rsidR="00E65509" w:rsidRPr="00E65509">
        <w:rPr>
          <w:b/>
        </w:rPr>
        <w:t>3.4.3</w:t>
      </w:r>
      <w:r w:rsidR="00E65509" w:rsidRPr="00E65509">
        <w:rPr>
          <w:b/>
        </w:rPr>
        <w:tab/>
        <w:t>Superheated steam reactor</w:t>
      </w:r>
      <w:r w:rsidRPr="00533CC3">
        <w:rPr>
          <w:b/>
        </w:rPr>
        <w:fldChar w:fldCharType="end"/>
      </w:r>
    </w:p>
    <w:p w14:paraId="774D8A4F" w14:textId="77777777" w:rsidR="002E4DD6" w:rsidRPr="002E4DD6" w:rsidRDefault="002E4DD6" w:rsidP="00BC5C67">
      <w:r w:rsidRPr="002E4DD6">
        <w:t>In the absence of emissions data demonstrating it meets the performance criteria for particulates, Superheated Steam Reactor is recommended for high potential for applicability to HFCs destruction, including HFC-23.</w:t>
      </w:r>
    </w:p>
    <w:p w14:paraId="0163C2C6" w14:textId="118D308F" w:rsidR="002E4DD6" w:rsidRPr="00533CC3" w:rsidRDefault="00533CC3" w:rsidP="00BC5C67">
      <w:pPr>
        <w:rPr>
          <w:b/>
        </w:rPr>
      </w:pPr>
      <w:r w:rsidRPr="00533CC3">
        <w:rPr>
          <w:b/>
        </w:rPr>
        <w:fldChar w:fldCharType="begin"/>
      </w:r>
      <w:r w:rsidRPr="00533CC3">
        <w:rPr>
          <w:b/>
        </w:rPr>
        <w:instrText xml:space="preserve"> REF _Ref510530937 \h  \* MERGEFORMAT </w:instrText>
      </w:r>
      <w:r w:rsidRPr="00533CC3">
        <w:rPr>
          <w:b/>
        </w:rPr>
      </w:r>
      <w:r w:rsidRPr="00533CC3">
        <w:rPr>
          <w:b/>
        </w:rPr>
        <w:fldChar w:fldCharType="separate"/>
      </w:r>
      <w:r w:rsidR="00E65509" w:rsidRPr="00E65509">
        <w:rPr>
          <w:b/>
        </w:rPr>
        <w:t>3.4.4</w:t>
      </w:r>
      <w:r w:rsidR="00E65509" w:rsidRPr="00E65509">
        <w:rPr>
          <w:b/>
        </w:rPr>
        <w:tab/>
        <w:t>Thermal Reaction with Methane</w:t>
      </w:r>
      <w:r w:rsidRPr="00533CC3">
        <w:rPr>
          <w:b/>
        </w:rPr>
        <w:fldChar w:fldCharType="end"/>
      </w:r>
    </w:p>
    <w:p w14:paraId="3E08C963" w14:textId="77777777" w:rsidR="002E4DD6" w:rsidRPr="002E4DD6" w:rsidRDefault="002E4DD6" w:rsidP="00BC5C67">
      <w:r w:rsidRPr="002E4DD6">
        <w:t>Due to insufficient data being available at the time of writing, the 2018 TFDT is unable to assess Thermal Reaction with Methane to confirm its applicability to HFCs destruction.</w:t>
      </w:r>
    </w:p>
    <w:p w14:paraId="38AD1270" w14:textId="46D211B2" w:rsidR="002E4DD6" w:rsidRPr="00533CC3" w:rsidRDefault="00533CC3" w:rsidP="00BC5C67">
      <w:pPr>
        <w:keepNext/>
        <w:rPr>
          <w:b/>
        </w:rPr>
      </w:pPr>
      <w:r w:rsidRPr="00533CC3">
        <w:rPr>
          <w:b/>
        </w:rPr>
        <w:lastRenderedPageBreak/>
        <w:fldChar w:fldCharType="begin"/>
      </w:r>
      <w:r w:rsidRPr="00533CC3">
        <w:rPr>
          <w:b/>
        </w:rPr>
        <w:instrText xml:space="preserve"> REF _Ref510530961 \h  \* MERGEFORMAT </w:instrText>
      </w:r>
      <w:r w:rsidRPr="00533CC3">
        <w:rPr>
          <w:b/>
        </w:rPr>
      </w:r>
      <w:r w:rsidRPr="00533CC3">
        <w:rPr>
          <w:b/>
        </w:rPr>
        <w:fldChar w:fldCharType="separate"/>
      </w:r>
      <w:r w:rsidR="00E65509" w:rsidRPr="00E65509">
        <w:rPr>
          <w:b/>
        </w:rPr>
        <w:t>4.1.1</w:t>
      </w:r>
      <w:r w:rsidR="00E65509" w:rsidRPr="00E65509">
        <w:rPr>
          <w:b/>
        </w:rPr>
        <w:tab/>
        <w:t>Electric Heater</w:t>
      </w:r>
      <w:r w:rsidRPr="00533CC3">
        <w:rPr>
          <w:b/>
        </w:rPr>
        <w:fldChar w:fldCharType="end"/>
      </w:r>
    </w:p>
    <w:p w14:paraId="10B0769D" w14:textId="77777777" w:rsidR="002E4DD6" w:rsidRPr="002E4DD6" w:rsidRDefault="002E4DD6" w:rsidP="00BC5C67">
      <w:r w:rsidRPr="002E4DD6">
        <w:t>Particulate emissions that meet the performance criteria are unavailable at this time. Additional DRE and more elaboration on the measurement of emission results would be useful, noting the general reporting of nil results. Electric Heater is recommended as high potential for applicability to HFCs destruction, including HFC-23.</w:t>
      </w:r>
    </w:p>
    <w:p w14:paraId="43456EA0" w14:textId="2D63A590" w:rsidR="002E4DD6" w:rsidRPr="00533CC3" w:rsidRDefault="00533CC3" w:rsidP="00BC5C67">
      <w:pPr>
        <w:rPr>
          <w:b/>
        </w:rPr>
      </w:pPr>
      <w:r w:rsidRPr="00533CC3">
        <w:rPr>
          <w:b/>
        </w:rPr>
        <w:fldChar w:fldCharType="begin"/>
      </w:r>
      <w:r w:rsidRPr="00533CC3">
        <w:rPr>
          <w:b/>
        </w:rPr>
        <w:instrText xml:space="preserve"> REF _Ref510530993 \h  \* MERGEFORMAT </w:instrText>
      </w:r>
      <w:r w:rsidRPr="00533CC3">
        <w:rPr>
          <w:b/>
        </w:rPr>
      </w:r>
      <w:r w:rsidRPr="00533CC3">
        <w:rPr>
          <w:b/>
        </w:rPr>
        <w:fldChar w:fldCharType="separate"/>
      </w:r>
      <w:r w:rsidR="00E65509" w:rsidRPr="00E65509">
        <w:rPr>
          <w:b/>
        </w:rPr>
        <w:t>4.1.2</w:t>
      </w:r>
      <w:r w:rsidR="00E65509" w:rsidRPr="00E65509">
        <w:rPr>
          <w:b/>
        </w:rPr>
        <w:tab/>
        <w:t>Fixed Hearth Incinerator</w:t>
      </w:r>
      <w:r w:rsidRPr="00533CC3">
        <w:rPr>
          <w:b/>
        </w:rPr>
        <w:fldChar w:fldCharType="end"/>
      </w:r>
    </w:p>
    <w:p w14:paraId="135BE8E4" w14:textId="77777777" w:rsidR="002E4DD6" w:rsidRPr="002E4DD6" w:rsidRDefault="002E4DD6" w:rsidP="00BC5C67">
      <w:r w:rsidRPr="002E4DD6">
        <w:t>No other data to assess the technology was provided. Due to insufficient data being available at the time of writing, the 2018 TFDT is unable to assess Fixed Hearth Incinerators for possible inclusion on the list of approved destruction technologies. Also, the operating temperature appears to be lower than recommended in the European Union submission for destruction of HFCs.</w:t>
      </w:r>
    </w:p>
    <w:p w14:paraId="15A10EB8" w14:textId="4B70C9AF" w:rsidR="002E4DD6" w:rsidRPr="00533CC3" w:rsidRDefault="00533CC3" w:rsidP="00BC5C67">
      <w:pPr>
        <w:rPr>
          <w:b/>
        </w:rPr>
      </w:pPr>
      <w:r w:rsidRPr="00533CC3">
        <w:rPr>
          <w:b/>
        </w:rPr>
        <w:fldChar w:fldCharType="begin"/>
      </w:r>
      <w:r w:rsidRPr="00533CC3">
        <w:rPr>
          <w:b/>
        </w:rPr>
        <w:instrText xml:space="preserve"> REF _Ref510531025 \h  \* MERGEFORMAT </w:instrText>
      </w:r>
      <w:r w:rsidRPr="00533CC3">
        <w:rPr>
          <w:b/>
        </w:rPr>
      </w:r>
      <w:r w:rsidRPr="00533CC3">
        <w:rPr>
          <w:b/>
        </w:rPr>
        <w:fldChar w:fldCharType="separate"/>
      </w:r>
      <w:r w:rsidR="00E65509" w:rsidRPr="00E65509">
        <w:rPr>
          <w:b/>
        </w:rPr>
        <w:t>4.1.3</w:t>
      </w:r>
      <w:r w:rsidR="00E65509" w:rsidRPr="00E65509">
        <w:rPr>
          <w:b/>
        </w:rPr>
        <w:tab/>
        <w:t>Furnaces Dedicated to Manufacturing</w:t>
      </w:r>
      <w:r w:rsidRPr="00533CC3">
        <w:rPr>
          <w:b/>
        </w:rPr>
        <w:fldChar w:fldCharType="end"/>
      </w:r>
    </w:p>
    <w:p w14:paraId="476A0D27" w14:textId="77777777" w:rsidR="002E4DD6" w:rsidRPr="002E4DD6" w:rsidRDefault="002E4DD6" w:rsidP="00BC5C67">
      <w:r w:rsidRPr="002E4DD6">
        <w:t>Due to insufficient data being available at the time of writing, the 2018 TFDT is unable to assess Furnaces Dedicated to Manufacturing for possible inclusion on the list of approved destruction technologies.</w:t>
      </w:r>
    </w:p>
    <w:p w14:paraId="467D5048" w14:textId="4C6D1AC2" w:rsidR="002E4DD6" w:rsidRPr="00533CC3" w:rsidRDefault="00533CC3" w:rsidP="00BC5C67">
      <w:pPr>
        <w:rPr>
          <w:b/>
        </w:rPr>
      </w:pPr>
      <w:r w:rsidRPr="00533CC3">
        <w:rPr>
          <w:b/>
        </w:rPr>
        <w:fldChar w:fldCharType="begin"/>
      </w:r>
      <w:r w:rsidRPr="00533CC3">
        <w:rPr>
          <w:b/>
        </w:rPr>
        <w:instrText xml:space="preserve"> REF _Ref510531048 \h  \* MERGEFORMAT </w:instrText>
      </w:r>
      <w:r w:rsidRPr="00533CC3">
        <w:rPr>
          <w:b/>
        </w:rPr>
      </w:r>
      <w:r w:rsidRPr="00533CC3">
        <w:rPr>
          <w:b/>
        </w:rPr>
        <w:fldChar w:fldCharType="separate"/>
      </w:r>
      <w:r w:rsidR="00E65509" w:rsidRPr="00E65509">
        <w:rPr>
          <w:b/>
        </w:rPr>
        <w:t>4.1.4</w:t>
      </w:r>
      <w:r w:rsidR="00E65509" w:rsidRPr="00E65509">
        <w:rPr>
          <w:b/>
        </w:rPr>
        <w:tab/>
        <w:t>Thermal Decay of Methyl Bromide</w:t>
      </w:r>
      <w:r w:rsidRPr="00533CC3">
        <w:rPr>
          <w:b/>
        </w:rPr>
        <w:fldChar w:fldCharType="end"/>
      </w:r>
    </w:p>
    <w:p w14:paraId="7F8C2508" w14:textId="77777777" w:rsidR="002E4DD6" w:rsidRPr="002E4DD6" w:rsidRDefault="002E4DD6" w:rsidP="00BC5C67">
      <w:r w:rsidRPr="002E4DD6">
        <w:t>Due to insufficient data being available at the time of writing, the 2018 TFDT is unable to assess Thermal Decay of Methyl Bromide for possible inclusion on the list of approved technologies. The TEAP would welcome data to enable it to complete an assessment of this technology.</w:t>
      </w:r>
    </w:p>
    <w:p w14:paraId="42595597" w14:textId="4D07241A" w:rsidR="002E4DD6" w:rsidRPr="00533CC3" w:rsidRDefault="00533CC3" w:rsidP="00BC5C67">
      <w:pPr>
        <w:rPr>
          <w:b/>
        </w:rPr>
      </w:pPr>
      <w:r w:rsidRPr="00533CC3">
        <w:rPr>
          <w:b/>
        </w:rPr>
        <w:fldChar w:fldCharType="begin"/>
      </w:r>
      <w:r w:rsidRPr="00533CC3">
        <w:rPr>
          <w:b/>
        </w:rPr>
        <w:instrText xml:space="preserve"> REF _Ref510531070 \h  \* MERGEFORMAT </w:instrText>
      </w:r>
      <w:r w:rsidRPr="00533CC3">
        <w:rPr>
          <w:b/>
        </w:rPr>
      </w:r>
      <w:r w:rsidRPr="00533CC3">
        <w:rPr>
          <w:b/>
        </w:rPr>
        <w:fldChar w:fldCharType="separate"/>
      </w:r>
      <w:r w:rsidR="00E65509" w:rsidRPr="00E65509">
        <w:rPr>
          <w:b/>
        </w:rPr>
        <w:t>4.2.1</w:t>
      </w:r>
      <w:r w:rsidR="00E65509" w:rsidRPr="00E65509">
        <w:rPr>
          <w:b/>
        </w:rPr>
        <w:tab/>
        <w:t>Air Plasma Arc</w:t>
      </w:r>
      <w:r w:rsidRPr="00533CC3">
        <w:rPr>
          <w:b/>
        </w:rPr>
        <w:fldChar w:fldCharType="end"/>
      </w:r>
    </w:p>
    <w:p w14:paraId="33675DB0" w14:textId="77777777" w:rsidR="002E4DD6" w:rsidRPr="002E4DD6" w:rsidRDefault="002E4DD6" w:rsidP="00BC5C67">
      <w:r w:rsidRPr="002E4DD6">
        <w:t>No other data to assess the technology was provided. Due to insufficient data being available at the time of writing, the 2018 TFDT is unable to assess Air Plasma Arc for possible inclusion on the list of approved destruction technologies.</w:t>
      </w:r>
    </w:p>
    <w:p w14:paraId="59A5DE7B" w14:textId="350CA1AB" w:rsidR="002E4DD6" w:rsidRPr="00533CC3" w:rsidRDefault="00533CC3" w:rsidP="00BC5C67">
      <w:pPr>
        <w:rPr>
          <w:b/>
        </w:rPr>
      </w:pPr>
      <w:r w:rsidRPr="00533CC3">
        <w:rPr>
          <w:b/>
        </w:rPr>
        <w:fldChar w:fldCharType="begin"/>
      </w:r>
      <w:r w:rsidRPr="00533CC3">
        <w:rPr>
          <w:b/>
        </w:rPr>
        <w:instrText xml:space="preserve"> REF _Ref510531085 \h  \* MERGEFORMAT </w:instrText>
      </w:r>
      <w:r w:rsidRPr="00533CC3">
        <w:rPr>
          <w:b/>
        </w:rPr>
      </w:r>
      <w:r w:rsidRPr="00533CC3">
        <w:rPr>
          <w:b/>
        </w:rPr>
        <w:fldChar w:fldCharType="separate"/>
      </w:r>
      <w:r w:rsidR="00E65509" w:rsidRPr="00E65509">
        <w:rPr>
          <w:b/>
        </w:rPr>
        <w:t>4.2.2</w:t>
      </w:r>
      <w:r w:rsidR="00E65509" w:rsidRPr="00E65509">
        <w:rPr>
          <w:b/>
        </w:rPr>
        <w:tab/>
        <w:t>Alternating Current Plasma (AC Plasma)</w:t>
      </w:r>
      <w:r w:rsidRPr="00533CC3">
        <w:rPr>
          <w:b/>
        </w:rPr>
        <w:fldChar w:fldCharType="end"/>
      </w:r>
    </w:p>
    <w:p w14:paraId="16B680AE" w14:textId="77777777" w:rsidR="002E4DD6" w:rsidRPr="002E4DD6" w:rsidRDefault="002E4DD6" w:rsidP="00BC5C67">
      <w:r w:rsidRPr="002E4DD6">
        <w:t>Due to insufficient data being available at the time of writing, the 2018 TFDT is unable to assess AC Plasma Arc for possible inclusion on the list of approved destruction technologies.</w:t>
      </w:r>
    </w:p>
    <w:p w14:paraId="4B6B9F9C" w14:textId="31526205" w:rsidR="002E4DD6" w:rsidRPr="00533CC3" w:rsidRDefault="00533CC3" w:rsidP="00BC5C67">
      <w:pPr>
        <w:rPr>
          <w:b/>
        </w:rPr>
      </w:pPr>
      <w:r w:rsidRPr="00533CC3">
        <w:rPr>
          <w:b/>
        </w:rPr>
        <w:fldChar w:fldCharType="begin"/>
      </w:r>
      <w:r w:rsidRPr="00533CC3">
        <w:rPr>
          <w:b/>
        </w:rPr>
        <w:instrText xml:space="preserve"> REF _Ref510531107 \h  \* MERGEFORMAT </w:instrText>
      </w:r>
      <w:r w:rsidRPr="00533CC3">
        <w:rPr>
          <w:b/>
        </w:rPr>
      </w:r>
      <w:r w:rsidRPr="00533CC3">
        <w:rPr>
          <w:b/>
        </w:rPr>
        <w:fldChar w:fldCharType="separate"/>
      </w:r>
      <w:r w:rsidR="00E65509" w:rsidRPr="00E65509">
        <w:rPr>
          <w:b/>
        </w:rPr>
        <w:t>4.2.3</w:t>
      </w:r>
      <w:r w:rsidR="00E65509" w:rsidRPr="00E65509">
        <w:rPr>
          <w:b/>
        </w:rPr>
        <w:tab/>
        <w:t>CO2 Plasma</w:t>
      </w:r>
      <w:r w:rsidRPr="00533CC3">
        <w:rPr>
          <w:b/>
        </w:rPr>
        <w:fldChar w:fldCharType="end"/>
      </w:r>
    </w:p>
    <w:p w14:paraId="24BCDCC8" w14:textId="03097DF9" w:rsidR="002E4DD6" w:rsidRPr="002E4DD6" w:rsidRDefault="002E4DD6" w:rsidP="00BC5C67">
      <w:r w:rsidRPr="002E4DD6">
        <w:t>Due to insufficient data that meets the performance criteria available at the time of writing, the 2018 TFDT is unable to assess CO</w:t>
      </w:r>
      <w:r w:rsidRPr="00533CC3">
        <w:rPr>
          <w:vertAlign w:val="subscript"/>
        </w:rPr>
        <w:t>2</w:t>
      </w:r>
      <w:r w:rsidRPr="002E4DD6">
        <w:t xml:space="preserve"> Plasma Arc for possible inclusion on the list of approved destruction technologies</w:t>
      </w:r>
      <w:r w:rsidR="00533CC3">
        <w:t>.</w:t>
      </w:r>
      <w:r w:rsidRPr="002E4DD6">
        <w:t xml:space="preserve"> </w:t>
      </w:r>
    </w:p>
    <w:p w14:paraId="3C3C0617" w14:textId="45F1C85A" w:rsidR="002E4DD6" w:rsidRPr="00533CC3" w:rsidRDefault="00533CC3" w:rsidP="00BC5C67">
      <w:pPr>
        <w:rPr>
          <w:b/>
        </w:rPr>
      </w:pPr>
      <w:r w:rsidRPr="00533CC3">
        <w:rPr>
          <w:b/>
        </w:rPr>
        <w:fldChar w:fldCharType="begin"/>
      </w:r>
      <w:r w:rsidRPr="00533CC3">
        <w:rPr>
          <w:b/>
        </w:rPr>
        <w:instrText xml:space="preserve"> REF _Ref510531126 \h  \* MERGEFORMAT </w:instrText>
      </w:r>
      <w:r w:rsidRPr="00533CC3">
        <w:rPr>
          <w:b/>
        </w:rPr>
      </w:r>
      <w:r w:rsidRPr="00533CC3">
        <w:rPr>
          <w:b/>
        </w:rPr>
        <w:fldChar w:fldCharType="separate"/>
      </w:r>
      <w:r w:rsidR="00E65509" w:rsidRPr="00E65509">
        <w:rPr>
          <w:b/>
        </w:rPr>
        <w:t>4.2.4</w:t>
      </w:r>
      <w:r w:rsidR="00E65509" w:rsidRPr="00E65509">
        <w:rPr>
          <w:b/>
        </w:rPr>
        <w:tab/>
        <w:t>Steam Plasma Arc</w:t>
      </w:r>
      <w:r w:rsidRPr="00533CC3">
        <w:rPr>
          <w:b/>
        </w:rPr>
        <w:fldChar w:fldCharType="end"/>
      </w:r>
    </w:p>
    <w:p w14:paraId="6FA02FCD" w14:textId="77777777" w:rsidR="002E4DD6" w:rsidRPr="002E4DD6" w:rsidRDefault="002E4DD6" w:rsidP="00BC5C67">
      <w:r w:rsidRPr="002E4DD6">
        <w:t>The 2018 TFDT has been unable to contact the technology owner to verify the earlier assessment for all of the performance criteria. Due to insufficient data being available at the time of writing, the 2018 TFDT is unable to assess Steam Plasma Arc for possible inclusion on the list of approved destruction technologies.</w:t>
      </w:r>
    </w:p>
    <w:p w14:paraId="6D74D8C0" w14:textId="31CDEE90" w:rsidR="002E4DD6" w:rsidRPr="00533CC3" w:rsidRDefault="00533CC3" w:rsidP="00BC5C67">
      <w:pPr>
        <w:keepNext/>
        <w:rPr>
          <w:b/>
        </w:rPr>
      </w:pPr>
      <w:r w:rsidRPr="00533CC3">
        <w:rPr>
          <w:b/>
        </w:rPr>
        <w:lastRenderedPageBreak/>
        <w:fldChar w:fldCharType="begin"/>
      </w:r>
      <w:r w:rsidRPr="00533CC3">
        <w:rPr>
          <w:b/>
        </w:rPr>
        <w:instrText xml:space="preserve"> REF _Ref510531146 \h  \* MERGEFORMAT </w:instrText>
      </w:r>
      <w:r w:rsidRPr="00533CC3">
        <w:rPr>
          <w:b/>
        </w:rPr>
      </w:r>
      <w:r w:rsidRPr="00533CC3">
        <w:rPr>
          <w:b/>
        </w:rPr>
        <w:fldChar w:fldCharType="separate"/>
      </w:r>
      <w:r w:rsidR="00E65509" w:rsidRPr="00E65509">
        <w:rPr>
          <w:b/>
        </w:rPr>
        <w:t>4.3.1</w:t>
      </w:r>
      <w:r w:rsidR="00E65509" w:rsidRPr="00E65509">
        <w:rPr>
          <w:b/>
        </w:rPr>
        <w:tab/>
        <w:t>Catalytic Destruction</w:t>
      </w:r>
      <w:r w:rsidRPr="00533CC3">
        <w:rPr>
          <w:b/>
        </w:rPr>
        <w:fldChar w:fldCharType="end"/>
      </w:r>
    </w:p>
    <w:p w14:paraId="0744DD3D" w14:textId="77777777" w:rsidR="002E4DD6" w:rsidRPr="002E4DD6" w:rsidRDefault="002E4DD6" w:rsidP="00BC5C67">
      <w:r w:rsidRPr="002E4DD6">
        <w:t>Due to insufficient data being available at the time of writing, the 2018 TFDT is unable to assess Catalytic Destruction for possible inclusion on the list of approved destruction technologies.</w:t>
      </w:r>
    </w:p>
    <w:p w14:paraId="1F303F47" w14:textId="6466B233" w:rsidR="002E4DD6" w:rsidRPr="00533CC3" w:rsidRDefault="00533CC3" w:rsidP="00BC5C67">
      <w:pPr>
        <w:rPr>
          <w:b/>
        </w:rPr>
      </w:pPr>
      <w:r w:rsidRPr="00533CC3">
        <w:rPr>
          <w:b/>
        </w:rPr>
        <w:fldChar w:fldCharType="begin"/>
      </w:r>
      <w:r w:rsidRPr="00533CC3">
        <w:rPr>
          <w:b/>
        </w:rPr>
        <w:instrText xml:space="preserve"> REF _Hlk508739067 \h  \* MERGEFORMAT </w:instrText>
      </w:r>
      <w:r w:rsidRPr="00533CC3">
        <w:rPr>
          <w:b/>
        </w:rPr>
      </w:r>
      <w:r w:rsidRPr="00533CC3">
        <w:rPr>
          <w:b/>
        </w:rPr>
        <w:fldChar w:fldCharType="separate"/>
      </w:r>
      <w:r w:rsidR="00E65509" w:rsidRPr="00E65509">
        <w:rPr>
          <w:b/>
        </w:rPr>
        <w:t>4.3.2</w:t>
      </w:r>
      <w:r w:rsidR="00E65509" w:rsidRPr="00E65509">
        <w:rPr>
          <w:b/>
        </w:rPr>
        <w:tab/>
        <w:t xml:space="preserve">Chlorination/De-chlorination to </w:t>
      </w:r>
      <w:proofErr w:type="spellStart"/>
      <w:r w:rsidR="00E65509" w:rsidRPr="00E65509">
        <w:rPr>
          <w:b/>
        </w:rPr>
        <w:t>Vinylidene</w:t>
      </w:r>
      <w:proofErr w:type="spellEnd"/>
      <w:r w:rsidR="00E65509" w:rsidRPr="00E65509">
        <w:rPr>
          <w:b/>
        </w:rPr>
        <w:t xml:space="preserve"> Fluoride</w:t>
      </w:r>
      <w:r w:rsidR="00E65509" w:rsidRPr="00C825CC">
        <w:t xml:space="preserve"> </w:t>
      </w:r>
      <w:r w:rsidRPr="00533CC3">
        <w:rPr>
          <w:b/>
        </w:rPr>
        <w:fldChar w:fldCharType="end"/>
      </w:r>
    </w:p>
    <w:p w14:paraId="07AC260D" w14:textId="77777777" w:rsidR="002E4DD6" w:rsidRPr="002E4DD6" w:rsidRDefault="002E4DD6" w:rsidP="00BC5C67">
      <w:r w:rsidRPr="002E4DD6">
        <w:t xml:space="preserve">The United States’ submission provided information about the conversion of HFC-152a to </w:t>
      </w:r>
      <w:proofErr w:type="spellStart"/>
      <w:r w:rsidRPr="002E4DD6">
        <w:t>vinylidene</w:t>
      </w:r>
      <w:proofErr w:type="spellEnd"/>
      <w:r w:rsidRPr="002E4DD6">
        <w:t xml:space="preserve"> fluoride (or vinyl fluoride), which is a commercial chemical production process used at chemical production plants in the United States, where HFC-152a is either a feedstock or a chemical intermediate. The HFC-152a undergoes a chlorination and de-chlorination process to produce the </w:t>
      </w:r>
      <w:proofErr w:type="spellStart"/>
      <w:r w:rsidRPr="002E4DD6">
        <w:t>vinylidene</w:t>
      </w:r>
      <w:proofErr w:type="spellEnd"/>
      <w:r w:rsidRPr="002E4DD6">
        <w:t xml:space="preserve"> fluoride. This technology is part of a chemical manufacturing process and not a destruction process.</w:t>
      </w:r>
    </w:p>
    <w:p w14:paraId="131D6765" w14:textId="52CF30C2" w:rsidR="002E4DD6" w:rsidRPr="00533CC3" w:rsidRDefault="00533CC3" w:rsidP="00BC5C67">
      <w:pPr>
        <w:rPr>
          <w:b/>
        </w:rPr>
      </w:pPr>
      <w:r w:rsidRPr="00533CC3">
        <w:rPr>
          <w:b/>
        </w:rPr>
        <w:fldChar w:fldCharType="begin"/>
      </w:r>
      <w:r w:rsidRPr="00533CC3">
        <w:rPr>
          <w:b/>
        </w:rPr>
        <w:instrText xml:space="preserve"> REF _Ref510531202 \h  \* MERGEFORMAT </w:instrText>
      </w:r>
      <w:r w:rsidRPr="00533CC3">
        <w:rPr>
          <w:b/>
        </w:rPr>
      </w:r>
      <w:r w:rsidRPr="00533CC3">
        <w:rPr>
          <w:b/>
        </w:rPr>
        <w:fldChar w:fldCharType="separate"/>
      </w:r>
      <w:r w:rsidR="00E65509" w:rsidRPr="00E65509">
        <w:rPr>
          <w:b/>
        </w:rPr>
        <w:t>4.3.3</w:t>
      </w:r>
      <w:r w:rsidR="00E65509" w:rsidRPr="00E65509">
        <w:rPr>
          <w:b/>
        </w:rPr>
        <w:tab/>
        <w:t>Solid Alkali Reaction</w:t>
      </w:r>
      <w:r w:rsidRPr="00533CC3">
        <w:rPr>
          <w:b/>
        </w:rPr>
        <w:fldChar w:fldCharType="end"/>
      </w:r>
    </w:p>
    <w:p w14:paraId="4DA5386C" w14:textId="25C463EA" w:rsidR="00497F61" w:rsidRPr="0099336B" w:rsidRDefault="002E4DD6" w:rsidP="00BC5C67">
      <w:r w:rsidRPr="002E4DD6">
        <w:t>Due to insufficient data being available at the time of writing, the 2018 TFDT is unable to assess Solid Alkali Reaction for possible inclusion on the list of approved destruction technologies.</w:t>
      </w:r>
    </w:p>
    <w:sectPr w:rsidR="00497F61" w:rsidRPr="0099336B" w:rsidSect="00BC5C67">
      <w:pgSz w:w="11907" w:h="16839" w:code="9"/>
      <w:pgMar w:top="1440" w:right="1797" w:bottom="1525" w:left="1797" w:header="720" w:footer="79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B80126" w14:textId="77777777" w:rsidR="00C14919" w:rsidRDefault="00C14919">
      <w:r>
        <w:separator/>
      </w:r>
    </w:p>
  </w:endnote>
  <w:endnote w:type="continuationSeparator" w:id="0">
    <w:p w14:paraId="399F46BD" w14:textId="77777777" w:rsidR="00C14919" w:rsidRDefault="00C14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ArialUnicodeMS">
    <w:altName w:val="Arial Unicode MS"/>
    <w:panose1 w:val="00000000000000000000"/>
    <w:charset w:val="86"/>
    <w:family w:val="auto"/>
    <w:notTrueType/>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EE"/>
    <w:family w:val="roman"/>
    <w:pitch w:val="variable"/>
    <w:sig w:usb0="00000005" w:usb1="00000000" w:usb2="00000000" w:usb3="00000000" w:csb0="00000002" w:csb1="00000000"/>
  </w:font>
  <w:font w:name="Roman">
    <w:altName w:val="Times New Roman"/>
    <w:panose1 w:val="00000000000000000000"/>
    <w:charset w:val="FF"/>
    <w:family w:val="roman"/>
    <w:notTrueType/>
    <w:pitch w:val="variable"/>
    <w:sig w:usb0="00000003" w:usb1="00000000" w:usb2="00000000" w:usb3="00000000" w:csb0="00000000" w:csb1="00000000"/>
  </w:font>
  <w:font w:name="Chicago">
    <w:altName w:val="Arial"/>
    <w:charset w:val="00"/>
    <w:family w:val="auto"/>
    <w:pitch w:val="variable"/>
    <w:sig w:usb0="03000000"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
    <w:charset w:val="B1"/>
    <w:family w:val="swiss"/>
    <w:pitch w:val="variable"/>
    <w:sig w:usb0="80000867" w:usb1="00000000" w:usb2="00000000" w:usb3="00000000" w:csb0="000001FB" w:csb1="00000000"/>
  </w:font>
  <w:font w:name="Galliard">
    <w:altName w:val="Cambria"/>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auto"/>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FrutigerLTStd-Light">
    <w:altName w:val="Times New Roman"/>
    <w:panose1 w:val="00000000000000000000"/>
    <w:charset w:val="00"/>
    <w:family w:val="auto"/>
    <w:notTrueType/>
    <w:pitch w:val="default"/>
    <w:sig w:usb0="00000003" w:usb1="00000000" w:usb2="00000000" w:usb3="00000000" w:csb0="00000001" w:csb1="00000000"/>
  </w:font>
  <w:font w:name="FrutigerLTStd-Bold">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Roman">
    <w:altName w:val="Times"/>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OJFKL G+ Melior">
    <w:altName w:val="Times New Roman"/>
    <w:panose1 w:val="00000000000000000000"/>
    <w:charset w:val="00"/>
    <w:family w:val="roman"/>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F868E5" w14:textId="37314E5C" w:rsidR="00582A26" w:rsidRDefault="00582A26">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5EDCD548" w14:textId="77777777" w:rsidR="00582A26" w:rsidRDefault="00582A26">
    <w:pPr>
      <w:pStyle w:val="Footer"/>
      <w:spacing w:after="0"/>
      <w:ind w:right="993" w:firstLine="360"/>
      <w:rPr>
        <w:b/>
        <w:sz w:val="20"/>
      </w:rPr>
    </w:pPr>
    <w:r>
      <w:rPr>
        <w:rStyle w:val="PageNumber"/>
      </w:rPr>
      <w:tab/>
    </w:r>
    <w:r>
      <w:rPr>
        <w:rStyle w:val="PageNumber"/>
        <w:b/>
        <w:sz w:val="20"/>
      </w:rPr>
      <w:t>May 2004 TEAP Progress Report</w:t>
    </w:r>
    <w:r>
      <w:rPr>
        <w:rStyle w:val="PageNumber"/>
        <w:b/>
        <w:sz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20F8F" w14:textId="77777777" w:rsidR="00582A26" w:rsidRDefault="00582A26">
    <w:pPr>
      <w:pStyle w:val="Foote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5FEB8" w14:textId="77777777" w:rsidR="00582A26" w:rsidRDefault="00582A26">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cclxvii</w:t>
    </w:r>
    <w:r>
      <w:rPr>
        <w:rStyle w:val="PageNumber"/>
      </w:rPr>
      <w:fldChar w:fldCharType="end"/>
    </w:r>
  </w:p>
  <w:p w14:paraId="13C9A6D9" w14:textId="77777777" w:rsidR="00582A26" w:rsidRDefault="00582A26">
    <w:pPr>
      <w:pStyle w:val="Footer"/>
      <w:spacing w:after="0"/>
      <w:ind w:right="360" w:firstLine="360"/>
      <w:rPr>
        <w:b/>
        <w:sz w:val="20"/>
      </w:rPr>
    </w:pPr>
    <w:r>
      <w:rPr>
        <w:rStyle w:val="PageNumber"/>
      </w:rPr>
      <w:tab/>
    </w:r>
    <w:r>
      <w:rPr>
        <w:rStyle w:val="PageNumber"/>
        <w:b/>
        <w:sz w:val="20"/>
      </w:rPr>
      <w:t>May 2004 TEAP Progress Report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38B08C" w14:textId="6EA70072" w:rsidR="00582A26" w:rsidRDefault="00582A26">
    <w:pPr>
      <w:pStyle w:val="Footer"/>
      <w:jc w:val="right"/>
    </w:pPr>
    <w:r>
      <w:fldChar w:fldCharType="begin"/>
    </w:r>
    <w:r>
      <w:instrText xml:space="preserve"> PAGE   \* MERGEFORMAT </w:instrText>
    </w:r>
    <w:r>
      <w:fldChar w:fldCharType="separate"/>
    </w:r>
    <w:r w:rsidR="00E65509">
      <w:rPr>
        <w:noProof/>
      </w:rPr>
      <w:t>iii</w:t>
    </w:r>
    <w:r>
      <w:rPr>
        <w:noProof/>
      </w:rPr>
      <w:fldChar w:fldCharType="end"/>
    </w:r>
  </w:p>
  <w:p w14:paraId="3DD9F0FB" w14:textId="77777777" w:rsidR="00582A26" w:rsidRDefault="00582A26">
    <w:pPr>
      <w:pStyle w:val="Footer"/>
      <w:spacing w:after="0"/>
      <w:ind w:right="993"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F92F3E" w14:textId="0CECD8C5" w:rsidR="00582A26" w:rsidRDefault="00582A26">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E65509">
      <w:rPr>
        <w:rStyle w:val="PageNumber"/>
        <w:noProof/>
      </w:rPr>
      <w:t>59</w:t>
    </w:r>
    <w:r>
      <w:rPr>
        <w:rStyle w:val="PageNumber"/>
      </w:rPr>
      <w:fldChar w:fldCharType="end"/>
    </w:r>
  </w:p>
  <w:p w14:paraId="2D964C32" w14:textId="7B838065" w:rsidR="00582A26" w:rsidRDefault="00582A26">
    <w:pPr>
      <w:pStyle w:val="Footer"/>
      <w:spacing w:after="0"/>
      <w:ind w:right="993" w:firstLine="360"/>
      <w:jc w:val="center"/>
      <w:rPr>
        <w:b/>
        <w:sz w:val="20"/>
      </w:rPr>
    </w:pPr>
    <w:bookmarkStart w:id="2" w:name="OLE_LINK18"/>
    <w:bookmarkStart w:id="3" w:name="OLE_LINK20"/>
    <w:bookmarkStart w:id="4" w:name="_Hlk294606800"/>
    <w:r>
      <w:rPr>
        <w:rStyle w:val="PageNumber"/>
        <w:b/>
        <w:sz w:val="20"/>
      </w:rPr>
      <w:t>2018 TEAP Report</w:t>
    </w:r>
    <w:bookmarkEnd w:id="2"/>
    <w:bookmarkEnd w:id="3"/>
    <w:bookmarkEnd w:id="4"/>
    <w:r>
      <w:rPr>
        <w:rStyle w:val="PageNumber"/>
        <w:b/>
        <w:sz w:val="20"/>
      </w:rPr>
      <w:t>, Volume 2: Decision XXIX/4 TEAP Task Force Report on Destruction Technologies for Controlled Substances</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A250E" w14:textId="77777777" w:rsidR="00582A26" w:rsidRDefault="00582A26">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689C6233" w14:textId="77777777" w:rsidR="00582A26" w:rsidRDefault="00582A26">
    <w:pPr>
      <w:pStyle w:val="Footer"/>
      <w:spacing w:before="120" w:after="120"/>
      <w:ind w:right="360" w:firstLine="360"/>
      <w:jc w:val="center"/>
      <w:rPr>
        <w:sz w:val="20"/>
      </w:rPr>
    </w:pPr>
    <w:r>
      <w:rPr>
        <w:rStyle w:val="PageNumber"/>
        <w:sz w:val="20"/>
      </w:rPr>
      <w:t xml:space="preserve">Page </w:t>
    </w:r>
  </w:p>
  <w:p w14:paraId="52702FBE" w14:textId="77777777" w:rsidR="00582A26" w:rsidRDefault="00582A26">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FF7876" w14:textId="77777777" w:rsidR="00582A26" w:rsidRPr="00656E7D" w:rsidRDefault="00582A26" w:rsidP="00656E7D">
    <w:r w:rsidRPr="00656E7D">
      <w:fldChar w:fldCharType="begin"/>
    </w:r>
    <w:r w:rsidRPr="00656E7D">
      <w:instrText xml:space="preserve">PAGE  </w:instrText>
    </w:r>
    <w:r w:rsidRPr="00656E7D">
      <w:fldChar w:fldCharType="end"/>
    </w:r>
  </w:p>
  <w:p w14:paraId="71BD3EF9" w14:textId="77777777" w:rsidR="00582A26" w:rsidRPr="00656E7D" w:rsidRDefault="00582A26" w:rsidP="00656E7D">
    <w:r w:rsidRPr="00656E7D">
      <w:t xml:space="preserve">Page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92852B" w14:textId="77777777" w:rsidR="00582A26" w:rsidRDefault="00582A26">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730B8634" w14:textId="77777777" w:rsidR="00582A26" w:rsidRDefault="00582A26">
    <w:pPr>
      <w:pStyle w:val="Footer"/>
      <w:spacing w:before="120" w:after="120"/>
      <w:ind w:right="360" w:firstLine="360"/>
      <w:jc w:val="center"/>
      <w:rPr>
        <w:sz w:val="20"/>
      </w:rPr>
    </w:pPr>
    <w:r>
      <w:rPr>
        <w:rStyle w:val="PageNumber"/>
        <w:sz w:val="20"/>
      </w:rPr>
      <w:t xml:space="preserve">Page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A137B4" w14:textId="77777777" w:rsidR="00C14919" w:rsidRDefault="00C14919">
      <w:r>
        <w:separator/>
      </w:r>
    </w:p>
  </w:footnote>
  <w:footnote w:type="continuationSeparator" w:id="0">
    <w:p w14:paraId="79DBF201" w14:textId="77777777" w:rsidR="00C14919" w:rsidRDefault="00C14919">
      <w:r>
        <w:continuationSeparator/>
      </w:r>
    </w:p>
  </w:footnote>
  <w:footnote w:id="1">
    <w:p w14:paraId="1215F7A6" w14:textId="7A461874" w:rsidR="00582A26" w:rsidRPr="0000783E" w:rsidRDefault="00582A26" w:rsidP="0000783E">
      <w:pPr>
        <w:rPr>
          <w:lang w:val="en-US"/>
        </w:rPr>
      </w:pPr>
      <w:r>
        <w:rPr>
          <w:rStyle w:val="FootnoteReference"/>
        </w:rPr>
        <w:footnoteRef/>
      </w:r>
      <w:r>
        <w:t xml:space="preserve"> </w:t>
      </w:r>
      <w:r w:rsidRPr="0000783E">
        <w:rPr>
          <w:sz w:val="18"/>
          <w:szCs w:val="18"/>
          <w:bdr w:val="none" w:sz="0" w:space="0" w:color="auto" w:frame="1"/>
          <w:lang w:eastAsia="en-US"/>
        </w:rPr>
        <w:t>Destruction and Removal Efficiency (DRE) has traditionally been determined by subtracting from the mass of a chemical fed into a destruction system during a specific period of time the mass of that chemical alone that is released in stack gases and expressing that difference as a percentage of the mass of that chemical fed into the system.</w:t>
      </w:r>
    </w:p>
  </w:footnote>
  <w:footnote w:id="2">
    <w:p w14:paraId="76761198" w14:textId="766BFC5A" w:rsidR="00582A26" w:rsidRPr="00EB21A4" w:rsidRDefault="00582A26" w:rsidP="00B535A0">
      <w:pPr>
        <w:rPr>
          <w:lang w:val="en-US"/>
        </w:rPr>
      </w:pPr>
      <w:r>
        <w:rPr>
          <w:rStyle w:val="FootnoteReference"/>
        </w:rPr>
        <w:footnoteRef/>
      </w:r>
      <w:r>
        <w:t xml:space="preserve"> </w:t>
      </w:r>
      <w:r w:rsidRPr="00B535A0">
        <w:rPr>
          <w:sz w:val="18"/>
          <w:szCs w:val="18"/>
          <w:lang w:val="en-US"/>
        </w:rPr>
        <w:t>Conversion or non-incineration technologies irreversibly transform halocarbons</w:t>
      </w:r>
      <w:r>
        <w:rPr>
          <w:sz w:val="18"/>
          <w:szCs w:val="18"/>
          <w:lang w:val="en-US"/>
        </w:rPr>
        <w:t xml:space="preserve"> (including</w:t>
      </w:r>
      <w:r w:rsidRPr="001A0AC4">
        <w:rPr>
          <w:sz w:val="18"/>
          <w:szCs w:val="18"/>
          <w:lang w:val="en-US"/>
        </w:rPr>
        <w:t xml:space="preserve"> to other saleable product</w:t>
      </w:r>
      <w:r>
        <w:rPr>
          <w:sz w:val="18"/>
          <w:szCs w:val="18"/>
          <w:lang w:val="en-US"/>
        </w:rPr>
        <w:t>s, e.g. acids, vinyl monomers etc.)</w:t>
      </w:r>
      <w:r w:rsidRPr="001A0AC4">
        <w:rPr>
          <w:sz w:val="18"/>
          <w:szCs w:val="18"/>
          <w:lang w:val="en-US"/>
        </w:rPr>
        <w:t xml:space="preserve">. They </w:t>
      </w:r>
      <w:r w:rsidRPr="00B535A0">
        <w:rPr>
          <w:sz w:val="18"/>
          <w:szCs w:val="18"/>
          <w:lang w:val="en-US" w:eastAsia="en-US"/>
        </w:rPr>
        <w:t>primarily rely on chemical transformation to destroy substances.</w:t>
      </w:r>
      <w:r>
        <w:rPr>
          <w:lang w:val="en-US" w:eastAsia="en-US"/>
        </w:rPr>
        <w:t xml:space="preserve"> </w:t>
      </w:r>
    </w:p>
  </w:footnote>
  <w:footnote w:id="3">
    <w:p w14:paraId="25FBC6D2" w14:textId="77777777" w:rsidR="00582A26" w:rsidRPr="00677999" w:rsidRDefault="00582A26" w:rsidP="00141FA3">
      <w:pPr>
        <w:pStyle w:val="FootnoteText"/>
      </w:pPr>
      <w:r>
        <w:rPr>
          <w:rStyle w:val="FootnoteReference"/>
        </w:rPr>
        <w:footnoteRef/>
      </w:r>
      <w:r>
        <w:t xml:space="preserve"> Annex C, Group I, relates to HCFCs, Annex F to HFCs, and Annex F, Group II to HFC-23, as listed in the Montreal Protocol.</w:t>
      </w:r>
    </w:p>
  </w:footnote>
  <w:footnote w:id="4">
    <w:p w14:paraId="2D5640F6" w14:textId="69B05999" w:rsidR="00582A26" w:rsidRPr="00CE1FFB" w:rsidRDefault="00582A26" w:rsidP="00141FA3">
      <w:pPr>
        <w:pStyle w:val="FootnoteText"/>
      </w:pPr>
      <w:r>
        <w:rPr>
          <w:rStyle w:val="FootnoteReference"/>
        </w:rPr>
        <w:footnoteRef/>
      </w:r>
      <w:r>
        <w:t xml:space="preserve"> </w:t>
      </w:r>
      <w:r w:rsidRPr="00CE1FFB">
        <w:t>Han</w:t>
      </w:r>
      <w:r>
        <w:t xml:space="preserve">dbook for the Montreal Protocol </w:t>
      </w:r>
      <w:r w:rsidRPr="00CE1FFB">
        <w:t>on Substances that Deplete the Ozone Layer</w:t>
      </w:r>
      <w:r>
        <w:t xml:space="preserve">, </w:t>
      </w:r>
      <w:r w:rsidRPr="00CE1FFB">
        <w:t>Eleventh edition (2017)</w:t>
      </w:r>
      <w:r>
        <w:t>, Section 3.1, pg. 603.</w:t>
      </w:r>
    </w:p>
  </w:footnote>
  <w:footnote w:id="5">
    <w:p w14:paraId="2A282F78" w14:textId="5D7CB0FA" w:rsidR="00582A26" w:rsidRPr="00587D2E" w:rsidRDefault="00582A26" w:rsidP="00141FA3">
      <w:pPr>
        <w:pStyle w:val="FootnoteText"/>
      </w:pPr>
      <w:r>
        <w:rPr>
          <w:rStyle w:val="FootnoteReference"/>
        </w:rPr>
        <w:footnoteRef/>
      </w:r>
      <w:r>
        <w:t xml:space="preserve"> UNEP </w:t>
      </w:r>
      <w:r w:rsidRPr="00587D2E">
        <w:t xml:space="preserve">Report of the </w:t>
      </w:r>
      <w:r w:rsidRPr="00587D2E">
        <w:rPr>
          <w:i/>
          <w:iCs/>
        </w:rPr>
        <w:t xml:space="preserve">Ad Hoc </w:t>
      </w:r>
      <w:r w:rsidRPr="00587D2E">
        <w:t>Technical Advisory Committee on ODS Destruction Technologies. United Nations Enviro</w:t>
      </w:r>
      <w:r>
        <w:t>nment Program,</w:t>
      </w:r>
      <w:r w:rsidRPr="00587D2E">
        <w:t xml:space="preserve"> May 1992.</w:t>
      </w:r>
    </w:p>
  </w:footnote>
  <w:footnote w:id="6">
    <w:p w14:paraId="62B1D027" w14:textId="00CA8552" w:rsidR="00582A26" w:rsidRPr="00587D2E" w:rsidRDefault="00582A26" w:rsidP="00141FA3">
      <w:pPr>
        <w:pStyle w:val="FootnoteText"/>
      </w:pPr>
      <w:r>
        <w:rPr>
          <w:rStyle w:val="FootnoteReference"/>
        </w:rPr>
        <w:footnoteRef/>
      </w:r>
      <w:r>
        <w:t xml:space="preserve"> </w:t>
      </w:r>
      <w:r w:rsidRPr="00587D2E">
        <w:t xml:space="preserve">UNEP Report of the Technology and Economic Assessment Panel ODS Disposal Subcommittee Workshop held in </w:t>
      </w:r>
      <w:r>
        <w:t>Montreal, Canada, May 2-3, 1995,</w:t>
      </w:r>
      <w:r w:rsidRPr="00587D2E">
        <w:t xml:space="preserve"> June 1995.</w:t>
      </w:r>
    </w:p>
  </w:footnote>
  <w:footnote w:id="7">
    <w:p w14:paraId="27D9A430" w14:textId="2E49A0D2" w:rsidR="00582A26" w:rsidRPr="00587D2E" w:rsidRDefault="00582A26" w:rsidP="00141FA3">
      <w:pPr>
        <w:pStyle w:val="FootnoteText"/>
      </w:pPr>
      <w:r>
        <w:rPr>
          <w:rStyle w:val="FootnoteReference"/>
        </w:rPr>
        <w:footnoteRef/>
      </w:r>
      <w:r>
        <w:t xml:space="preserve"> UNEP </w:t>
      </w:r>
      <w:r w:rsidRPr="00587D2E">
        <w:t>Report of the</w:t>
      </w:r>
      <w:r>
        <w:t xml:space="preserve"> </w:t>
      </w:r>
      <w:r w:rsidRPr="00587D2E">
        <w:t>Technolo</w:t>
      </w:r>
      <w:r>
        <w:t xml:space="preserve">gy and Economic Assessment Panel, </w:t>
      </w:r>
      <w:r w:rsidRPr="00587D2E">
        <w:t>Volume 3</w:t>
      </w:r>
      <w:r>
        <w:t xml:space="preserve">B, </w:t>
      </w:r>
      <w:r w:rsidRPr="00587D2E">
        <w:t>Report of the Task Force on Destruction Technologies</w:t>
      </w:r>
      <w:r>
        <w:t xml:space="preserve">, </w:t>
      </w:r>
      <w:r w:rsidRPr="00587D2E">
        <w:t>April 2002</w:t>
      </w:r>
      <w:r>
        <w:t>.</w:t>
      </w:r>
    </w:p>
  </w:footnote>
  <w:footnote w:id="8">
    <w:p w14:paraId="5D7D7EAB" w14:textId="10F01586" w:rsidR="00582A26" w:rsidRPr="00463762" w:rsidRDefault="00582A26" w:rsidP="00141FA3">
      <w:pPr>
        <w:pStyle w:val="FootnoteText"/>
      </w:pPr>
      <w:r>
        <w:rPr>
          <w:rStyle w:val="FootnoteReference"/>
        </w:rPr>
        <w:footnoteRef/>
      </w:r>
      <w:r>
        <w:t xml:space="preserve"> UNEP Report of the Technology and Economic Assessment Panel, Progress Report, Response to Decision XVI/15, May 2005.</w:t>
      </w:r>
    </w:p>
  </w:footnote>
  <w:footnote w:id="9">
    <w:p w14:paraId="30D0FA74" w14:textId="68CCC0E0" w:rsidR="00582A26" w:rsidRPr="00F42C8B" w:rsidRDefault="00582A26" w:rsidP="00141FA3">
      <w:pPr>
        <w:pStyle w:val="FootnoteText"/>
      </w:pPr>
      <w:r>
        <w:rPr>
          <w:rStyle w:val="FootnoteReference"/>
        </w:rPr>
        <w:footnoteRef/>
      </w:r>
      <w:r>
        <w:t xml:space="preserve"> UNEP Report of the Technology and Economic Assessment Panel, Volume 1, Progress Report, </w:t>
      </w:r>
      <w:r w:rsidRPr="00F42C8B">
        <w:t>TEAP Task Force Response to Decision XXII/10</w:t>
      </w:r>
      <w:r>
        <w:t>, May 2011.</w:t>
      </w:r>
    </w:p>
  </w:footnote>
  <w:footnote w:id="10">
    <w:p w14:paraId="5ED4670F" w14:textId="2F767D38" w:rsidR="00582A26" w:rsidRPr="00B14304" w:rsidRDefault="00582A26" w:rsidP="00141FA3">
      <w:pPr>
        <w:pStyle w:val="FootnoteText"/>
      </w:pPr>
      <w:r w:rsidRPr="007C0C40">
        <w:rPr>
          <w:rStyle w:val="FootnoteReference"/>
        </w:rPr>
        <w:footnoteRef/>
      </w:r>
      <w:r w:rsidRPr="007C0C40">
        <w:t xml:space="preserve"> </w:t>
      </w:r>
      <w:r w:rsidRPr="000A009B">
        <w:t xml:space="preserve">Destruction and Removal Efficiency (DRE) has traditionally been determined by subtracting from the mass of a chemical fed into a destruction system during a specific period of time the mass of that chemical alone </w:t>
      </w:r>
      <w:r>
        <w:t>that is released in stack gases</w:t>
      </w:r>
      <w:r w:rsidRPr="000A009B">
        <w:t xml:space="preserve"> and expressing that difference as a percentage of the mass of that chemical fed into the system. </w:t>
      </w:r>
    </w:p>
  </w:footnote>
  <w:footnote w:id="11">
    <w:p w14:paraId="3D6BEE21" w14:textId="0867B8B3" w:rsidR="00582A26" w:rsidRPr="00465937" w:rsidRDefault="00582A26" w:rsidP="00141FA3">
      <w:pPr>
        <w:pStyle w:val="FootnoteText"/>
      </w:pPr>
      <w:r>
        <w:rPr>
          <w:rStyle w:val="FootnoteReference"/>
        </w:rPr>
        <w:footnoteRef/>
      </w:r>
      <w:r>
        <w:t xml:space="preserve"> Polychlorinated </w:t>
      </w:r>
      <w:proofErr w:type="spellStart"/>
      <w:r>
        <w:t>dibenzodioxins</w:t>
      </w:r>
      <w:proofErr w:type="spellEnd"/>
      <w:r>
        <w:t xml:space="preserve"> (PCDDs) and polychlorinated dibenzofurans (PCDFs)</w:t>
      </w:r>
    </w:p>
  </w:footnote>
  <w:footnote w:id="12">
    <w:p w14:paraId="420FEB2D" w14:textId="4935252D" w:rsidR="00582A26" w:rsidRPr="00065FC7" w:rsidRDefault="00582A26" w:rsidP="00141FA3">
      <w:pPr>
        <w:pStyle w:val="FootnoteText"/>
      </w:pPr>
      <w:r>
        <w:rPr>
          <w:rStyle w:val="FootnoteReference"/>
        </w:rPr>
        <w:footnoteRef/>
      </w:r>
      <w:r>
        <w:t xml:space="preserve"> </w:t>
      </w:r>
      <w:r w:rsidRPr="00065FC7">
        <w:t>UNEP Report of the Technology and Economic Assessment Panel, Volume 3B, Report of the Task Fo</w:t>
      </w:r>
      <w:r>
        <w:t>rce on Destruction Technologies,</w:t>
      </w:r>
      <w:r w:rsidRPr="00065FC7">
        <w:t xml:space="preserve"> April 2002.</w:t>
      </w:r>
    </w:p>
  </w:footnote>
  <w:footnote w:id="13">
    <w:p w14:paraId="18E9CCCD" w14:textId="29A65EE7" w:rsidR="00582A26" w:rsidRDefault="00582A26" w:rsidP="00141FA3">
      <w:pPr>
        <w:pStyle w:val="FootnoteText"/>
      </w:pPr>
      <w:r w:rsidRPr="00B076CC">
        <w:rPr>
          <w:rStyle w:val="FootnoteReference"/>
        </w:rPr>
        <w:footnoteRef/>
      </w:r>
      <w:r w:rsidRPr="00B076CC">
        <w:t xml:space="preserve"> See TOXICOLOGICAL SCIENCES 93(2), 223–241 (2006) REVIEW</w:t>
      </w:r>
      <w:r>
        <w:t>.</w:t>
      </w:r>
      <w:r w:rsidRPr="00B076CC">
        <w:t xml:space="preserve"> The 2005 World Health Organization Re</w:t>
      </w:r>
      <w:r>
        <w:t>-</w:t>
      </w:r>
      <w:r w:rsidRPr="00B076CC">
        <w:t>evaluation of Human and Mammalian Toxic Equivalency Factors for Diox</w:t>
      </w:r>
      <w:r>
        <w:t xml:space="preserve">ins and Dioxin-Like Compounds. </w:t>
      </w:r>
      <w:r w:rsidRPr="00B076CC">
        <w:t>This paper gives an indication of the quantitative impact of the 2005 changes on WHO TEF values in</w:t>
      </w:r>
      <w:r>
        <w:t xml:space="preserve"> some selected biotic samples. </w:t>
      </w:r>
      <w:r w:rsidRPr="00B076CC">
        <w:t>“</w:t>
      </w:r>
      <w:r w:rsidRPr="00B076CC">
        <w:rPr>
          <w:i/>
        </w:rPr>
        <w:t>In general, it can be concluded that the changes in 2005 values have a limited impact on the total TEQ of these samples with an overall decrease in TEQ ranging between 10 and 25%.</w:t>
      </w:r>
      <w:r>
        <w:rPr>
          <w:i/>
        </w:rPr>
        <w:t xml:space="preserve"> </w:t>
      </w:r>
      <w:r w:rsidRPr="00B076CC">
        <w:rPr>
          <w:i/>
        </w:rPr>
        <w:t>In view of this average impact of 10–25%, it should be realized that many duplicate GC-MS analyses for these compounds also have an uncertainty that can fall in the range of 10–25%.</w:t>
      </w:r>
      <w:r w:rsidRPr="00B076CC">
        <w:t>”</w:t>
      </w:r>
      <w:r w:rsidRPr="00355437">
        <w:t>.</w:t>
      </w:r>
      <w:r w:rsidRPr="007D6EC9">
        <w:t xml:space="preserve"> In conclusion, the future or retrospective use of TEQ with revised Toxic Equivalent Factors (TEF) instead of ITEQ should have little if any impact on the evaluation of technologies screened-in or screened-out for the dioxins/furans performance criterion.</w:t>
      </w:r>
    </w:p>
  </w:footnote>
  <w:footnote w:id="14">
    <w:p w14:paraId="487270A4" w14:textId="212A89AF" w:rsidR="00582A26" w:rsidRPr="0049656F" w:rsidRDefault="00582A26" w:rsidP="00141FA3">
      <w:pPr>
        <w:pStyle w:val="FootnoteText"/>
      </w:pPr>
      <w:r>
        <w:rPr>
          <w:rStyle w:val="FootnoteReference"/>
        </w:rPr>
        <w:footnoteRef/>
      </w:r>
      <w:r>
        <w:t xml:space="preserve"> </w:t>
      </w:r>
      <w:r w:rsidRPr="0049656F">
        <w:t>UNEP Report of the Technology and Economic Assessment Panel, Volume 1, Progress Report, TEAP Task Force Response to Decision XXII/10</w:t>
      </w:r>
      <w:r>
        <w:t>,</w:t>
      </w:r>
      <w:r w:rsidRPr="0049656F">
        <w:t xml:space="preserve"> May 2011.</w:t>
      </w:r>
    </w:p>
  </w:footnote>
  <w:footnote w:id="15">
    <w:p w14:paraId="1E208968" w14:textId="2DD90704" w:rsidR="00582A26" w:rsidRPr="00EB21A4" w:rsidRDefault="00582A26" w:rsidP="00141FA3">
      <w:pPr>
        <w:pStyle w:val="FootnoteText"/>
        <w:rPr>
          <w:lang w:val="en-US"/>
        </w:rPr>
      </w:pPr>
      <w:r>
        <w:rPr>
          <w:rStyle w:val="FootnoteReference"/>
        </w:rPr>
        <w:footnoteRef/>
      </w:r>
      <w:r>
        <w:t xml:space="preserve"> </w:t>
      </w:r>
      <w:proofErr w:type="spellStart"/>
      <w:r>
        <w:rPr>
          <w:shd w:val="clear" w:color="auto" w:fill="FFFFFF"/>
        </w:rPr>
        <w:t>Toxicol</w:t>
      </w:r>
      <w:proofErr w:type="spellEnd"/>
      <w:r>
        <w:rPr>
          <w:shd w:val="clear" w:color="auto" w:fill="FFFFFF"/>
        </w:rPr>
        <w:t xml:space="preserve"> Sci. 2013 Jun; 133(2): 197–208: </w:t>
      </w:r>
      <w:proofErr w:type="spellStart"/>
      <w:r w:rsidRPr="00EB21A4">
        <w:rPr>
          <w:shd w:val="clear" w:color="auto" w:fill="FFFFFF"/>
        </w:rPr>
        <w:t>Polybrominated</w:t>
      </w:r>
      <w:proofErr w:type="spellEnd"/>
      <w:r w:rsidRPr="00EB21A4">
        <w:rPr>
          <w:shd w:val="clear" w:color="auto" w:fill="FFFFFF"/>
        </w:rPr>
        <w:t xml:space="preserve"> </w:t>
      </w:r>
      <w:proofErr w:type="spellStart"/>
      <w:r w:rsidRPr="00EB21A4">
        <w:rPr>
          <w:shd w:val="clear" w:color="auto" w:fill="FFFFFF"/>
        </w:rPr>
        <w:t>Dibenzo</w:t>
      </w:r>
      <w:proofErr w:type="spellEnd"/>
      <w:r w:rsidRPr="00EB21A4">
        <w:rPr>
          <w:shd w:val="clear" w:color="auto" w:fill="FFFFFF"/>
        </w:rPr>
        <w:t xml:space="preserve">-p-Dioxins, </w:t>
      </w:r>
      <w:proofErr w:type="spellStart"/>
      <w:r w:rsidRPr="00EB21A4">
        <w:rPr>
          <w:shd w:val="clear" w:color="auto" w:fill="FFFFFF"/>
        </w:rPr>
        <w:t>Dibenzofurans</w:t>
      </w:r>
      <w:proofErr w:type="spellEnd"/>
      <w:r w:rsidRPr="00EB21A4">
        <w:rPr>
          <w:shd w:val="clear" w:color="auto" w:fill="FFFFFF"/>
        </w:rPr>
        <w:t>, and Biphenyls: Inclusion in the Toxicity Equivalency Factor Concept for Dioxin-Like Compounds</w:t>
      </w:r>
      <w:r>
        <w:rPr>
          <w:shd w:val="clear" w:color="auto" w:fill="FFFFFF"/>
        </w:rPr>
        <w:t>; Martin van den Berg et al. In 2011, a joint World Health Organization (WHO) and United Nations Environment Programme (UNEP) expert consultation took place, during which the possible inclusion of brominated analogues of the dioxin-like compounds in the WHO Toxicity Equivalency Factor (TEF) scheme was evaluated. The use of similar interim TEF values for brominated and chlorinated congeners for human risk assessment is recommended, pending more detailed information in the future.</w:t>
      </w:r>
    </w:p>
  </w:footnote>
  <w:footnote w:id="16">
    <w:p w14:paraId="19159615" w14:textId="699FBB8D" w:rsidR="00582A26" w:rsidRPr="000523FA" w:rsidRDefault="00582A26" w:rsidP="00141FA3">
      <w:pPr>
        <w:pStyle w:val="FootnoteText"/>
        <w:rPr>
          <w:rStyle w:val="FootnoteReference"/>
          <w:vertAlign w:val="baseline"/>
        </w:rPr>
      </w:pPr>
      <w:r w:rsidRPr="007C0C40">
        <w:rPr>
          <w:rStyle w:val="FootnoteReference"/>
        </w:rPr>
        <w:footnoteRef/>
      </w:r>
      <w:r w:rsidRPr="007C0C40">
        <w:t xml:space="preserve"> </w:t>
      </w:r>
      <w:r>
        <w:rPr>
          <w:rStyle w:val="FootnoteReference"/>
          <w:vertAlign w:val="baseline"/>
        </w:rPr>
        <w:t xml:space="preserve">Committee on </w:t>
      </w:r>
      <w:r>
        <w:t>T</w:t>
      </w:r>
      <w:r>
        <w:rPr>
          <w:rStyle w:val="FootnoteReference"/>
          <w:vertAlign w:val="baseline"/>
        </w:rPr>
        <w:t xml:space="preserve">oxicity of </w:t>
      </w:r>
      <w:r>
        <w:t>C</w:t>
      </w:r>
      <w:r w:rsidRPr="000523FA">
        <w:rPr>
          <w:rStyle w:val="FootnoteReference"/>
          <w:vertAlign w:val="baseline"/>
        </w:rPr>
        <w:t xml:space="preserve">hemicals in </w:t>
      </w:r>
      <w:r>
        <w:rPr>
          <w:rStyle w:val="FootnoteReference"/>
          <w:vertAlign w:val="baseline"/>
        </w:rPr>
        <w:t xml:space="preserve">Food, </w:t>
      </w:r>
      <w:r>
        <w:t>C</w:t>
      </w:r>
      <w:r>
        <w:rPr>
          <w:rStyle w:val="FootnoteReference"/>
          <w:vertAlign w:val="baseline"/>
        </w:rPr>
        <w:t xml:space="preserve">onsumer </w:t>
      </w:r>
      <w:r>
        <w:t>P</w:t>
      </w:r>
      <w:r>
        <w:rPr>
          <w:rStyle w:val="FootnoteReference"/>
          <w:vertAlign w:val="baseline"/>
        </w:rPr>
        <w:t xml:space="preserve">roducts and the </w:t>
      </w:r>
      <w:r>
        <w:t>E</w:t>
      </w:r>
      <w:r w:rsidRPr="000523FA">
        <w:rPr>
          <w:rStyle w:val="FootnoteReference"/>
          <w:vertAlign w:val="baseline"/>
        </w:rPr>
        <w:t>nvironment</w:t>
      </w:r>
      <w:r>
        <w:t xml:space="preserve"> (COT)</w:t>
      </w:r>
      <w:r w:rsidRPr="000523FA">
        <w:rPr>
          <w:rStyle w:val="FootnoteReference"/>
          <w:vertAlign w:val="baseline"/>
        </w:rPr>
        <w:t xml:space="preserve">. 2010 COT statement on Occurrence of Mixed Halogenated </w:t>
      </w:r>
      <w:r w:rsidRPr="00EB21A4">
        <w:rPr>
          <w:rStyle w:val="FootnoteReference"/>
          <w:vertAlign w:val="baseline"/>
        </w:rPr>
        <w:t>Dioxins</w:t>
      </w:r>
      <w:r w:rsidRPr="000523FA">
        <w:rPr>
          <w:rStyle w:val="FootnoteReference"/>
          <w:vertAlign w:val="baseline"/>
        </w:rPr>
        <w:t xml:space="preserve"> and Biphenyls in UK Food</w:t>
      </w:r>
      <w:r>
        <w:t>.</w:t>
      </w:r>
    </w:p>
  </w:footnote>
  <w:footnote w:id="17">
    <w:p w14:paraId="015F0174" w14:textId="5C1AD67D" w:rsidR="00582A26" w:rsidRPr="00351B1C" w:rsidRDefault="00582A26" w:rsidP="00141FA3">
      <w:pPr>
        <w:pStyle w:val="FootnoteText"/>
        <w:rPr>
          <w:lang w:val="en-US"/>
        </w:rPr>
      </w:pPr>
      <w:r>
        <w:rPr>
          <w:rStyle w:val="FootnoteReference"/>
        </w:rPr>
        <w:footnoteRef/>
      </w:r>
      <w:r>
        <w:t xml:space="preserve"> The 2018 TFDT notes the discussion on the use of the more comprehensive Destruction Efficiency (DE) parameter in the 2011 TFDT, which accounts for all release paths as opposed to just in exhaust gases in the cases of DRE. The 2018 TFDT supports the continued use of DRE, and in this case its equivalency to DE, based on the low potential for detectable undestroyed ODS or HFCs to be found in solid or liquid releases from destruction processes.</w:t>
      </w:r>
    </w:p>
  </w:footnote>
  <w:footnote w:id="18">
    <w:p w14:paraId="4C22F102" w14:textId="262957E3" w:rsidR="00582A26" w:rsidRPr="0060369B" w:rsidRDefault="00582A26" w:rsidP="00141FA3">
      <w:pPr>
        <w:pStyle w:val="FootnoteText"/>
      </w:pPr>
      <w:r>
        <w:rPr>
          <w:rStyle w:val="FootnoteReference"/>
        </w:rPr>
        <w:footnoteRef/>
      </w:r>
      <w:r>
        <w:t xml:space="preserve"> Calculated based on stoichiometry.</w:t>
      </w:r>
    </w:p>
  </w:footnote>
  <w:footnote w:id="19">
    <w:p w14:paraId="6C2B4FFC" w14:textId="5D9BF793" w:rsidR="00582A26" w:rsidRPr="00EC35B3" w:rsidRDefault="00582A26" w:rsidP="00141FA3">
      <w:pPr>
        <w:pStyle w:val="FootnoteText"/>
        <w:rPr>
          <w:rStyle w:val="FootnoteReference"/>
          <w:vertAlign w:val="baseline"/>
        </w:rPr>
      </w:pPr>
      <w:r w:rsidRPr="005E4B1B">
        <w:rPr>
          <w:rStyle w:val="FootnoteReference"/>
        </w:rPr>
        <w:footnoteRef/>
      </w:r>
      <w:r w:rsidRPr="00351B1C">
        <w:t xml:space="preserve"> Weber, R, Schenk, D, Schmitz, H-J, </w:t>
      </w:r>
      <w:proofErr w:type="spellStart"/>
      <w:r w:rsidRPr="00351B1C">
        <w:t>Hagenmaier</w:t>
      </w:r>
      <w:proofErr w:type="spellEnd"/>
      <w:r w:rsidRPr="00351B1C">
        <w:t xml:space="preserve"> A and </w:t>
      </w:r>
      <w:proofErr w:type="spellStart"/>
      <w:r w:rsidRPr="00351B1C">
        <w:t>Hagenmaier</w:t>
      </w:r>
      <w:proofErr w:type="spellEnd"/>
      <w:r w:rsidRPr="00351B1C">
        <w:t>, H.</w:t>
      </w:r>
      <w:r>
        <w:t xml:space="preserve"> </w:t>
      </w:r>
      <w:r w:rsidRPr="00EC35B3">
        <w:t>“</w:t>
      </w:r>
      <w:proofErr w:type="spellStart"/>
      <w:r w:rsidRPr="00EC35B3">
        <w:t>Polyfluorinated</w:t>
      </w:r>
      <w:proofErr w:type="spellEnd"/>
      <w:r w:rsidRPr="00EC35B3">
        <w:t xml:space="preserve"> </w:t>
      </w:r>
      <w:proofErr w:type="spellStart"/>
      <w:r w:rsidRPr="00EC35B3">
        <w:rPr>
          <w:rStyle w:val="FootnoteReference"/>
          <w:vertAlign w:val="baseline"/>
        </w:rPr>
        <w:t>dibenzodioxins</w:t>
      </w:r>
      <w:proofErr w:type="spellEnd"/>
      <w:r w:rsidRPr="00EC35B3">
        <w:rPr>
          <w:rStyle w:val="FootnoteReference"/>
          <w:vertAlign w:val="baseline"/>
        </w:rPr>
        <w:t xml:space="preserve"> and </w:t>
      </w:r>
      <w:proofErr w:type="spellStart"/>
      <w:r w:rsidRPr="00EC35B3">
        <w:rPr>
          <w:rStyle w:val="FootnoteReference"/>
          <w:vertAlign w:val="baseline"/>
        </w:rPr>
        <w:t>dibenzofurans</w:t>
      </w:r>
      <w:proofErr w:type="spellEnd"/>
      <w:r w:rsidRPr="00EC35B3">
        <w:rPr>
          <w:rStyle w:val="FootnoteReference"/>
          <w:vertAlign w:val="baseline"/>
        </w:rPr>
        <w:t xml:space="preserve"> – synthesis, analysis, formation and toxicology.” Chemosphere, 30, 629 – 639, 1995.</w:t>
      </w:r>
    </w:p>
  </w:footnote>
  <w:footnote w:id="20">
    <w:p w14:paraId="54A864C4" w14:textId="77777777" w:rsidR="00582A26" w:rsidRPr="00C47E0A" w:rsidRDefault="00582A26" w:rsidP="00141FA3">
      <w:pPr>
        <w:pStyle w:val="FootnoteText"/>
        <w:rPr>
          <w:rStyle w:val="FootnoteReference"/>
          <w:vertAlign w:val="baseline"/>
        </w:rPr>
      </w:pPr>
      <w:r w:rsidRPr="00EC35B3">
        <w:rPr>
          <w:rStyle w:val="FootnoteReference"/>
        </w:rPr>
        <w:footnoteRef/>
      </w:r>
      <w:r w:rsidRPr="00EC35B3">
        <w:rPr>
          <w:rStyle w:val="FootnoteReference"/>
        </w:rPr>
        <w:t xml:space="preserve"> </w:t>
      </w:r>
      <w:r w:rsidRPr="00C47E0A">
        <w:rPr>
          <w:rStyle w:val="FootnoteReference"/>
          <w:vertAlign w:val="baseline"/>
        </w:rPr>
        <w:t xml:space="preserve">Schmitz, H-J, Weber, R, </w:t>
      </w:r>
      <w:proofErr w:type="spellStart"/>
      <w:r w:rsidRPr="00C47E0A">
        <w:rPr>
          <w:rStyle w:val="FootnoteReference"/>
          <w:vertAlign w:val="baseline"/>
        </w:rPr>
        <w:t>Hagemmaier</w:t>
      </w:r>
      <w:proofErr w:type="spellEnd"/>
      <w:r w:rsidRPr="00C47E0A">
        <w:rPr>
          <w:rStyle w:val="FootnoteReference"/>
          <w:vertAlign w:val="baseline"/>
        </w:rPr>
        <w:t xml:space="preserve">, A, </w:t>
      </w:r>
      <w:proofErr w:type="spellStart"/>
      <w:r w:rsidRPr="00C47E0A">
        <w:rPr>
          <w:rStyle w:val="FootnoteReference"/>
          <w:vertAlign w:val="baseline"/>
        </w:rPr>
        <w:t>Hagenmaier</w:t>
      </w:r>
      <w:proofErr w:type="spellEnd"/>
      <w:r w:rsidRPr="00C47E0A">
        <w:rPr>
          <w:rStyle w:val="FootnoteReference"/>
          <w:vertAlign w:val="baseline"/>
        </w:rPr>
        <w:t xml:space="preserve">, H, </w:t>
      </w:r>
      <w:proofErr w:type="spellStart"/>
      <w:r w:rsidRPr="00C47E0A">
        <w:rPr>
          <w:rStyle w:val="FootnoteReference"/>
          <w:vertAlign w:val="baseline"/>
        </w:rPr>
        <w:t>Poellinger</w:t>
      </w:r>
      <w:proofErr w:type="spellEnd"/>
      <w:r w:rsidRPr="00C47E0A">
        <w:rPr>
          <w:rStyle w:val="FootnoteReference"/>
          <w:vertAlign w:val="baseline"/>
        </w:rPr>
        <w:t xml:space="preserve">, L and </w:t>
      </w:r>
      <w:proofErr w:type="spellStart"/>
      <w:r w:rsidRPr="00C47E0A">
        <w:rPr>
          <w:rStyle w:val="FootnoteReference"/>
          <w:vertAlign w:val="baseline"/>
        </w:rPr>
        <w:t>Schrenk</w:t>
      </w:r>
      <w:proofErr w:type="spellEnd"/>
      <w:r w:rsidRPr="00C47E0A">
        <w:rPr>
          <w:rStyle w:val="FootnoteReference"/>
          <w:vertAlign w:val="baseline"/>
        </w:rPr>
        <w:t xml:space="preserve">, D. "2,3,7,8-Tetrafluorodibenzo-p-dioxin: a potent agonist of the murine dioxin receptor" Environmental </w:t>
      </w:r>
      <w:proofErr w:type="spellStart"/>
      <w:r w:rsidRPr="00C47E0A">
        <w:rPr>
          <w:rStyle w:val="FootnoteReference"/>
          <w:vertAlign w:val="baseline"/>
        </w:rPr>
        <w:t>Tox</w:t>
      </w:r>
      <w:proofErr w:type="spellEnd"/>
      <w:r w:rsidRPr="00C47E0A">
        <w:rPr>
          <w:rStyle w:val="FootnoteReference"/>
          <w:vertAlign w:val="baseline"/>
        </w:rPr>
        <w:t xml:space="preserve"> &amp; </w:t>
      </w:r>
      <w:proofErr w:type="spellStart"/>
      <w:r w:rsidRPr="00C47E0A">
        <w:rPr>
          <w:rStyle w:val="FootnoteReference"/>
          <w:vertAlign w:val="baseline"/>
        </w:rPr>
        <w:t>Pharmacol</w:t>
      </w:r>
      <w:proofErr w:type="spellEnd"/>
      <w:r w:rsidRPr="00C47E0A">
        <w:rPr>
          <w:rStyle w:val="FootnoteReference"/>
          <w:vertAlign w:val="baseline"/>
        </w:rPr>
        <w:t>, 3, 105 - 113, 1997.</w:t>
      </w:r>
    </w:p>
  </w:footnote>
  <w:footnote w:id="21">
    <w:p w14:paraId="5B2E9489" w14:textId="16759478" w:rsidR="00582A26" w:rsidRPr="00C47E0A" w:rsidRDefault="00582A26" w:rsidP="00141FA3">
      <w:pPr>
        <w:pStyle w:val="FootnoteText"/>
        <w:rPr>
          <w:rStyle w:val="FootnoteReference"/>
          <w:vertAlign w:val="baseline"/>
        </w:rPr>
      </w:pPr>
      <w:r w:rsidRPr="00C47E0A">
        <w:rPr>
          <w:rStyle w:val="FootnoteReference"/>
        </w:rPr>
        <w:footnoteRef/>
      </w:r>
      <w:r w:rsidRPr="00C47E0A">
        <w:rPr>
          <w:rStyle w:val="FootnoteReference"/>
          <w:vertAlign w:val="baseline"/>
        </w:rPr>
        <w:t xml:space="preserve"> Weber, R, Schmitz, H-J, Schenk, D, and </w:t>
      </w:r>
      <w:proofErr w:type="spellStart"/>
      <w:r w:rsidRPr="00C47E0A">
        <w:rPr>
          <w:rStyle w:val="FootnoteReference"/>
          <w:vertAlign w:val="baseline"/>
        </w:rPr>
        <w:t>Hagenmaier</w:t>
      </w:r>
      <w:proofErr w:type="spellEnd"/>
      <w:r w:rsidRPr="00C47E0A">
        <w:rPr>
          <w:rStyle w:val="FootnoteReference"/>
          <w:vertAlign w:val="baseline"/>
        </w:rPr>
        <w:t>, H.</w:t>
      </w:r>
      <w:r>
        <w:rPr>
          <w:rStyle w:val="FootnoteReference"/>
          <w:vertAlign w:val="baseline"/>
        </w:rPr>
        <w:t xml:space="preserve"> </w:t>
      </w:r>
      <w:r w:rsidRPr="00C47E0A">
        <w:rPr>
          <w:rStyle w:val="FootnoteReference"/>
          <w:vertAlign w:val="baseline"/>
        </w:rPr>
        <w:t xml:space="preserve">“Metabolic degradation, inducing potency and metabolites of fluorinated and chlorinated-fluorinated </w:t>
      </w:r>
      <w:proofErr w:type="spellStart"/>
      <w:r w:rsidRPr="00C47E0A">
        <w:rPr>
          <w:rStyle w:val="FootnoteReference"/>
          <w:vertAlign w:val="baseline"/>
        </w:rPr>
        <w:t>dibenzodioxins</w:t>
      </w:r>
      <w:proofErr w:type="spellEnd"/>
      <w:r w:rsidRPr="00C47E0A">
        <w:rPr>
          <w:rStyle w:val="FootnoteReference"/>
          <w:vertAlign w:val="baseline"/>
        </w:rPr>
        <w:t xml:space="preserve"> and </w:t>
      </w:r>
      <w:proofErr w:type="spellStart"/>
      <w:r w:rsidRPr="00C47E0A">
        <w:rPr>
          <w:rStyle w:val="FootnoteReference"/>
          <w:vertAlign w:val="baseline"/>
        </w:rPr>
        <w:t>dibenzofurans</w:t>
      </w:r>
      <w:proofErr w:type="spellEnd"/>
      <w:r w:rsidRPr="00C47E0A">
        <w:rPr>
          <w:rStyle w:val="FootnoteReference"/>
          <w:vertAlign w:val="baseline"/>
        </w:rPr>
        <w:t>” Chemosphere, 34, 29 – 40, 1994.</w:t>
      </w:r>
    </w:p>
  </w:footnote>
  <w:footnote w:id="22">
    <w:p w14:paraId="250523BD" w14:textId="77777777" w:rsidR="00582A26" w:rsidRPr="00C47E0A" w:rsidRDefault="00582A26" w:rsidP="00141FA3">
      <w:pPr>
        <w:pStyle w:val="FootnoteText"/>
        <w:rPr>
          <w:rStyle w:val="FootnoteReference"/>
          <w:vertAlign w:val="baseline"/>
        </w:rPr>
      </w:pPr>
      <w:r w:rsidRPr="00C47E0A">
        <w:rPr>
          <w:rStyle w:val="FootnoteReference"/>
        </w:rPr>
        <w:footnoteRef/>
      </w:r>
      <w:r w:rsidRPr="00C47E0A">
        <w:rPr>
          <w:rStyle w:val="FootnoteReference"/>
          <w:vertAlign w:val="baseline"/>
        </w:rPr>
        <w:t xml:space="preserve"> Weber, R, Kuhn, T, </w:t>
      </w:r>
      <w:proofErr w:type="spellStart"/>
      <w:r w:rsidRPr="00C47E0A">
        <w:rPr>
          <w:rStyle w:val="FootnoteReference"/>
          <w:vertAlign w:val="baseline"/>
        </w:rPr>
        <w:t>Hagenmaier</w:t>
      </w:r>
      <w:proofErr w:type="spellEnd"/>
      <w:r w:rsidRPr="00C47E0A">
        <w:rPr>
          <w:rStyle w:val="FootnoteReference"/>
          <w:vertAlign w:val="baseline"/>
        </w:rPr>
        <w:t xml:space="preserve">, H and </w:t>
      </w:r>
      <w:proofErr w:type="spellStart"/>
      <w:r w:rsidRPr="00C47E0A">
        <w:rPr>
          <w:rStyle w:val="FootnoteReference"/>
          <w:vertAlign w:val="baseline"/>
        </w:rPr>
        <w:t>Hafelinger</w:t>
      </w:r>
      <w:proofErr w:type="spellEnd"/>
      <w:r w:rsidRPr="00C47E0A">
        <w:rPr>
          <w:rStyle w:val="FootnoteReference"/>
          <w:vertAlign w:val="baseline"/>
        </w:rPr>
        <w:t xml:space="preserve">, H. “ab initio MO Optimisation of Molecular Structures of Fluoro- and </w:t>
      </w:r>
      <w:proofErr w:type="spellStart"/>
      <w:r w:rsidRPr="00C47E0A">
        <w:rPr>
          <w:rStyle w:val="FootnoteReference"/>
          <w:vertAlign w:val="baseline"/>
        </w:rPr>
        <w:t>Chloro</w:t>
      </w:r>
      <w:proofErr w:type="spellEnd"/>
      <w:r w:rsidRPr="00C47E0A">
        <w:rPr>
          <w:rStyle w:val="FootnoteReference"/>
          <w:vertAlign w:val="baseline"/>
        </w:rPr>
        <w:t xml:space="preserve">-substituted </w:t>
      </w:r>
      <w:proofErr w:type="spellStart"/>
      <w:r w:rsidRPr="00C47E0A">
        <w:rPr>
          <w:rStyle w:val="FootnoteReference"/>
          <w:vertAlign w:val="baseline"/>
        </w:rPr>
        <w:t>Dibenzo</w:t>
      </w:r>
      <w:proofErr w:type="spellEnd"/>
      <w:r w:rsidRPr="00C47E0A">
        <w:rPr>
          <w:rStyle w:val="FootnoteReference"/>
          <w:vertAlign w:val="baseline"/>
        </w:rPr>
        <w:t>-p-</w:t>
      </w:r>
      <w:proofErr w:type="spellStart"/>
      <w:r w:rsidRPr="00C47E0A">
        <w:rPr>
          <w:rStyle w:val="FootnoteReference"/>
          <w:vertAlign w:val="baseline"/>
        </w:rPr>
        <w:t>dioxines</w:t>
      </w:r>
      <w:proofErr w:type="spellEnd"/>
      <w:r w:rsidRPr="00C47E0A">
        <w:rPr>
          <w:rStyle w:val="FootnoteReference"/>
          <w:vertAlign w:val="baseline"/>
        </w:rPr>
        <w:t xml:space="preserve"> and the effect of Halogen Substitution at the 2,3,7,8-positions on Metabolic Attack.” Z. </w:t>
      </w:r>
      <w:proofErr w:type="spellStart"/>
      <w:r w:rsidRPr="00C47E0A">
        <w:rPr>
          <w:rStyle w:val="FootnoteReference"/>
          <w:vertAlign w:val="baseline"/>
        </w:rPr>
        <w:t>Naturforsch</w:t>
      </w:r>
      <w:proofErr w:type="spellEnd"/>
      <w:r w:rsidRPr="00C47E0A">
        <w:rPr>
          <w:rStyle w:val="FootnoteReference"/>
          <w:vertAlign w:val="baseline"/>
        </w:rPr>
        <w:t>. 52b, 1418 – 1431, 1997.</w:t>
      </w:r>
    </w:p>
  </w:footnote>
  <w:footnote w:id="23">
    <w:p w14:paraId="0A26E918" w14:textId="506173DA" w:rsidR="00582A26" w:rsidRPr="00C47E0A" w:rsidRDefault="00582A26" w:rsidP="00141FA3">
      <w:pPr>
        <w:pStyle w:val="FootnoteText"/>
        <w:rPr>
          <w:rStyle w:val="FootnoteReference"/>
          <w:vertAlign w:val="baseline"/>
        </w:rPr>
      </w:pPr>
      <w:r w:rsidRPr="00C47E0A">
        <w:rPr>
          <w:rStyle w:val="FootnoteReference"/>
        </w:rPr>
        <w:footnoteRef/>
      </w:r>
      <w:r w:rsidRPr="00C47E0A">
        <w:rPr>
          <w:rStyle w:val="FootnoteReference"/>
          <w:vertAlign w:val="baseline"/>
        </w:rPr>
        <w:t xml:space="preserve"> Conrad, D, </w:t>
      </w:r>
      <w:proofErr w:type="spellStart"/>
      <w:r w:rsidRPr="00C47E0A">
        <w:rPr>
          <w:rStyle w:val="FootnoteReference"/>
          <w:vertAlign w:val="baseline"/>
        </w:rPr>
        <w:t>Golor</w:t>
      </w:r>
      <w:proofErr w:type="spellEnd"/>
      <w:r w:rsidRPr="00C47E0A">
        <w:rPr>
          <w:rStyle w:val="FootnoteReference"/>
          <w:vertAlign w:val="baseline"/>
        </w:rPr>
        <w:t xml:space="preserve">, G, </w:t>
      </w:r>
      <w:proofErr w:type="spellStart"/>
      <w:r w:rsidRPr="00C47E0A">
        <w:rPr>
          <w:rStyle w:val="FootnoteReference"/>
          <w:vertAlign w:val="baseline"/>
        </w:rPr>
        <w:t>Neubert</w:t>
      </w:r>
      <w:proofErr w:type="spellEnd"/>
      <w:r w:rsidRPr="00C47E0A">
        <w:rPr>
          <w:rStyle w:val="FootnoteReference"/>
          <w:vertAlign w:val="baseline"/>
        </w:rPr>
        <w:t xml:space="preserve">, D and </w:t>
      </w:r>
      <w:proofErr w:type="spellStart"/>
      <w:r w:rsidRPr="00C47E0A">
        <w:rPr>
          <w:rStyle w:val="FootnoteReference"/>
          <w:vertAlign w:val="baseline"/>
        </w:rPr>
        <w:t>Rotard</w:t>
      </w:r>
      <w:proofErr w:type="spellEnd"/>
      <w:r w:rsidRPr="00C47E0A">
        <w:rPr>
          <w:rStyle w:val="FootnoteReference"/>
          <w:vertAlign w:val="baseline"/>
        </w:rPr>
        <w:t>, W. “</w:t>
      </w:r>
      <w:proofErr w:type="spellStart"/>
      <w:r w:rsidRPr="00C47E0A">
        <w:rPr>
          <w:rStyle w:val="FootnoteReference"/>
          <w:vertAlign w:val="baseline"/>
        </w:rPr>
        <w:t>Organohalogen</w:t>
      </w:r>
      <w:proofErr w:type="spellEnd"/>
      <w:r w:rsidRPr="00C47E0A">
        <w:rPr>
          <w:rStyle w:val="FootnoteReference"/>
          <w:vertAlign w:val="baseline"/>
        </w:rPr>
        <w:t xml:space="preserve"> Compounds”, 29, 406, 1996.</w:t>
      </w:r>
    </w:p>
  </w:footnote>
  <w:footnote w:id="24">
    <w:p w14:paraId="2282FC0B" w14:textId="0D55BA02" w:rsidR="00582A26" w:rsidRPr="00782938" w:rsidRDefault="00582A26" w:rsidP="00141FA3">
      <w:pPr>
        <w:pStyle w:val="FootnoteText"/>
      </w:pPr>
      <w:r w:rsidRPr="00782938">
        <w:rPr>
          <w:rStyle w:val="FootnoteReference"/>
        </w:rPr>
        <w:footnoteRef/>
      </w:r>
      <w:r w:rsidRPr="00782938">
        <w:t xml:space="preserve"> </w:t>
      </w:r>
      <w:r>
        <w:t xml:space="preserve">UNEP </w:t>
      </w:r>
      <w:r w:rsidRPr="005649F7">
        <w:rPr>
          <w:shd w:val="clear" w:color="auto" w:fill="FFFFFF"/>
        </w:rPr>
        <w:t>Halons Technical Options Committee 2014</w:t>
      </w:r>
      <w:r>
        <w:rPr>
          <w:shd w:val="clear" w:color="auto" w:fill="FFFFFF"/>
        </w:rPr>
        <w:t>,</w:t>
      </w:r>
      <w:r w:rsidRPr="005649F7">
        <w:rPr>
          <w:shd w:val="clear" w:color="auto" w:fill="FFFFFF"/>
        </w:rPr>
        <w:t xml:space="preserve"> Technical Note 5 on Halons Destruction</w:t>
      </w:r>
      <w:r>
        <w:rPr>
          <w:shd w:val="clear" w:color="auto" w:fill="FFFFFF"/>
        </w:rPr>
        <w:t>, pg.</w:t>
      </w:r>
      <w:r w:rsidRPr="005649F7">
        <w:rPr>
          <w:shd w:val="clear" w:color="auto" w:fill="FFFFFF"/>
        </w:rPr>
        <w:t xml:space="preserve"> 2</w:t>
      </w:r>
      <w:r>
        <w:rPr>
          <w:shd w:val="clear" w:color="auto" w:fill="FFFFFF"/>
        </w:rPr>
        <w:t>.</w:t>
      </w:r>
    </w:p>
  </w:footnote>
  <w:footnote w:id="25">
    <w:p w14:paraId="6278BAB5" w14:textId="720BEBC1" w:rsidR="00582A26" w:rsidRPr="006F6E7A" w:rsidRDefault="00582A26" w:rsidP="00141FA3">
      <w:pPr>
        <w:pStyle w:val="FootnoteText"/>
      </w:pPr>
      <w:r>
        <w:rPr>
          <w:rStyle w:val="FootnoteReference"/>
        </w:rPr>
        <w:footnoteRef/>
      </w:r>
      <w:r>
        <w:t xml:space="preserve"> </w:t>
      </w:r>
      <w:r w:rsidRPr="006F6E7A">
        <w:t>UNEP Report of the Technology and Economic Assessment Panel, Progress Repo</w:t>
      </w:r>
      <w:r>
        <w:t>rt, Response to Decision XVI/15,</w:t>
      </w:r>
      <w:r w:rsidRPr="006F6E7A">
        <w:t xml:space="preserve"> May 2005.</w:t>
      </w:r>
    </w:p>
  </w:footnote>
  <w:footnote w:id="26">
    <w:p w14:paraId="68AF3F7D" w14:textId="09966D1D" w:rsidR="00582A26" w:rsidRPr="006F6E7A" w:rsidRDefault="00582A26" w:rsidP="00141FA3">
      <w:pPr>
        <w:pStyle w:val="FootnoteText"/>
      </w:pPr>
      <w:r>
        <w:rPr>
          <w:rStyle w:val="FootnoteReference"/>
        </w:rPr>
        <w:footnoteRef/>
      </w:r>
      <w:r>
        <w:t xml:space="preserve"> </w:t>
      </w:r>
      <w:r w:rsidRPr="006F6E7A">
        <w:t>UNEP Report of the Technology and Economic Assessment Panel, Volume 3B, Report of the Task Fo</w:t>
      </w:r>
      <w:r>
        <w:t>rce on Destruction Technologies,</w:t>
      </w:r>
      <w:r w:rsidRPr="006F6E7A">
        <w:t xml:space="preserve"> April 2002.</w:t>
      </w:r>
    </w:p>
  </w:footnote>
  <w:footnote w:id="27">
    <w:p w14:paraId="6306320B" w14:textId="6A0761F0" w:rsidR="00582A26" w:rsidRPr="001522DF" w:rsidRDefault="00582A26" w:rsidP="00141FA3">
      <w:pPr>
        <w:pStyle w:val="FootnoteText"/>
      </w:pPr>
      <w:r>
        <w:rPr>
          <w:rStyle w:val="FootnoteReference"/>
        </w:rPr>
        <w:footnoteRef/>
      </w:r>
      <w:r>
        <w:t xml:space="preserve"> </w:t>
      </w:r>
      <w:r w:rsidRPr="001522DF">
        <w:t xml:space="preserve">This is stated in the Reference document on best available techniques for Waste incineration, 2006 (http://eippcb.jrc.ec.europa.eu/reference/BREF/wi_bref_0806.pdf) as well as demonstrated by the existing technologies for </w:t>
      </w:r>
      <w:proofErr w:type="spellStart"/>
      <w:r w:rsidRPr="001522DF">
        <w:t>trifluoromethane</w:t>
      </w:r>
      <w:proofErr w:type="spellEnd"/>
      <w:r w:rsidRPr="001522DF">
        <w:t xml:space="preserve"> (HFC-23) destruction (</w:t>
      </w:r>
      <w:hyperlink r:id="rId1" w:history="1">
        <w:r w:rsidRPr="001522DF">
          <w:t>http://cdm.unfccc.int/Projects/projsearch.html</w:t>
        </w:r>
      </w:hyperlink>
      <w:r w:rsidRPr="001522DF">
        <w:t>).</w:t>
      </w:r>
    </w:p>
  </w:footnote>
  <w:footnote w:id="28">
    <w:p w14:paraId="6C3149BC" w14:textId="71658559" w:rsidR="00582A26" w:rsidRPr="00023EF6" w:rsidRDefault="00582A26" w:rsidP="00141FA3">
      <w:pPr>
        <w:pStyle w:val="FootnoteText"/>
      </w:pPr>
      <w:r>
        <w:rPr>
          <w:rStyle w:val="FootnoteReference"/>
        </w:rPr>
        <w:footnoteRef/>
      </w:r>
      <w:r>
        <w:t xml:space="preserve"> “ODS Destruction in the U.S. and Abroad”, February 2018, </w:t>
      </w:r>
      <w:hyperlink r:id="rId2" w:history="1">
        <w:r w:rsidRPr="008E49D2">
          <w:rPr>
            <w:rStyle w:val="Hyperlink"/>
          </w:rPr>
          <w:t>https://www.epa.gov/sites/production/files/2018-03/documents/ods-destruction-in-the-us-and-abroad_feb2018.pdf</w:t>
        </w:r>
      </w:hyperlink>
      <w:r>
        <w:rPr>
          <w:rStyle w:val="Hyperlink"/>
        </w:rPr>
        <w:t>, accessed March 2018.</w:t>
      </w:r>
    </w:p>
  </w:footnote>
  <w:footnote w:id="29">
    <w:p w14:paraId="3C967A23" w14:textId="6FE5F99E" w:rsidR="00582A26" w:rsidRPr="0098413B" w:rsidRDefault="00582A26" w:rsidP="00141FA3">
      <w:pPr>
        <w:pStyle w:val="FootnoteText"/>
      </w:pPr>
      <w:r>
        <w:rPr>
          <w:rStyle w:val="FootnoteReference"/>
        </w:rPr>
        <w:footnoteRef/>
      </w:r>
      <w:r>
        <w:t xml:space="preserve"> </w:t>
      </w:r>
      <w:r w:rsidRPr="0098413B">
        <w:t xml:space="preserve">A complete table of HFC thermal stabilities </w:t>
      </w:r>
      <w:r>
        <w:t>was</w:t>
      </w:r>
      <w:r w:rsidRPr="0098413B">
        <w:t xml:space="preserve"> not available to the 2018 TFDT. Relevant data is contained in: ‘Appendix D: </w:t>
      </w:r>
      <w:proofErr w:type="spellStart"/>
      <w:r w:rsidRPr="0098413B">
        <w:t>Incinerability</w:t>
      </w:r>
      <w:proofErr w:type="spellEnd"/>
      <w:r w:rsidRPr="0098413B">
        <w:t xml:space="preserve"> of HFCs of the United States’ submission in response to decision XXIX/4, paragraph 2; Tsang, W., Burgess Jr., D. R., and </w:t>
      </w:r>
      <w:proofErr w:type="spellStart"/>
      <w:r w:rsidRPr="0098413B">
        <w:t>Babushok</w:t>
      </w:r>
      <w:proofErr w:type="spellEnd"/>
      <w:r w:rsidRPr="0098413B">
        <w:t xml:space="preserve">, V. (1998) </w:t>
      </w:r>
      <w:r w:rsidRPr="0098413B">
        <w:rPr>
          <w:i/>
        </w:rPr>
        <w:t xml:space="preserve">On the </w:t>
      </w:r>
      <w:proofErr w:type="spellStart"/>
      <w:r w:rsidRPr="0098413B">
        <w:rPr>
          <w:i/>
        </w:rPr>
        <w:t>Incinerability</w:t>
      </w:r>
      <w:proofErr w:type="spellEnd"/>
      <w:r w:rsidRPr="0098413B">
        <w:rPr>
          <w:i/>
        </w:rPr>
        <w:t xml:space="preserve"> of Highly Fluorinated Organic Compounds, Combustion Science and Technology</w:t>
      </w:r>
      <w:r w:rsidRPr="0098413B">
        <w:t>, 139:1, 385-402; The available data allows the conclusion that HFC-23 is the most thermally stable HFC.</w:t>
      </w:r>
    </w:p>
  </w:footnote>
  <w:footnote w:id="30">
    <w:p w14:paraId="6A9884D7" w14:textId="77777777" w:rsidR="00582A26" w:rsidRPr="00C47E0A" w:rsidRDefault="00582A26" w:rsidP="00141FA3">
      <w:pPr>
        <w:pStyle w:val="FootnoteText"/>
      </w:pPr>
      <w:r w:rsidRPr="00C47E0A">
        <w:rPr>
          <w:rStyle w:val="FootnoteReference"/>
        </w:rPr>
        <w:footnoteRef/>
      </w:r>
      <w:r w:rsidRPr="00C47E0A">
        <w:t xml:space="preserve"> The relevant text of the Decision for methyl bromide is as follows: </w:t>
      </w:r>
    </w:p>
    <w:p w14:paraId="310421FA" w14:textId="65E88D28" w:rsidR="00582A26" w:rsidRPr="00C47E0A" w:rsidRDefault="00582A26" w:rsidP="00141FA3">
      <w:pPr>
        <w:pStyle w:val="FootnoteText"/>
      </w:pPr>
      <w:r w:rsidRPr="00C47E0A">
        <w:t>1. To request the Panel and the relevant technical options committees, in consultation with other relevant experts, for consideration at the thirty-first meeting of the Open-ended Working Group and with a view to possible inclusion in the Montreal Protocol handbook:</w:t>
      </w:r>
    </w:p>
    <w:p w14:paraId="74BC8A64" w14:textId="733646B8" w:rsidR="00582A26" w:rsidRPr="007450BD" w:rsidRDefault="00582A26" w:rsidP="00141FA3">
      <w:pPr>
        <w:pStyle w:val="FootnoteText"/>
      </w:pPr>
      <w:r w:rsidRPr="00C47E0A">
        <w:t xml:space="preserve">a. To evaluate and recommend the </w:t>
      </w:r>
      <w:r w:rsidRPr="007450BD">
        <w:t>appropriate destruction and removal efficiency for methyl bromide</w:t>
      </w:r>
      <w:r>
        <w:t>.</w:t>
      </w:r>
      <w:r w:rsidRPr="007450BD">
        <w:t xml:space="preserve"> ….</w:t>
      </w:r>
    </w:p>
  </w:footnote>
  <w:footnote w:id="31">
    <w:p w14:paraId="00160E0D" w14:textId="17A24267" w:rsidR="00582A26" w:rsidRPr="00C47E0A" w:rsidRDefault="00582A26" w:rsidP="00141FA3">
      <w:pPr>
        <w:pStyle w:val="FootnoteText"/>
      </w:pPr>
      <w:r w:rsidRPr="007450BD">
        <w:rPr>
          <w:rStyle w:val="FootnoteReference"/>
        </w:rPr>
        <w:footnoteRef/>
      </w:r>
      <w:r w:rsidRPr="007450BD">
        <w:t xml:space="preserve"> An Argon plasma arc technology was reviewed </w:t>
      </w:r>
      <w:r>
        <w:t>by</w:t>
      </w:r>
      <w:r w:rsidRPr="007450BD">
        <w:t xml:space="preserve"> the 2011 </w:t>
      </w:r>
      <w:r>
        <w:t>TFDT</w:t>
      </w:r>
      <w:r w:rsidRPr="007450BD">
        <w:t xml:space="preserve"> (High Potential) </w:t>
      </w:r>
      <w:r>
        <w:t>(</w:t>
      </w:r>
      <w:r w:rsidRPr="007450BD">
        <w:t xml:space="preserve">and also </w:t>
      </w:r>
      <w:r>
        <w:t>in</w:t>
      </w:r>
      <w:r w:rsidRPr="007450BD">
        <w:t xml:space="preserve"> the 2014 CTOC Assessment Report</w:t>
      </w:r>
      <w:r>
        <w:t>)</w:t>
      </w:r>
      <w:r w:rsidRPr="007450BD">
        <w:t>.</w:t>
      </w:r>
      <w:r>
        <w:t xml:space="preserve"> </w:t>
      </w:r>
      <w:r w:rsidRPr="007450BD">
        <w:t>This stated that “its DRE is over 99.6% with 2-3% of methyl bromide recovered. Brominated dioxin</w:t>
      </w:r>
      <w:r>
        <w:t>s</w:t>
      </w:r>
      <w:r w:rsidRPr="007450BD">
        <w:t xml:space="preserve"> and furans were detected in the emissions. The technology remains as ‘not determined’ for methyl bromide in the list of approved technologies. The second technology reviewed by the </w:t>
      </w:r>
      <w:r>
        <w:t>2011 TFDT</w:t>
      </w:r>
      <w:r w:rsidRPr="007450BD">
        <w:t xml:space="preserve"> is described as adsorption of methyl bromide on activated carbon and subsequent destruction by chemical, biological or thermal means. Since the technology is not linked with any specific destruction technology, the Task Force did not believe that the submission could be considered within the scope of an assessment of destruction technologies.</w:t>
      </w:r>
    </w:p>
  </w:footnote>
  <w:footnote w:id="32">
    <w:p w14:paraId="1C241B67" w14:textId="6CA48DD2" w:rsidR="00582A26" w:rsidRPr="00BD77D2" w:rsidRDefault="00582A26" w:rsidP="00141FA3">
      <w:pPr>
        <w:pStyle w:val="FootnoteText"/>
      </w:pPr>
      <w:r>
        <w:rPr>
          <w:rStyle w:val="FootnoteReference"/>
        </w:rPr>
        <w:footnoteRef/>
      </w:r>
      <w:r>
        <w:t xml:space="preserve"> Jonathan Banks, MBTOC member, personal communications, March 2018.</w:t>
      </w:r>
    </w:p>
  </w:footnote>
  <w:footnote w:id="33">
    <w:p w14:paraId="4E7EB2C9" w14:textId="77777777" w:rsidR="00582A26" w:rsidRDefault="00582A26" w:rsidP="00141FA3">
      <w:pPr>
        <w:pStyle w:val="FootnoteText"/>
      </w:pPr>
      <w:r>
        <w:rPr>
          <w:rStyle w:val="FootnoteReference"/>
        </w:rPr>
        <w:footnoteRef/>
      </w:r>
      <w:r>
        <w:t xml:space="preserve"> </w:t>
      </w:r>
      <w:r w:rsidRPr="002F6E1F">
        <w:t>Brazil, Czech Republic, France, Germany, The former Yugoslav Republic of Macedonia, United States of America</w:t>
      </w:r>
    </w:p>
  </w:footnote>
  <w:footnote w:id="34">
    <w:p w14:paraId="6925B59A" w14:textId="77777777" w:rsidR="00582A26" w:rsidRDefault="00582A26" w:rsidP="00141FA3">
      <w:pPr>
        <w:pStyle w:val="FootnoteText"/>
      </w:pPr>
      <w:r w:rsidRPr="00EC0D14">
        <w:rPr>
          <w:rStyle w:val="FootnoteReference"/>
        </w:rPr>
        <w:footnoteRef/>
      </w:r>
      <w:r w:rsidRPr="00EC0D14">
        <w:t xml:space="preserve"> UNEP/</w:t>
      </w:r>
      <w:proofErr w:type="spellStart"/>
      <w:r w:rsidRPr="00EC0D14">
        <w:t>OzL.Pro</w:t>
      </w:r>
      <w:proofErr w:type="spellEnd"/>
      <w:r w:rsidRPr="00EC0D14">
        <w:t>/Workshop.3/INF/1, 26 June 2009, “ODS Destruction in the United States of</w:t>
      </w:r>
      <w:r>
        <w:t xml:space="preserve"> </w:t>
      </w:r>
      <w:r w:rsidRPr="00EC0D14">
        <w:t>America and Abroad (May 2009), Prepared by ICF International for U.S. EPA’s Stratospheric</w:t>
      </w:r>
      <w:r>
        <w:t xml:space="preserve"> </w:t>
      </w:r>
      <w:r w:rsidRPr="00EC0D14">
        <w:t>Protection Division”: Table 10: Reported Kilograms of ODS Destroyed by Type, as Reported in TRI</w:t>
      </w:r>
      <w:r>
        <w:t xml:space="preserve"> </w:t>
      </w:r>
      <w:r w:rsidRPr="00EC0D14">
        <w:t>(1991 – 2003).</w:t>
      </w:r>
      <w:r>
        <w:t xml:space="preserve"> </w:t>
      </w:r>
    </w:p>
  </w:footnote>
  <w:footnote w:id="35">
    <w:p w14:paraId="7BC1A4EA" w14:textId="737D1FC4" w:rsidR="00582A26" w:rsidRPr="0098413B" w:rsidRDefault="00582A26" w:rsidP="00141FA3">
      <w:pPr>
        <w:pStyle w:val="FootnoteText"/>
      </w:pPr>
      <w:r>
        <w:rPr>
          <w:rStyle w:val="FootnoteReference"/>
        </w:rPr>
        <w:footnoteRef/>
      </w:r>
      <w:r>
        <w:t xml:space="preserve"> Toxics Release Inventory 2016, </w:t>
      </w:r>
      <w:hyperlink r:id="rId3" w:history="1">
        <w:r w:rsidRPr="00B64B3E">
          <w:rPr>
            <w:rStyle w:val="Hyperlink"/>
          </w:rPr>
          <w:t>https://www.epa.gov/toxics-release-inventory-tri-program</w:t>
        </w:r>
      </w:hyperlink>
      <w:r>
        <w:t>, accessed March 2018.</w:t>
      </w:r>
    </w:p>
  </w:footnote>
  <w:footnote w:id="36">
    <w:p w14:paraId="431640B3" w14:textId="26E048E5" w:rsidR="00582A26" w:rsidRPr="0098413B" w:rsidRDefault="00582A26" w:rsidP="00141FA3">
      <w:pPr>
        <w:pStyle w:val="FootnoteText"/>
      </w:pPr>
      <w:r>
        <w:rPr>
          <w:rStyle w:val="FootnoteReference"/>
        </w:rPr>
        <w:footnoteRef/>
      </w:r>
      <w:r>
        <w:t xml:space="preserve"> Toxics Release Inventory, </w:t>
      </w:r>
      <w:hyperlink r:id="rId4" w:history="1">
        <w:r w:rsidRPr="00B64B3E">
          <w:rPr>
            <w:rStyle w:val="Hyperlink"/>
          </w:rPr>
          <w:t>https://www.epa.gov/toxics-release-inventory-tri-program/tri-basic-data-files-calendar-years-1987-2016</w:t>
        </w:r>
      </w:hyperlink>
      <w:r>
        <w:t>, accessed March 2018.</w:t>
      </w:r>
    </w:p>
  </w:footnote>
  <w:footnote w:id="37">
    <w:p w14:paraId="0EA0D861" w14:textId="77777777" w:rsidR="00582A26" w:rsidRPr="00141FA3" w:rsidRDefault="00582A26" w:rsidP="00141FA3">
      <w:pPr>
        <w:pStyle w:val="FootnoteText"/>
      </w:pPr>
      <w:r>
        <w:rPr>
          <w:rStyle w:val="FootnoteReference"/>
        </w:rPr>
        <w:footnoteRef/>
      </w:r>
      <w:r>
        <w:t xml:space="preserve"> </w:t>
      </w:r>
      <w:r w:rsidRPr="00141FA3">
        <w:t>Losses can occur at a number of points in the process: 1) fugitive loss before and during application from the supply cylinder; 2) fugitive loss (leakage) from the during the exposure period; 3) reversible physical sorption on the treated commodity, materials and enclosure fabric; 4) irreversible chemisorption on to reactive components of materials within the enclosure; 5) venting at the end of the exposure. Most of these losses can be minimised, but not eliminated, with good practice. The loss of methyl bromide varies widely with individual circumstances. With best practice, weakly absorbing treated materials and favourable conditions, more than 50% of applied dosage can remain in the gas phase at end of exposure.</w:t>
      </w:r>
    </w:p>
  </w:footnote>
  <w:footnote w:id="38">
    <w:p w14:paraId="44135A80" w14:textId="1A5E70FF" w:rsidR="00582A26" w:rsidRPr="007450BD" w:rsidRDefault="00582A26" w:rsidP="00141FA3">
      <w:pPr>
        <w:pStyle w:val="FootnoteText"/>
      </w:pPr>
      <w:r w:rsidRPr="00A549E8">
        <w:rPr>
          <w:vertAlign w:val="superscript"/>
        </w:rPr>
        <w:footnoteRef/>
      </w:r>
      <w:r w:rsidRPr="00355437">
        <w:t xml:space="preserve">  </w:t>
      </w:r>
      <w:r>
        <w:t xml:space="preserve">UNEP 2006 Report of the </w:t>
      </w:r>
      <w:r w:rsidRPr="00355437">
        <w:t>M</w:t>
      </w:r>
      <w:r>
        <w:t xml:space="preserve">ethyl Bromide Technical Options Committee, </w:t>
      </w:r>
      <w:r w:rsidRPr="00355437">
        <w:t>Assessment Report</w:t>
      </w:r>
      <w:r>
        <w:t xml:space="preserve"> </w:t>
      </w:r>
      <w:r w:rsidRPr="00355437">
        <w:t>2006</w:t>
      </w:r>
      <w:r>
        <w:t>, pg.</w:t>
      </w:r>
      <w:r w:rsidRPr="00355437">
        <w:t xml:space="preserve"> 82</w:t>
      </w:r>
      <w:r>
        <w:t>.</w:t>
      </w:r>
    </w:p>
  </w:footnote>
  <w:footnote w:id="39">
    <w:p w14:paraId="3583B4F2" w14:textId="2572ACD8" w:rsidR="00582A26" w:rsidRPr="00141FA3" w:rsidRDefault="00582A26" w:rsidP="00141FA3">
      <w:pPr>
        <w:pStyle w:val="FootnoteText"/>
      </w:pPr>
      <w:r w:rsidRPr="00A549E8">
        <w:rPr>
          <w:vertAlign w:val="superscript"/>
        </w:rPr>
        <w:footnoteRef/>
      </w:r>
      <w:r w:rsidRPr="00355437">
        <w:t xml:space="preserve"> </w:t>
      </w:r>
      <w:r w:rsidRPr="00141FA3">
        <w:t>Report of the UNEP Technology and Economic Assessment Panel, Evaluations of 2006 Critical Use Nominations for Methyl Bromide and Related Matters, Final Report, September 2006, Chapter 4, pg. 103 and Table 11. Operating efficiencies and costs per kg of methyl bromide destroyed for systems submitted under Decision XVII/11 summary.</w:t>
      </w:r>
    </w:p>
  </w:footnote>
  <w:footnote w:id="40">
    <w:p w14:paraId="5AFA4280" w14:textId="00C4B350" w:rsidR="00582A26" w:rsidRPr="00141FA3" w:rsidRDefault="00582A26" w:rsidP="00141FA3">
      <w:pPr>
        <w:pStyle w:val="FootnoteText"/>
      </w:pPr>
      <w:r>
        <w:rPr>
          <w:rStyle w:val="FootnoteReference"/>
        </w:rPr>
        <w:footnoteRef/>
      </w:r>
      <w:r>
        <w:t xml:space="preserve"> </w:t>
      </w:r>
      <w:r w:rsidRPr="00141FA3">
        <w:t>According to the Report of the UNEP Technology and Economic Assessment Panel, Evaluations of 2006 Critical Use Nominations for Methyl Bromide and Related Matters, Final Report, September 2006</w:t>
      </w:r>
      <w:r>
        <w:t xml:space="preserve">, </w:t>
      </w:r>
      <w:r w:rsidRPr="00141FA3">
        <w:t>Chapter 4 (see also MBTOC Assessment Reports 2006, 2010, 2014): “Technically, the recapture and destruction of methyl bromide from fumigations has similarities with the recapture and destruction of CFCs from foams. Both are dilute sources. Both suffer losses between their application or discharge from the concentrated supply to the time where recapture may be carried out in practice. In one key aspect recapture of used methyl bromide is much less difficult than recapture from used foams. Used methyl bromide is held in the sealed fumigation chamber ready for convenient recapture; used foams have to be gathered and transported to a recapture or destruction facility.</w:t>
      </w:r>
    </w:p>
    <w:p w14:paraId="4DD610BA" w14:textId="7BFED0EE" w:rsidR="00582A26" w:rsidRPr="0008419D" w:rsidRDefault="00582A26" w:rsidP="0008419D">
      <w:pPr>
        <w:shd w:val="clear" w:color="auto" w:fill="FFFFFF"/>
        <w:spacing w:after="120"/>
        <w:textAlignment w:val="baseline"/>
        <w:rPr>
          <w:rFonts w:eastAsia="Times New Roman"/>
          <w:color w:val="212121"/>
          <w:sz w:val="18"/>
          <w:szCs w:val="18"/>
          <w:lang w:val="en-US" w:eastAsia="en-US"/>
        </w:rPr>
      </w:pPr>
      <w:r w:rsidRPr="0008419D">
        <w:rPr>
          <w:rFonts w:eastAsia="Times New Roman"/>
          <w:color w:val="212121"/>
          <w:sz w:val="18"/>
          <w:szCs w:val="18"/>
          <w:bdr w:val="none" w:sz="0" w:space="0" w:color="auto" w:frame="1"/>
          <w:lang w:val="en-US" w:eastAsia="en-US"/>
        </w:rPr>
        <w:t>The efficiency of recapture/destruction can be described in several ways. For dilute methyl bromide sources, the same general concepts may be applied as for dilute CFC sources. These are the overall Destruction Efficiency (DE), the Recovery and Destruction Efficiency (RDE) and the Destruction and Removal Efficiency (DRE). Decision XVII/11 specifically requests information on DRE. These various measures of efficiency of destruction, and thus ozone protection, are defined (TEAP 2002, 2005) thus:</w:t>
      </w:r>
    </w:p>
    <w:p w14:paraId="7CBAB4B6" w14:textId="04B1C042" w:rsidR="00582A26" w:rsidRPr="00A549E8" w:rsidRDefault="00582A26" w:rsidP="00A549E8">
      <w:pPr>
        <w:pStyle w:val="ListParagraph"/>
        <w:rPr>
          <w:sz w:val="18"/>
          <w:szCs w:val="18"/>
          <w:bdr w:val="none" w:sz="0" w:space="0" w:color="auto" w:frame="1"/>
          <w:lang w:eastAsia="en-US"/>
        </w:rPr>
      </w:pPr>
      <w:r w:rsidRPr="00A549E8">
        <w:rPr>
          <w:sz w:val="18"/>
          <w:szCs w:val="18"/>
          <w:bdr w:val="none" w:sz="0" w:space="0" w:color="auto" w:frame="1"/>
          <w:lang w:eastAsia="en-US"/>
        </w:rPr>
        <w:t>Destruction Efficiency (DE) is determined by subtracting from the mass of a chemical fed into a destruction system during a specific period of time the mass of that chemical that is released in stack gases, fly ash, scrubber water, bottom ash, and any other system residues and expressing that difference as a percentage of the mass of the chemical fed into the system.</w:t>
      </w:r>
    </w:p>
    <w:p w14:paraId="60954E51" w14:textId="1ABC1F38" w:rsidR="00582A26" w:rsidRPr="00A549E8" w:rsidRDefault="00582A26" w:rsidP="00A549E8">
      <w:pPr>
        <w:pStyle w:val="ListParagraph"/>
        <w:rPr>
          <w:sz w:val="18"/>
          <w:szCs w:val="18"/>
          <w:bdr w:val="none" w:sz="0" w:space="0" w:color="auto" w:frame="1"/>
          <w:lang w:eastAsia="en-US"/>
        </w:rPr>
      </w:pPr>
      <w:r w:rsidRPr="00A549E8">
        <w:rPr>
          <w:sz w:val="18"/>
          <w:szCs w:val="18"/>
          <w:bdr w:val="none" w:sz="0" w:space="0" w:color="auto" w:frame="1"/>
          <w:lang w:eastAsia="en-US"/>
        </w:rPr>
        <w:t>Destruction and Removal Efficiency (DRE) has traditionally been determined by subtracting from the mass of a chemical fed into a destruction system during a specific period of time the mass of that chemical alone that is released in stack gases and expressing that difference as a percentage of the mass of that chemical fed into the system.</w:t>
      </w:r>
    </w:p>
    <w:p w14:paraId="284C7C73" w14:textId="5AC11193" w:rsidR="00582A26" w:rsidRPr="00A549E8" w:rsidRDefault="00582A26" w:rsidP="00A549E8">
      <w:pPr>
        <w:pStyle w:val="ListParagraph"/>
        <w:rPr>
          <w:sz w:val="18"/>
          <w:szCs w:val="18"/>
          <w:lang w:eastAsia="en-US"/>
        </w:rPr>
      </w:pPr>
      <w:r w:rsidRPr="00A549E8">
        <w:rPr>
          <w:sz w:val="18"/>
          <w:szCs w:val="18"/>
          <w:bdr w:val="none" w:sz="0" w:space="0" w:color="auto" w:frame="1"/>
          <w:lang w:eastAsia="en-US"/>
        </w:rPr>
        <w:t xml:space="preserve">Recovery and Destruction Efficiency (RDE) is given by the quantity of the chemical destroyed in the destruction system as a percentage of that present in situ prior to the start of the destruction system. This measure includes losses in segregation, decommissioning, mechanical recovery and incineration or other destruction process. </w:t>
      </w:r>
    </w:p>
    <w:p w14:paraId="0820663C" w14:textId="52AF9081" w:rsidR="00582A26" w:rsidRPr="00981CA1" w:rsidRDefault="00582A26" w:rsidP="0008419D">
      <w:pPr>
        <w:shd w:val="clear" w:color="auto" w:fill="FFFFFF"/>
        <w:spacing w:after="120"/>
        <w:textAlignment w:val="baseline"/>
        <w:rPr>
          <w:sz w:val="18"/>
          <w:szCs w:val="18"/>
          <w:lang w:val="en-US"/>
        </w:rPr>
      </w:pPr>
      <w:r w:rsidRPr="009109DD">
        <w:rPr>
          <w:rFonts w:eastAsia="Times New Roman"/>
          <w:color w:val="212121"/>
          <w:sz w:val="18"/>
          <w:szCs w:val="18"/>
          <w:bdr w:val="none" w:sz="0" w:space="0" w:color="auto" w:frame="1"/>
          <w:lang w:val="en-US" w:eastAsia="en-US"/>
        </w:rPr>
        <w:t>With specific regard to methyl bromide from fumigation, the DRE is a measure of the recapture/destruction process itself, while the DE is a measure of the complete process. The DE includes losses from leakage and reaction on the commodity, as well as inefficiencies in removing the substance (methyl bromide) from the fumigation enclosure for input to the recapture/destruction system. Leakage losses will be emissions to the atmosphere and thus ODS emissions not controlled by a destruction process.”</w:t>
      </w:r>
    </w:p>
  </w:footnote>
  <w:footnote w:id="41">
    <w:p w14:paraId="18C17697" w14:textId="2EFD301A" w:rsidR="00582A26" w:rsidRPr="006E779E" w:rsidRDefault="00582A26" w:rsidP="00141FA3">
      <w:pPr>
        <w:pStyle w:val="FootnoteText"/>
      </w:pPr>
      <w:r>
        <w:rPr>
          <w:rStyle w:val="FootnoteReference"/>
        </w:rPr>
        <w:footnoteRef/>
      </w:r>
      <w:r>
        <w:t xml:space="preserve"> </w:t>
      </w:r>
      <w:proofErr w:type="spellStart"/>
      <w:r w:rsidRPr="006E779E">
        <w:t>Nordiko</w:t>
      </w:r>
      <w:proofErr w:type="spellEnd"/>
      <w:r w:rsidRPr="006E779E">
        <w:t xml:space="preserve"> Quarantin</w:t>
      </w:r>
      <w:r>
        <w:t xml:space="preserve">e Systems Pty Ltd described as </w:t>
      </w:r>
      <w:r w:rsidRPr="006E779E">
        <w:t>adsorption of methyl bromide on activated carbon and subsequent destruction. TEAP May 2011 Progress Report</w:t>
      </w:r>
      <w:r>
        <w:t>.</w:t>
      </w:r>
    </w:p>
  </w:footnote>
  <w:footnote w:id="42">
    <w:p w14:paraId="3E44A95B" w14:textId="7D5AF498" w:rsidR="00582A26" w:rsidRDefault="00582A26" w:rsidP="00141FA3">
      <w:pPr>
        <w:pStyle w:val="FootnoteText"/>
      </w:pPr>
      <w:r>
        <w:rPr>
          <w:rStyle w:val="FootnoteReference"/>
        </w:rPr>
        <w:footnoteRef/>
      </w:r>
      <w:r>
        <w:t xml:space="preserve"> </w:t>
      </w:r>
      <w:r w:rsidRPr="00EC0D14">
        <w:t>Marlton, N.J., July 13, 2016 /PRNewswire/ -- Value Recovery, Inc. (VR), a company supplying emission controls to the fumigation industry, announced today that it achieved an unprecedented milestone for controlling methyl bromide used to kill invasive insects hitchhiking on imported and exported goods.</w:t>
      </w:r>
      <w:r>
        <w:t xml:space="preserve"> </w:t>
      </w:r>
      <w:hyperlink r:id="rId5" w:history="1">
        <w:r w:rsidRPr="00165974">
          <w:rPr>
            <w:rStyle w:val="Hyperlink"/>
          </w:rPr>
          <w:t>https://www.prnewswire.com/news-releases/destruction-of-ozone-depleting-methyl-bromide-used-for-imports-and-exports-300298291.html</w:t>
        </w:r>
      </w:hyperlink>
      <w:r>
        <w:t>, accessed March 2018.</w:t>
      </w:r>
    </w:p>
  </w:footnote>
  <w:footnote w:id="43">
    <w:p w14:paraId="18D5FDEB" w14:textId="5FE109EB" w:rsidR="00582A26" w:rsidRPr="00D26F82" w:rsidRDefault="00582A26" w:rsidP="00141FA3">
      <w:pPr>
        <w:pStyle w:val="FootnoteText"/>
        <w:rPr>
          <w:lang w:val="en-US"/>
        </w:rPr>
      </w:pPr>
      <w:r>
        <w:rPr>
          <w:rStyle w:val="FootnoteReference"/>
        </w:rPr>
        <w:footnoteRef/>
      </w:r>
      <w:r>
        <w:t xml:space="preserve"> The 2002 TFDT defined a DRE for foam destruction based on what could be achieved for a recovery step for the foam blowing agent followed by destruction and concluded a DRE of 95% for foam destruction was appropriate. The 2002 TFDT determined that 95% of ODS could be recovered from foam. Once recovered, the ODS could be destroyed at a DRE of 99.99%. Following this approach, a lower efficiency for a multi-step fumigation process may also be required for methyl bromide. </w:t>
      </w:r>
    </w:p>
  </w:footnote>
  <w:footnote w:id="44">
    <w:p w14:paraId="07E5BAFD" w14:textId="20734E27" w:rsidR="00582A26" w:rsidRPr="009B0E2E" w:rsidRDefault="00582A26" w:rsidP="00141FA3">
      <w:pPr>
        <w:pStyle w:val="FootnoteText"/>
      </w:pPr>
      <w:r>
        <w:rPr>
          <w:rStyle w:val="FootnoteReference"/>
        </w:rPr>
        <w:footnoteRef/>
      </w:r>
      <w:r>
        <w:t xml:space="preserve"> Submission from the United States, </w:t>
      </w:r>
      <w:r w:rsidRPr="009B0E2E">
        <w:rPr>
          <w:i/>
        </w:rPr>
        <w:t>ODS Destruction in the United States and Abroad</w:t>
      </w:r>
      <w:r>
        <w:t>, Prepared for the U.S. EPA by ICF, February 2018.</w:t>
      </w:r>
    </w:p>
  </w:footnote>
  <w:footnote w:id="45">
    <w:p w14:paraId="30D03B9E" w14:textId="3FE7ACFB" w:rsidR="00582A26" w:rsidRDefault="00582A26" w:rsidP="00141FA3">
      <w:pPr>
        <w:pStyle w:val="FootnoteText"/>
      </w:pPr>
      <w:r>
        <w:rPr>
          <w:rStyle w:val="FootnoteReference"/>
        </w:rPr>
        <w:footnoteRef/>
      </w:r>
      <w:r>
        <w:t xml:space="preserve"> </w:t>
      </w:r>
      <w:r w:rsidRPr="0006302E">
        <w:t>The CDM project website can be searched by project type and some versions of the monitoring reports contain emissions data as well as DRE data</w:t>
      </w:r>
      <w:r>
        <w:t xml:space="preserve"> see </w:t>
      </w:r>
      <w:hyperlink r:id="rId6" w:history="1">
        <w:r w:rsidRPr="00644562">
          <w:rPr>
            <w:rStyle w:val="Hyperlink"/>
          </w:rPr>
          <w:t>https://cdm.unfccc.int/Projects/registered.html</w:t>
        </w:r>
      </w:hyperlink>
    </w:p>
  </w:footnote>
  <w:footnote w:id="46">
    <w:p w14:paraId="017B03FC" w14:textId="65F5E74A" w:rsidR="00582A26" w:rsidRDefault="00582A26" w:rsidP="00141FA3">
      <w:pPr>
        <w:pStyle w:val="FootnoteText"/>
      </w:pPr>
      <w:r>
        <w:rPr>
          <w:rStyle w:val="FootnoteReference"/>
        </w:rPr>
        <w:footnoteRef/>
      </w:r>
      <w:r>
        <w:t xml:space="preserve"> </w:t>
      </w:r>
      <w:r w:rsidRPr="005D3E1D">
        <w:t>HFC Decomposition Project in Ulsan Mon</w:t>
      </w:r>
      <w:r>
        <w:t>itoring Period Number</w:t>
      </w:r>
      <w:r w:rsidRPr="005D3E1D">
        <w:t>: 20 (1st Monitoring Period in 2nd Crediting Period) 1 January 2010 to 31 July 2010</w:t>
      </w:r>
      <w:r>
        <w:t xml:space="preserve">. </w:t>
      </w:r>
      <w:hyperlink r:id="rId7" w:history="1">
        <w:r w:rsidRPr="00157F06">
          <w:rPr>
            <w:rStyle w:val="Hyperlink"/>
          </w:rPr>
          <w:t>https://cdm.unfccc.int/Projects/DB/JQA1094478108.13/CP/3HXJJOFD0FFDT9DDK7H1GA219RJRQ3/iProcess/SGS-UKL1325763645.23/view</w:t>
        </w:r>
      </w:hyperlink>
    </w:p>
  </w:footnote>
  <w:footnote w:id="47">
    <w:p w14:paraId="214ECB28" w14:textId="44609F61" w:rsidR="00582A26" w:rsidRDefault="00582A26" w:rsidP="00141FA3">
      <w:pPr>
        <w:pStyle w:val="FootnoteText"/>
      </w:pPr>
      <w:r>
        <w:rPr>
          <w:rStyle w:val="FootnoteReference"/>
        </w:rPr>
        <w:footnoteRef/>
      </w:r>
      <w:r>
        <w:t xml:space="preserve"> See, for example, the Project Design Document for Project 0001</w:t>
      </w:r>
      <w:r w:rsidRPr="00C6392F">
        <w:t>: Project for GHG emission reduction by thermal oxidation of HFC 23 in Gujarat, India.</w:t>
      </w:r>
      <w:r>
        <w:t xml:space="preserve"> </w:t>
      </w:r>
      <w:hyperlink r:id="rId8" w:history="1">
        <w:r w:rsidRPr="00157F06">
          <w:rPr>
            <w:rStyle w:val="Hyperlink"/>
          </w:rPr>
          <w:t>https://cdm.unfccc.int/Projects/DB/SGS-UKL1092749325.58/view</w:t>
        </w:r>
      </w:hyperlink>
    </w:p>
  </w:footnote>
  <w:footnote w:id="48">
    <w:p w14:paraId="58458AB4" w14:textId="1C5AB3FD" w:rsidR="00582A26" w:rsidRPr="00F17DBA" w:rsidRDefault="00582A26" w:rsidP="00141FA3">
      <w:pPr>
        <w:pStyle w:val="FootnoteText"/>
      </w:pPr>
      <w:r>
        <w:rPr>
          <w:rStyle w:val="FootnoteReference"/>
        </w:rPr>
        <w:footnoteRef/>
      </w:r>
      <w:r>
        <w:t xml:space="preserve"> Submission from the United States, </w:t>
      </w:r>
      <w:r w:rsidRPr="009B0E2E">
        <w:rPr>
          <w:i/>
        </w:rPr>
        <w:t>ODS Destruction in the United States and Abroad</w:t>
      </w:r>
      <w:r>
        <w:t>, Prepared for the U.S. EPA by ICF, February 2018.</w:t>
      </w:r>
    </w:p>
  </w:footnote>
  <w:footnote w:id="49">
    <w:p w14:paraId="03207F57" w14:textId="4306B049" w:rsidR="00582A26" w:rsidRDefault="00582A26" w:rsidP="00141FA3">
      <w:pPr>
        <w:pStyle w:val="FootnoteText"/>
      </w:pPr>
      <w:r>
        <w:rPr>
          <w:rStyle w:val="FootnoteReference"/>
        </w:rPr>
        <w:footnoteRef/>
      </w:r>
      <w:r>
        <w:t xml:space="preserve"> UNEP </w:t>
      </w:r>
      <w:r w:rsidRPr="00587D2E">
        <w:t>Report of the</w:t>
      </w:r>
      <w:r>
        <w:t xml:space="preserve"> </w:t>
      </w:r>
      <w:r w:rsidRPr="00587D2E">
        <w:t>Technolo</w:t>
      </w:r>
      <w:r>
        <w:t xml:space="preserve">gy and Economic Assessment Panel, </w:t>
      </w:r>
      <w:r w:rsidRPr="00587D2E">
        <w:t>Volume 3</w:t>
      </w:r>
      <w:r>
        <w:t xml:space="preserve">B, </w:t>
      </w:r>
      <w:r w:rsidRPr="00587D2E">
        <w:t>Report of the Task Force on Destruction Technologies</w:t>
      </w:r>
      <w:r>
        <w:t xml:space="preserve">, </w:t>
      </w:r>
      <w:r w:rsidRPr="00587D2E">
        <w:t>April 2002</w:t>
      </w:r>
      <w:r>
        <w:t>,</w:t>
      </w:r>
      <w:r w:rsidRPr="00F14605">
        <w:t xml:space="preserve"> Appendix A</w:t>
      </w:r>
      <w:r>
        <w:t>,</w:t>
      </w:r>
      <w:r w:rsidRPr="00F14605">
        <w:t xml:space="preserve"> page 73</w:t>
      </w:r>
      <w:r>
        <w:t>.</w:t>
      </w:r>
    </w:p>
  </w:footnote>
  <w:footnote w:id="50">
    <w:p w14:paraId="0CDF673D" w14:textId="77777777" w:rsidR="00582A26" w:rsidRPr="00154529" w:rsidRDefault="00582A26" w:rsidP="00141FA3">
      <w:pPr>
        <w:pStyle w:val="FootnoteText"/>
        <w:rPr>
          <w:lang w:val="en-US"/>
        </w:rPr>
      </w:pPr>
      <w:r>
        <w:rPr>
          <w:rStyle w:val="FootnoteReference"/>
        </w:rPr>
        <w:footnoteRef/>
      </w:r>
      <w:r>
        <w:t xml:space="preserve"> The 2002 TFDT provided an estimate of the particulates concentration for this process that meets the performance criteria</w:t>
      </w:r>
      <w:r w:rsidRPr="00126E23">
        <w:t>.</w:t>
      </w:r>
    </w:p>
  </w:footnote>
  <w:footnote w:id="51">
    <w:p w14:paraId="7E93C133" w14:textId="034B51BD" w:rsidR="00582A26" w:rsidRDefault="00582A26" w:rsidP="00141FA3">
      <w:pPr>
        <w:pStyle w:val="FootnoteText"/>
      </w:pPr>
      <w:r>
        <w:rPr>
          <w:rStyle w:val="FootnoteReference"/>
        </w:rPr>
        <w:footnoteRef/>
      </w:r>
      <w:r>
        <w:t xml:space="preserve"> </w:t>
      </w:r>
      <w:r w:rsidRPr="00CD2E2B">
        <w:t>Project 0115 : GHG emission reduction by thermal oxidation of HFC 23 at refrigerant (HCFC-22) manufacturing facility of SRF Ltd</w:t>
      </w:r>
      <w:r>
        <w:t xml:space="preserve">, </w:t>
      </w:r>
      <w:bookmarkStart w:id="71" w:name="_Hlk508907098"/>
      <w:r>
        <w:fldChar w:fldCharType="begin"/>
      </w:r>
      <w:r>
        <w:instrText xml:space="preserve"> HYPERLINK "https://cdm.unfccc.int/Projects/DB/DNV-CUK1129901204.48/view" </w:instrText>
      </w:r>
      <w:r>
        <w:fldChar w:fldCharType="separate"/>
      </w:r>
      <w:r w:rsidRPr="00157F06">
        <w:rPr>
          <w:rStyle w:val="Hyperlink"/>
        </w:rPr>
        <w:t>https://cdm.unfccc.int/Projects/DB/DNV-CUK1129901204.48/view</w:t>
      </w:r>
      <w:r>
        <w:rPr>
          <w:rStyle w:val="Hyperlink"/>
        </w:rPr>
        <w:fldChar w:fldCharType="end"/>
      </w:r>
      <w:bookmarkEnd w:id="71"/>
    </w:p>
  </w:footnote>
  <w:footnote w:id="52">
    <w:p w14:paraId="31870DD9" w14:textId="4D8B4528" w:rsidR="00582A26" w:rsidRDefault="00582A26" w:rsidP="00141FA3">
      <w:pPr>
        <w:pStyle w:val="FootnoteText"/>
      </w:pPr>
      <w:r>
        <w:rPr>
          <w:rStyle w:val="FootnoteReference"/>
        </w:rPr>
        <w:footnoteRef/>
      </w:r>
      <w:r>
        <w:t xml:space="preserve"> Project 0115: for example, see monitoring report 28 </w:t>
      </w:r>
      <w:r w:rsidRPr="00F204A6">
        <w:t>01/07/2012 to 30/09/2012</w:t>
      </w:r>
      <w:r>
        <w:t xml:space="preserve"> Appendix 4. As the concentration is below the limit of detection then a conservative value is applied leading to the &gt;99.99% DRE, </w:t>
      </w:r>
      <w:hyperlink r:id="rId9" w:history="1">
        <w:r w:rsidRPr="007A3440">
          <w:rPr>
            <w:rStyle w:val="Hyperlink"/>
          </w:rPr>
          <w:t>https://cdm.unfccc.int/Projects/DB/DNV-CUK1129901204.48/view</w:t>
        </w:r>
      </w:hyperlink>
    </w:p>
  </w:footnote>
  <w:footnote w:id="53">
    <w:p w14:paraId="7F8FE18F" w14:textId="5BBA7679" w:rsidR="00582A26" w:rsidRDefault="00582A26" w:rsidP="00141FA3">
      <w:pPr>
        <w:pStyle w:val="FootnoteText"/>
      </w:pPr>
      <w:r>
        <w:rPr>
          <w:rStyle w:val="FootnoteReference"/>
        </w:rPr>
        <w:footnoteRef/>
      </w:r>
      <w:r>
        <w:t xml:space="preserve"> </w:t>
      </w:r>
      <w:r w:rsidRPr="00C55FA0">
        <w:t xml:space="preserve">Project: 0151 </w:t>
      </w:r>
      <w:proofErr w:type="spellStart"/>
      <w:r w:rsidRPr="00C55FA0">
        <w:t>Quimobásicos</w:t>
      </w:r>
      <w:proofErr w:type="spellEnd"/>
      <w:r w:rsidRPr="00C55FA0">
        <w:t xml:space="preserve"> HFC Recovery and Decomposition Projec</w:t>
      </w:r>
      <w:r>
        <w:t xml:space="preserve">t, </w:t>
      </w:r>
      <w:r w:rsidRPr="00C55FA0">
        <w:t xml:space="preserve">Monitoring </w:t>
      </w:r>
      <w:r>
        <w:t>Report</w:t>
      </w:r>
      <w:r w:rsidRPr="00C55FA0">
        <w:t>: 31st December 2008 to 30th March 2009</w:t>
      </w:r>
      <w:r>
        <w:t xml:space="preserve">, </w:t>
      </w:r>
      <w:hyperlink r:id="rId10" w:history="1">
        <w:r w:rsidRPr="00D46251">
          <w:rPr>
            <w:rStyle w:val="Hyperlink"/>
          </w:rPr>
          <w:t>https://cdm.unfccc.int/Projects/DB/DNV-CUK1138260062.21/view?cp=1</w:t>
        </w:r>
      </w:hyperlink>
    </w:p>
  </w:footnote>
  <w:footnote w:id="54">
    <w:p w14:paraId="08BA3875" w14:textId="4F2043A8" w:rsidR="00582A26" w:rsidRDefault="00582A26" w:rsidP="00141FA3">
      <w:pPr>
        <w:pStyle w:val="FootnoteText"/>
      </w:pPr>
      <w:r>
        <w:rPr>
          <w:rStyle w:val="FootnoteReference"/>
        </w:rPr>
        <w:footnoteRef/>
      </w:r>
      <w:r>
        <w:t xml:space="preserve"> Destruction rate calculated from actual destruction in a 3-month period. See the Monitoring Report for</w:t>
      </w:r>
      <w:r w:rsidRPr="00B67470">
        <w:t xml:space="preserve">: 31st December 2008 to 30th March 2009, </w:t>
      </w:r>
      <w:hyperlink r:id="rId11" w:history="1">
        <w:r w:rsidRPr="00D46251">
          <w:rPr>
            <w:rStyle w:val="Hyperlink"/>
          </w:rPr>
          <w:t>https://cdm.unfccc.int/Projects/DB/DNV-CUK1138260062.21/view?cp=1</w:t>
        </w:r>
      </w:hyperlink>
    </w:p>
  </w:footnote>
  <w:footnote w:id="55">
    <w:p w14:paraId="6873BC32" w14:textId="46644218" w:rsidR="00582A26" w:rsidRDefault="00582A26" w:rsidP="00141FA3">
      <w:pPr>
        <w:pStyle w:val="FootnoteText"/>
      </w:pPr>
      <w:r>
        <w:rPr>
          <w:rStyle w:val="FootnoteReference"/>
        </w:rPr>
        <w:footnoteRef/>
      </w:r>
      <w:r>
        <w:t xml:space="preserve"> See the Project Design Document page 9 for project 0767: HFC23 Decomposition Project at </w:t>
      </w:r>
      <w:proofErr w:type="spellStart"/>
      <w:r>
        <w:t>Zhonghao</w:t>
      </w:r>
      <w:proofErr w:type="spellEnd"/>
      <w:r>
        <w:t xml:space="preserve"> </w:t>
      </w:r>
      <w:proofErr w:type="spellStart"/>
      <w:r>
        <w:t>Chenguang</w:t>
      </w:r>
      <w:proofErr w:type="spellEnd"/>
      <w:r>
        <w:t xml:space="preserve"> Research Institute of Chemical Industry, Zigong, </w:t>
      </w:r>
      <w:proofErr w:type="spellStart"/>
      <w:r>
        <w:t>SiChuan</w:t>
      </w:r>
      <w:proofErr w:type="spellEnd"/>
      <w:r>
        <w:t xml:space="preserve"> Province, China, </w:t>
      </w:r>
      <w:bookmarkStart w:id="100" w:name="_Hlk508905047"/>
      <w:r>
        <w:fldChar w:fldCharType="begin"/>
      </w:r>
      <w:r>
        <w:instrText xml:space="preserve"> HYPERLINK "</w:instrText>
      </w:r>
      <w:r w:rsidRPr="004209D4">
        <w:instrText>https://cdm.unfccc.int/Projects/DB/JQA1163409153.5/view</w:instrText>
      </w:r>
      <w:r>
        <w:instrText xml:space="preserve">" </w:instrText>
      </w:r>
      <w:r>
        <w:fldChar w:fldCharType="separate"/>
      </w:r>
      <w:r w:rsidRPr="00157F06">
        <w:rPr>
          <w:rStyle w:val="Hyperlink"/>
        </w:rPr>
        <w:t>https://cdm.unfccc.int/Projects/DB/JQA1163409153.5/view</w:t>
      </w:r>
      <w:r>
        <w:fldChar w:fldCharType="end"/>
      </w:r>
      <w:bookmarkEnd w:id="100"/>
    </w:p>
  </w:footnote>
  <w:footnote w:id="56">
    <w:p w14:paraId="6DBCEBC1" w14:textId="243D1853" w:rsidR="00582A26" w:rsidRDefault="00582A26" w:rsidP="00141FA3">
      <w:pPr>
        <w:pStyle w:val="FootnoteText"/>
      </w:pPr>
      <w:r>
        <w:rPr>
          <w:rStyle w:val="FootnoteReference"/>
        </w:rPr>
        <w:footnoteRef/>
      </w:r>
      <w:r>
        <w:t xml:space="preserve"> P</w:t>
      </w:r>
      <w:r w:rsidRPr="00F839A9">
        <w:t xml:space="preserve">roject 0767: HFC23 Decomposition Project at </w:t>
      </w:r>
      <w:proofErr w:type="spellStart"/>
      <w:r w:rsidRPr="00F839A9">
        <w:t>Zhonghao</w:t>
      </w:r>
      <w:proofErr w:type="spellEnd"/>
      <w:r w:rsidRPr="00F839A9">
        <w:t xml:space="preserve"> </w:t>
      </w:r>
      <w:proofErr w:type="spellStart"/>
      <w:r w:rsidRPr="00F839A9">
        <w:t>Chenguang</w:t>
      </w:r>
      <w:proofErr w:type="spellEnd"/>
      <w:r w:rsidRPr="00F839A9">
        <w:t xml:space="preserve"> Research Institute o</w:t>
      </w:r>
      <w:r>
        <w:t>f Chemical Industry, Zigong, Sic</w:t>
      </w:r>
      <w:r w:rsidRPr="00F839A9">
        <w:t>huan Province, China,</w:t>
      </w:r>
      <w:r>
        <w:t xml:space="preserve"> Monitoring Report 4 </w:t>
      </w:r>
      <w:r w:rsidRPr="00F839A9">
        <w:t>November 26, 2007 to February 25, 2008</w:t>
      </w:r>
      <w:r>
        <w:t xml:space="preserve"> and Monitoring Report 8 </w:t>
      </w:r>
      <w:r w:rsidRPr="00F839A9">
        <w:t>May 1, 2009 to July 25, 2009</w:t>
      </w:r>
      <w:r>
        <w:t xml:space="preserve">, </w:t>
      </w:r>
      <w:hyperlink r:id="rId12" w:history="1">
        <w:r w:rsidRPr="007A3440">
          <w:rPr>
            <w:rStyle w:val="Hyperlink"/>
          </w:rPr>
          <w:t>https://cdm.unfccc.int/Projects/DB/JQA1163409153.5/view</w:t>
        </w:r>
      </w:hyperlink>
    </w:p>
  </w:footnote>
  <w:footnote w:id="57">
    <w:p w14:paraId="15CB6928" w14:textId="46127CBD" w:rsidR="00582A26" w:rsidRDefault="00582A26" w:rsidP="00141FA3">
      <w:pPr>
        <w:pStyle w:val="FootnoteText"/>
      </w:pPr>
      <w:r>
        <w:rPr>
          <w:rStyle w:val="FootnoteReference"/>
        </w:rPr>
        <w:footnoteRef/>
      </w:r>
      <w:r>
        <w:t xml:space="preserve"> For Monitoring Reports 4 &amp; 8 no HFC-23 was detected in the exhaust gases, which would imply DREs of 100%. For the purposes of conservative reporting required for CDM projects, the limit of detection values were applied, giving DREs of 99.988% and 99.984%. However, applying exhaust gas concentrations of HFC-23 at half the limit of detection would result in DREs of &gt;99.99%. </w:t>
      </w:r>
    </w:p>
  </w:footnote>
  <w:footnote w:id="58">
    <w:p w14:paraId="51E8CC94" w14:textId="7FA477A7" w:rsidR="00582A26" w:rsidRPr="00553175" w:rsidRDefault="00582A26" w:rsidP="00141FA3">
      <w:pPr>
        <w:pStyle w:val="FootnoteText"/>
      </w:pPr>
      <w:r>
        <w:rPr>
          <w:rStyle w:val="FootnoteReference"/>
        </w:rPr>
        <w:footnoteRef/>
      </w:r>
      <w:r>
        <w:t xml:space="preserve"> </w:t>
      </w:r>
      <w:hyperlink r:id="rId13" w:history="1">
        <w:r w:rsidRPr="00DC20F8">
          <w:rPr>
            <w:rStyle w:val="Hyperlink"/>
            <w:lang w:val="en-US" w:eastAsia="en-US"/>
          </w:rPr>
          <w:t>http://www.midwestrefrigerants.com/</w:t>
        </w:r>
      </w:hyperlink>
      <w:r>
        <w:rPr>
          <w:lang w:eastAsia="en-US"/>
        </w:rPr>
        <w:t xml:space="preserve"> shows simulation of conversion process and collection of by-products</w:t>
      </w:r>
    </w:p>
  </w:footnote>
  <w:footnote w:id="59">
    <w:p w14:paraId="495A1C7C" w14:textId="0BF3AF52" w:rsidR="00582A26" w:rsidRPr="003C04AF" w:rsidRDefault="00582A26" w:rsidP="00141FA3">
      <w:pPr>
        <w:pStyle w:val="FootnoteText"/>
      </w:pPr>
      <w:r>
        <w:rPr>
          <w:rStyle w:val="FootnoteReference"/>
        </w:rPr>
        <w:footnoteRef/>
      </w:r>
      <w:r>
        <w:t xml:space="preserve"> The 2002 TFDT Report stated that is was claimed by the technology supplier </w:t>
      </w:r>
      <w:r>
        <w:rPr>
          <w:lang w:eastAsia="en-US"/>
        </w:rPr>
        <w:t xml:space="preserve">that no dioxins or furans are produced in the process, although the process operates at a temperature that would generally result in the formation of PCDD/PCDFs. </w:t>
      </w:r>
      <w:r>
        <w:t>“</w:t>
      </w:r>
      <w:r>
        <w:rPr>
          <w:lang w:eastAsia="en-US"/>
        </w:rPr>
        <w:t>PCDD/F emissions may be expected to be comparable to those from rotary kilns.”</w:t>
      </w:r>
    </w:p>
  </w:footnote>
  <w:footnote w:id="60">
    <w:p w14:paraId="3E39D034" w14:textId="2A02494B" w:rsidR="00582A26" w:rsidRDefault="00582A26" w:rsidP="00141FA3">
      <w:pPr>
        <w:pStyle w:val="FootnoteText"/>
      </w:pPr>
      <w:r>
        <w:rPr>
          <w:rStyle w:val="FootnoteReference"/>
        </w:rPr>
        <w:footnoteRef/>
      </w:r>
      <w:r>
        <w:t xml:space="preserve"> Project 0193</w:t>
      </w:r>
      <w:r w:rsidRPr="002241F3">
        <w:t xml:space="preserve">: HFC23 Decomposition Project of Zhejiang </w:t>
      </w:r>
      <w:proofErr w:type="spellStart"/>
      <w:r w:rsidRPr="002241F3">
        <w:t>Juhua</w:t>
      </w:r>
      <w:proofErr w:type="spellEnd"/>
      <w:r w:rsidRPr="002241F3">
        <w:t xml:space="preserve"> Co., Ltd, P. R. China</w:t>
      </w:r>
      <w:r>
        <w:t xml:space="preserve">, </w:t>
      </w:r>
      <w:hyperlink r:id="rId14" w:history="1">
        <w:r w:rsidRPr="007A3440">
          <w:rPr>
            <w:rStyle w:val="Hyperlink"/>
          </w:rPr>
          <w:t>https://cdm.unfccc.int/Projects/DB/DNV-CUK1135255248.44/view</w:t>
        </w:r>
      </w:hyperlink>
    </w:p>
  </w:footnote>
  <w:footnote w:id="61">
    <w:p w14:paraId="07FBF305" w14:textId="48986CD0" w:rsidR="00582A26" w:rsidRDefault="00582A26" w:rsidP="00141FA3">
      <w:pPr>
        <w:pStyle w:val="FootnoteText"/>
      </w:pPr>
      <w:r>
        <w:rPr>
          <w:rStyle w:val="FootnoteReference"/>
        </w:rPr>
        <w:footnoteRef/>
      </w:r>
      <w:r>
        <w:t xml:space="preserve"> Project 0193: see for example Monitoring Report 8</w:t>
      </w:r>
      <w:r w:rsidRPr="002241F3">
        <w:t>: Dec 31, 2007 to Apr 30, 2008</w:t>
      </w:r>
      <w:r>
        <w:t xml:space="preserve">, </w:t>
      </w:r>
      <w:hyperlink r:id="rId15" w:history="1">
        <w:r w:rsidRPr="007A3440">
          <w:rPr>
            <w:rStyle w:val="Hyperlink"/>
          </w:rPr>
          <w:t>https://cdm.unfccc.int/Projects/DB/DNV-CUK1135255248.44/view</w:t>
        </w:r>
      </w:hyperlink>
    </w:p>
  </w:footnote>
  <w:footnote w:id="62">
    <w:p w14:paraId="6BE3C2DF" w14:textId="14761A43" w:rsidR="00582A26" w:rsidRPr="006C2C13" w:rsidRDefault="00582A26" w:rsidP="00141FA3">
      <w:pPr>
        <w:pStyle w:val="FootnoteText"/>
      </w:pPr>
      <w:r>
        <w:rPr>
          <w:rStyle w:val="FootnoteReference"/>
        </w:rPr>
        <w:footnoteRef/>
      </w:r>
      <w:r>
        <w:t xml:space="preserve"> “</w:t>
      </w:r>
      <w:r w:rsidRPr="006136C8">
        <w:t>ODS Destruction in the United States of America and Abroad</w:t>
      </w:r>
      <w:r>
        <w:t>”, p</w:t>
      </w:r>
      <w:r w:rsidRPr="006136C8">
        <w:t xml:space="preserve">repared by ICF International for the U.S. </w:t>
      </w:r>
      <w:r>
        <w:t>Environmental Protection Agency,</w:t>
      </w:r>
      <w:r w:rsidRPr="006136C8">
        <w:t xml:space="preserve"> May 2009. Available online at: </w:t>
      </w:r>
      <w:hyperlink r:id="rId16" w:history="1">
        <w:r w:rsidRPr="006136C8">
          <w:rPr>
            <w:rStyle w:val="Hyperlink"/>
          </w:rPr>
          <w:t>http://unep.ch/ozone/data_reporting/USA-Decision-XX-7-ODS-Destruction.pdf</w:t>
        </w:r>
      </w:hyperlink>
    </w:p>
  </w:footnote>
  <w:footnote w:id="63">
    <w:p w14:paraId="5E5E9F10" w14:textId="6CE1AAA9" w:rsidR="00582A26" w:rsidRPr="000E24C9" w:rsidRDefault="00582A26" w:rsidP="00141FA3">
      <w:pPr>
        <w:pStyle w:val="FootnoteText"/>
      </w:pPr>
      <w:r w:rsidRPr="006136C8">
        <w:rPr>
          <w:rStyle w:val="FootnoteReference"/>
        </w:rPr>
        <w:footnoteRef/>
      </w:r>
      <w:r w:rsidRPr="006136C8">
        <w:t xml:space="preserve"> </w:t>
      </w:r>
      <w:r>
        <w:t>“</w:t>
      </w:r>
      <w:r w:rsidRPr="006136C8">
        <w:t>ODS Destruction in the United States of America and Abroad</w:t>
      </w:r>
      <w:r>
        <w:t>”, p</w:t>
      </w:r>
      <w:r w:rsidRPr="006136C8">
        <w:t xml:space="preserve">repared by ICF International for the U.S. </w:t>
      </w:r>
      <w:r>
        <w:t>Environmental Protection Agency,</w:t>
      </w:r>
      <w:r w:rsidRPr="006136C8">
        <w:t xml:space="preserve"> May 2009. Available online at: </w:t>
      </w:r>
      <w:hyperlink r:id="rId17" w:history="1">
        <w:r w:rsidRPr="006136C8">
          <w:rPr>
            <w:rStyle w:val="Hyperlink"/>
          </w:rPr>
          <w:t>http://unep.ch/ozone/data_reporting/USA-Decision-XX-7-ODS-Destruction.pdf</w:t>
        </w:r>
      </w:hyperlink>
      <w:r>
        <w:t xml:space="preserve"> </w:t>
      </w:r>
    </w:p>
  </w:footnote>
  <w:footnote w:id="64">
    <w:p w14:paraId="74DA2FA9" w14:textId="6130F3BC" w:rsidR="00582A26" w:rsidRPr="00CB2442" w:rsidRDefault="00582A26" w:rsidP="00141FA3">
      <w:pPr>
        <w:pStyle w:val="FootnoteText"/>
      </w:pPr>
      <w:r>
        <w:rPr>
          <w:rStyle w:val="FootnoteReference"/>
        </w:rPr>
        <w:footnoteRef/>
      </w:r>
      <w:r>
        <w:t xml:space="preserve"> Submission from the United States, </w:t>
      </w:r>
      <w:r w:rsidRPr="009B0E2E">
        <w:rPr>
          <w:i/>
        </w:rPr>
        <w:t>ODS Destruction in the United States and Abroad</w:t>
      </w:r>
      <w:r>
        <w:t>, Prepared for the U.S. EPA by ICF, February 2018.</w:t>
      </w:r>
    </w:p>
  </w:footnote>
  <w:footnote w:id="65">
    <w:p w14:paraId="0DD6863D" w14:textId="7741F506" w:rsidR="00582A26" w:rsidRPr="00CB2442" w:rsidRDefault="00582A26" w:rsidP="00141FA3">
      <w:pPr>
        <w:pStyle w:val="FootnoteText"/>
      </w:pPr>
      <w:r>
        <w:rPr>
          <w:rStyle w:val="FootnoteReference"/>
        </w:rPr>
        <w:footnoteRef/>
      </w:r>
      <w:r>
        <w:t xml:space="preserve"> UNEP 2015 Report of the Chemicals Technical Options Committee, Assessment Report 2014, June 2015.</w:t>
      </w:r>
    </w:p>
  </w:footnote>
  <w:footnote w:id="66">
    <w:p w14:paraId="22EBEE6C" w14:textId="1A87DED7" w:rsidR="00582A26" w:rsidRPr="001B4918" w:rsidRDefault="00582A26" w:rsidP="00141FA3">
      <w:pPr>
        <w:pStyle w:val="FootnoteText"/>
      </w:pPr>
      <w:r>
        <w:rPr>
          <w:rStyle w:val="FootnoteReference"/>
        </w:rPr>
        <w:footnoteRef/>
      </w:r>
      <w:r>
        <w:t xml:space="preserve"> The European Union submission included a general summary of a range of destruction technologies reported to destroy ODS and/or HFCs. </w:t>
      </w:r>
    </w:p>
  </w:footnote>
  <w:footnote w:id="67">
    <w:p w14:paraId="146437E6" w14:textId="071FF9F4" w:rsidR="00582A26" w:rsidRPr="00861938" w:rsidRDefault="00582A26" w:rsidP="00141FA3">
      <w:pPr>
        <w:pStyle w:val="FootnoteText"/>
      </w:pPr>
      <w:r>
        <w:rPr>
          <w:rStyle w:val="FootnoteReference"/>
        </w:rPr>
        <w:footnoteRef/>
      </w:r>
      <w:r>
        <w:t xml:space="preserve"> The United States’ submission included a general summary of a range of destruction technologies reported to destroy ODS and/or HFCs.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A3667A" w14:textId="53D2CBA7" w:rsidR="00582A26" w:rsidRDefault="00582A26">
    <w:pPr>
      <w:pStyle w:val="Header"/>
    </w:pPr>
    <w:r>
      <w:rPr>
        <w:noProof/>
        <w:lang w:val="en-US" w:eastAsia="en-US"/>
      </w:rPr>
      <mc:AlternateContent>
        <mc:Choice Requires="wps">
          <w:drawing>
            <wp:anchor distT="0" distB="0" distL="114300" distR="114300" simplePos="0" relativeHeight="251661312" behindDoc="1" locked="0" layoutInCell="0" allowOverlap="1" wp14:anchorId="38DF273D" wp14:editId="63F11943">
              <wp:simplePos x="0" y="0"/>
              <wp:positionH relativeFrom="margin">
                <wp:align>center</wp:align>
              </wp:positionH>
              <wp:positionV relativeFrom="margin">
                <wp:align>center</wp:align>
              </wp:positionV>
              <wp:extent cx="6631940" cy="106045"/>
              <wp:effectExtent l="0" t="2085975" r="0" b="2009775"/>
              <wp:wrapNone/>
              <wp:docPr id="11"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3194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C9CDC5" w14:textId="77777777" w:rsidR="00582A26" w:rsidRDefault="00582A26" w:rsidP="00897387">
                          <w:pPr>
                            <w:pStyle w:val="NormalWeb"/>
                            <w:spacing w:before="0" w:after="0"/>
                            <w:jc w:val="center"/>
                            <w:rPr>
                              <w:sz w:val="24"/>
                              <w:szCs w:val="24"/>
                            </w:rPr>
                          </w:pPr>
                          <w:r>
                            <w:rPr>
                              <w:color w:val="C0C0C0"/>
                              <w:sz w:val="2"/>
                              <w:szCs w:val="2"/>
                              <w14:textFill>
                                <w14:solidFill>
                                  <w14:srgbClr w14:val="C0C0C0">
                                    <w14:alpha w14:val="50000"/>
                                  </w14:srgbClr>
                                </w14:solidFill>
                              </w14:textFill>
                            </w:rPr>
                            <w:t>ADVANCE 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38DF273D" id="_x0000_t202" coordsize="21600,21600" o:spt="202" path="m,l,21600r21600,l21600,xe">
              <v:stroke joinstyle="miter"/>
              <v:path gradientshapeok="t" o:connecttype="rect"/>
            </v:shapetype>
            <v:shape id="WordArt 8" o:spid="_x0000_s1026" type="#_x0000_t202" style="position:absolute;margin-left:0;margin-top:0;width:522.2pt;height:8.3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" o:allowincell="f" filled="f" stroked="f">
              <o:lock v:ext="edit" shapetype="t"/>
              <v:textbox style="mso-fit-shape-to-text:t">
                <w:txbxContent>
                  <w:p w14:paraId="04C9CDC5" w14:textId="77777777" w:rsidR="00582A26" w:rsidRDefault="00582A26" w:rsidP="00897387">
                    <w:pPr>
                      <w:pStyle w:val="NormalWeb"/>
                      <w:spacing w:before="0" w:after="0"/>
                      <w:jc w:val="center"/>
                      <w:rPr>
                        <w:sz w:val="24"/>
                        <w:szCs w:val="24"/>
                      </w:rPr>
                    </w:pPr>
                    <w:r>
                      <w:rPr>
                        <w:color w:val="C0C0C0"/>
                        <w:sz w:val="2"/>
                        <w:szCs w:val="2"/>
                        <w14:textFill>
                          <w14:solidFill>
                            <w14:srgbClr w14:val="C0C0C0">
                              <w14:alpha w14:val="50000"/>
                            </w14:srgbClr>
                          </w14:solidFill>
                        </w14:textFill>
                      </w:rPr>
                      <w:t>ADVANCE COPY</w:t>
                    </w:r>
                  </w:p>
                </w:txbxContent>
              </v:textbox>
              <w10:wrap anchorx="margin" anchory="margin"/>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541D68" w14:textId="481CB34F" w:rsidR="00582A26" w:rsidRDefault="00582A26">
    <w:pPr>
      <w:pStyle w:val="Header"/>
      <w:jc w:val="right"/>
    </w:pPr>
    <w:r>
      <w:rPr>
        <w:noProof/>
        <w:lang w:val="en-US" w:eastAsia="en-US"/>
      </w:rPr>
      <mc:AlternateContent>
        <mc:Choice Requires="wps">
          <w:drawing>
            <wp:anchor distT="0" distB="0" distL="114300" distR="114300" simplePos="0" relativeHeight="251679744" behindDoc="1" locked="0" layoutInCell="0" allowOverlap="1" wp14:anchorId="232BF668" wp14:editId="6898BBA3">
              <wp:simplePos x="0" y="0"/>
              <wp:positionH relativeFrom="margin">
                <wp:align>center</wp:align>
              </wp:positionH>
              <wp:positionV relativeFrom="margin">
                <wp:align>center</wp:align>
              </wp:positionV>
              <wp:extent cx="6631940" cy="106045"/>
              <wp:effectExtent l="0" t="2085975" r="0" b="2009775"/>
              <wp:wrapNone/>
              <wp:docPr id="5"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3194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772F771" w14:textId="77777777" w:rsidR="00582A26" w:rsidRDefault="00582A26" w:rsidP="00897387">
                          <w:pPr>
                            <w:pStyle w:val="NormalWeb"/>
                            <w:spacing w:before="0" w:after="0"/>
                            <w:jc w:val="center"/>
                            <w:rPr>
                              <w:sz w:val="24"/>
                              <w:szCs w:val="24"/>
                            </w:rPr>
                          </w:pPr>
                          <w:r>
                            <w:rPr>
                              <w:color w:val="C0C0C0"/>
                              <w:sz w:val="2"/>
                              <w:szCs w:val="2"/>
                              <w14:textFill>
                                <w14:solidFill>
                                  <w14:srgbClr w14:val="C0C0C0">
                                    <w14:alpha w14:val="50000"/>
                                  </w14:srgbClr>
                                </w14:solidFill>
                              </w14:textFill>
                            </w:rPr>
                            <w:t>ADVANCE 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232BF668" id="_x0000_t202" coordsize="21600,21600" o:spt="202" path="m,l,21600r21600,l21600,xe">
              <v:stroke joinstyle="miter"/>
              <v:path gradientshapeok="t" o:connecttype="rect"/>
            </v:shapetype>
            <v:shape id="WordArt 4" o:spid="_x0000_s1032" type="#_x0000_t202" style="position:absolute;left:0;text-align:left;margin-left:0;margin-top:0;width:522.2pt;height:8.35pt;rotation:-45;z-index:-2516367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" o:allowincell="f" filled="f" stroked="f">
              <o:lock v:ext="edit" shapetype="t"/>
              <v:textbox style="mso-fit-shape-to-text:t">
                <w:txbxContent>
                  <w:p w14:paraId="6772F771" w14:textId="77777777" w:rsidR="00582A26" w:rsidRDefault="00582A26" w:rsidP="00897387">
                    <w:pPr>
                      <w:pStyle w:val="NormalWeb"/>
                      <w:spacing w:before="0" w:after="0"/>
                      <w:jc w:val="center"/>
                      <w:rPr>
                        <w:sz w:val="24"/>
                        <w:szCs w:val="24"/>
                      </w:rPr>
                    </w:pPr>
                    <w:r>
                      <w:rPr>
                        <w:color w:val="C0C0C0"/>
                        <w:sz w:val="2"/>
                        <w:szCs w:val="2"/>
                        <w14:textFill>
                          <w14:solidFill>
                            <w14:srgbClr w14:val="C0C0C0">
                              <w14:alpha w14:val="50000"/>
                            </w14:srgbClr>
                          </w14:solidFill>
                        </w14:textFill>
                      </w:rPr>
                      <w:t>ADVANCE COPY</w:t>
                    </w:r>
                  </w:p>
                </w:txbxContent>
              </v:textbox>
              <w10:wrap anchorx="margin" anchory="margin"/>
            </v:shape>
          </w:pict>
        </mc:Fallback>
      </mc:AlternateContent>
    </w:r>
    <w:r>
      <w:rPr>
        <w:sz w:val="20"/>
      </w:rPr>
      <w:t>Annex II: Major Chemical Formulae and Nomenclature</w:t>
    </w:r>
  </w:p>
  <w:p w14:paraId="45F90176" w14:textId="77777777" w:rsidR="00582A26" w:rsidRDefault="00582A26"/>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F2F3D1" w14:textId="1017CC39" w:rsidR="00582A26" w:rsidRDefault="00582A26">
    <w:pPr>
      <w:pStyle w:val="Header"/>
      <w:rPr>
        <w:sz w:val="20"/>
      </w:rPr>
    </w:pPr>
  </w:p>
  <w:p w14:paraId="1A8046B6" w14:textId="77777777" w:rsidR="00582A26" w:rsidRDefault="00582A26"/>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C82291" w14:textId="3B730F3F" w:rsidR="00582A26" w:rsidRDefault="00582A26">
    <w:pPr>
      <w:pStyle w:val="Header"/>
    </w:pPr>
    <w:r>
      <w:rPr>
        <w:noProof/>
        <w:lang w:val="en-US" w:eastAsia="en-US"/>
      </w:rPr>
      <mc:AlternateContent>
        <mc:Choice Requires="wps">
          <w:drawing>
            <wp:anchor distT="0" distB="0" distL="114300" distR="114300" simplePos="0" relativeHeight="251677696" behindDoc="1" locked="0" layoutInCell="0" allowOverlap="1" wp14:anchorId="46633D79" wp14:editId="683A1BF4">
              <wp:simplePos x="0" y="0"/>
              <wp:positionH relativeFrom="margin">
                <wp:align>center</wp:align>
              </wp:positionH>
              <wp:positionV relativeFrom="margin">
                <wp:align>center</wp:align>
              </wp:positionV>
              <wp:extent cx="6631940" cy="106045"/>
              <wp:effectExtent l="0" t="2085975" r="0" b="2009775"/>
              <wp:wrapNone/>
              <wp:docPr id="4"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3194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8CD3442" w14:textId="77777777" w:rsidR="00582A26" w:rsidRDefault="00582A26" w:rsidP="00897387">
                          <w:pPr>
                            <w:pStyle w:val="NormalWeb"/>
                            <w:spacing w:before="0" w:after="0"/>
                            <w:jc w:val="center"/>
                            <w:rPr>
                              <w:sz w:val="24"/>
                              <w:szCs w:val="24"/>
                            </w:rPr>
                          </w:pPr>
                          <w:r>
                            <w:rPr>
                              <w:color w:val="C0C0C0"/>
                              <w:sz w:val="2"/>
                              <w:szCs w:val="2"/>
                              <w14:textFill>
                                <w14:solidFill>
                                  <w14:srgbClr w14:val="C0C0C0">
                                    <w14:alpha w14:val="50000"/>
                                  </w14:srgbClr>
                                </w14:solidFill>
                              </w14:textFill>
                            </w:rPr>
                            <w:t>ADVANCE 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46633D79" id="_x0000_t202" coordsize="21600,21600" o:spt="202" path="m,l,21600r21600,l21600,xe">
              <v:stroke joinstyle="miter"/>
              <v:path gradientshapeok="t" o:connecttype="rect"/>
            </v:shapetype>
            <v:shape id="WordArt 3" o:spid="_x0000_s1033" type="#_x0000_t202" style="position:absolute;margin-left:0;margin-top:0;width:522.2pt;height:8.35pt;rotation:-45;z-index:-2516387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" o:allowincell="f" filled="f" stroked="f">
              <o:lock v:ext="edit" shapetype="t"/>
              <v:textbox style="mso-fit-shape-to-text:t">
                <w:txbxContent>
                  <w:p w14:paraId="48CD3442" w14:textId="77777777" w:rsidR="00582A26" w:rsidRDefault="00582A26" w:rsidP="00897387">
                    <w:pPr>
                      <w:pStyle w:val="NormalWeb"/>
                      <w:spacing w:before="0" w:after="0"/>
                      <w:jc w:val="center"/>
                      <w:rPr>
                        <w:sz w:val="24"/>
                        <w:szCs w:val="24"/>
                      </w:rPr>
                    </w:pPr>
                    <w:r>
                      <w:rPr>
                        <w:color w:val="C0C0C0"/>
                        <w:sz w:val="2"/>
                        <w:szCs w:val="2"/>
                        <w14:textFill>
                          <w14:solidFill>
                            <w14:srgbClr w14:val="C0C0C0">
                              <w14:alpha w14:val="50000"/>
                            </w14:srgbClr>
                          </w14:solidFill>
                        </w14:textFill>
                      </w:rPr>
                      <w:t>ADVANCE COPY</w:t>
                    </w:r>
                  </w:p>
                </w:txbxContent>
              </v:textbox>
              <w10:wrap anchorx="margin" anchory="margin"/>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6C8092" w14:textId="00D4B40D" w:rsidR="00582A26" w:rsidRPr="00656E7D" w:rsidRDefault="00582A26" w:rsidP="00656E7D">
    <w:r w:rsidRPr="00656E7D">
      <w:t>Annex II: Major Chemical Formulae and Nomenclature</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1F99D" w14:textId="7B0C1955" w:rsidR="00582A26" w:rsidRPr="00656E7D" w:rsidRDefault="00582A26" w:rsidP="00656E7D"/>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A2F7F7" w14:textId="7C02571B" w:rsidR="00582A26" w:rsidRDefault="00582A26">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658A53" w14:textId="746CCF5E" w:rsidR="00582A26" w:rsidRDefault="00582A26">
    <w:pPr>
      <w:pStyle w:val="Header"/>
      <w:jc w:val="right"/>
    </w:pPr>
    <w:r>
      <w:rPr>
        <w:noProof/>
        <w:lang w:val="en-US" w:eastAsia="en-US"/>
      </w:rPr>
      <mc:AlternateContent>
        <mc:Choice Requires="wps">
          <w:drawing>
            <wp:anchor distT="0" distB="0" distL="114300" distR="114300" simplePos="0" relativeHeight="251692032" behindDoc="1" locked="0" layoutInCell="0" allowOverlap="1" wp14:anchorId="3CC60635" wp14:editId="13E8F5E0">
              <wp:simplePos x="0" y="0"/>
              <wp:positionH relativeFrom="margin">
                <wp:align>center</wp:align>
              </wp:positionH>
              <wp:positionV relativeFrom="margin">
                <wp:align>center</wp:align>
              </wp:positionV>
              <wp:extent cx="6631940" cy="106045"/>
              <wp:effectExtent l="0" t="2085975" r="0" b="2009775"/>
              <wp:wrapNone/>
              <wp:docPr id="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3194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9A22235" w14:textId="77777777" w:rsidR="00582A26" w:rsidRDefault="00582A26" w:rsidP="00897387">
                          <w:pPr>
                            <w:pStyle w:val="NormalWeb"/>
                            <w:spacing w:before="0" w:after="0"/>
                            <w:jc w:val="center"/>
                            <w:rPr>
                              <w:sz w:val="24"/>
                              <w:szCs w:val="24"/>
                            </w:rPr>
                          </w:pPr>
                          <w:r>
                            <w:rPr>
                              <w:color w:val="C0C0C0"/>
                              <w:sz w:val="2"/>
                              <w:szCs w:val="2"/>
                              <w14:textFill>
                                <w14:solidFill>
                                  <w14:srgbClr w14:val="C0C0C0">
                                    <w14:alpha w14:val="50000"/>
                                  </w14:srgbClr>
                                </w14:solidFill>
                              </w14:textFill>
                            </w:rPr>
                            <w:t>ADVANCE 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3CC60635" id="_x0000_t202" coordsize="21600,21600" o:spt="202" path="m,l,21600r21600,l21600,xe">
              <v:stroke joinstyle="miter"/>
              <v:path gradientshapeok="t" o:connecttype="rect"/>
            </v:shapetype>
            <v:shape id="WordArt 2" o:spid="_x0000_s1034" type="#_x0000_t202" style="position:absolute;left:0;text-align:left;margin-left:0;margin-top:0;width:522.2pt;height:8.35pt;rotation:-45;z-index:-2516244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" o:allowincell="f" filled="f" stroked="f">
              <o:lock v:ext="edit" shapetype="t"/>
              <v:textbox style="mso-fit-shape-to-text:t">
                <w:txbxContent>
                  <w:p w14:paraId="49A22235" w14:textId="77777777" w:rsidR="00582A26" w:rsidRDefault="00582A26" w:rsidP="00897387">
                    <w:pPr>
                      <w:pStyle w:val="NormalWeb"/>
                      <w:spacing w:before="0" w:after="0"/>
                      <w:jc w:val="center"/>
                      <w:rPr>
                        <w:sz w:val="24"/>
                        <w:szCs w:val="24"/>
                      </w:rPr>
                    </w:pPr>
                    <w:r>
                      <w:rPr>
                        <w:color w:val="C0C0C0"/>
                        <w:sz w:val="2"/>
                        <w:szCs w:val="2"/>
                        <w14:textFill>
                          <w14:solidFill>
                            <w14:srgbClr w14:val="C0C0C0">
                              <w14:alpha w14:val="50000"/>
                            </w14:srgbClr>
                          </w14:solidFill>
                        </w14:textFill>
                      </w:rPr>
                      <w:t>ADVANCE COPY</w:t>
                    </w:r>
                  </w:p>
                </w:txbxContent>
              </v:textbox>
              <w10:wrap anchorx="margin" anchory="margin"/>
            </v:shape>
          </w:pict>
        </mc:Fallback>
      </mc:AlternateContent>
    </w:r>
    <w:r>
      <w:rPr>
        <w:sz w:val="20"/>
        <w:lang w:val="en-US"/>
      </w:rPr>
      <w:t>Annex II: Major Chemical Formulae and Nomenclature</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EB16ED" w14:textId="0D5C3BA4" w:rsidR="00582A26" w:rsidRDefault="00582A26">
    <w:pPr>
      <w:pStyle w:val="Header"/>
      <w:rPr>
        <w:sz w:val="20"/>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CEAA12" w14:textId="1A34BE14" w:rsidR="00582A26" w:rsidRDefault="00582A26">
    <w:pPr>
      <w:pStyle w:val="Header"/>
    </w:pPr>
    <w:r>
      <w:rPr>
        <w:noProof/>
        <w:lang w:val="en-US" w:eastAsia="en-US"/>
      </w:rPr>
      <mc:AlternateContent>
        <mc:Choice Requires="wps">
          <w:drawing>
            <wp:anchor distT="0" distB="0" distL="114300" distR="114300" simplePos="0" relativeHeight="251689984" behindDoc="1" locked="0" layoutInCell="0" allowOverlap="1" wp14:anchorId="6B2D44F3" wp14:editId="42BB0F6B">
              <wp:simplePos x="0" y="0"/>
              <wp:positionH relativeFrom="margin">
                <wp:align>center</wp:align>
              </wp:positionH>
              <wp:positionV relativeFrom="margin">
                <wp:align>center</wp:align>
              </wp:positionV>
              <wp:extent cx="6631940" cy="106045"/>
              <wp:effectExtent l="0" t="2085975" r="0" b="2009775"/>
              <wp:wrapNone/>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3194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7AE4C55" w14:textId="77777777" w:rsidR="00582A26" w:rsidRDefault="00582A26" w:rsidP="00897387">
                          <w:pPr>
                            <w:pStyle w:val="NormalWeb"/>
                            <w:spacing w:before="0" w:after="0"/>
                            <w:jc w:val="center"/>
                            <w:rPr>
                              <w:sz w:val="24"/>
                              <w:szCs w:val="24"/>
                            </w:rPr>
                          </w:pPr>
                          <w:r>
                            <w:rPr>
                              <w:color w:val="C0C0C0"/>
                              <w:sz w:val="2"/>
                              <w:szCs w:val="2"/>
                              <w14:textFill>
                                <w14:solidFill>
                                  <w14:srgbClr w14:val="C0C0C0">
                                    <w14:alpha w14:val="50000"/>
                                  </w14:srgbClr>
                                </w14:solidFill>
                              </w14:textFill>
                            </w:rPr>
                            <w:t>ADVANCE 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6B2D44F3" id="_x0000_t202" coordsize="21600,21600" o:spt="202" path="m,l,21600r21600,l21600,xe">
              <v:stroke joinstyle="miter"/>
              <v:path gradientshapeok="t" o:connecttype="rect"/>
            </v:shapetype>
            <v:shape id="WordArt 1" o:spid="_x0000_s1035" type="#_x0000_t202" style="position:absolute;margin-left:0;margin-top:0;width:522.2pt;height:8.35pt;rotation:-45;z-index:-2516264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" o:allowincell="f" filled="f" stroked="f">
              <o:lock v:ext="edit" shapetype="t"/>
              <v:textbox style="mso-fit-shape-to-text:t">
                <w:txbxContent>
                  <w:p w14:paraId="67AE4C55" w14:textId="77777777" w:rsidR="00582A26" w:rsidRDefault="00582A26" w:rsidP="00897387">
                    <w:pPr>
                      <w:pStyle w:val="NormalWeb"/>
                      <w:spacing w:before="0" w:after="0"/>
                      <w:jc w:val="center"/>
                      <w:rPr>
                        <w:sz w:val="24"/>
                        <w:szCs w:val="24"/>
                      </w:rPr>
                    </w:pPr>
                    <w:r>
                      <w:rPr>
                        <w:color w:val="C0C0C0"/>
                        <w:sz w:val="2"/>
                        <w:szCs w:val="2"/>
                        <w14:textFill>
                          <w14:solidFill>
                            <w14:srgbClr w14:val="C0C0C0">
                              <w14:alpha w14:val="50000"/>
                            </w14:srgbClr>
                          </w14:solidFill>
                        </w14:textFill>
                      </w:rPr>
                      <w:t>ADVANCE COPY</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03EFA8" w14:textId="58DBACD8" w:rsidR="00582A26" w:rsidRDefault="00582A26">
    <w:pPr>
      <w:pStyle w:val="Header"/>
    </w:pPr>
    <w:r>
      <w:rPr>
        <w:noProof/>
        <w:lang w:val="en-US" w:eastAsia="en-US"/>
      </w:rPr>
      <mc:AlternateContent>
        <mc:Choice Requires="wps">
          <w:drawing>
            <wp:anchor distT="0" distB="0" distL="114300" distR="114300" simplePos="0" relativeHeight="251663360" behindDoc="1" locked="0" layoutInCell="0" allowOverlap="1" wp14:anchorId="336311D5" wp14:editId="7AAFE0D5">
              <wp:simplePos x="0" y="0"/>
              <wp:positionH relativeFrom="margin">
                <wp:align>center</wp:align>
              </wp:positionH>
              <wp:positionV relativeFrom="margin">
                <wp:align>center</wp:align>
              </wp:positionV>
              <wp:extent cx="6631940" cy="106045"/>
              <wp:effectExtent l="0" t="2085975" r="0" b="2009775"/>
              <wp:wrapNone/>
              <wp:docPr id="10"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3194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F6F841F" w14:textId="77777777" w:rsidR="00582A26" w:rsidRDefault="00582A26" w:rsidP="00897387">
                          <w:pPr>
                            <w:pStyle w:val="NormalWeb"/>
                            <w:spacing w:before="0" w:after="0"/>
                            <w:jc w:val="center"/>
                            <w:rPr>
                              <w:sz w:val="24"/>
                              <w:szCs w:val="24"/>
                            </w:rPr>
                          </w:pPr>
                          <w:r>
                            <w:rPr>
                              <w:color w:val="C0C0C0"/>
                              <w:sz w:val="2"/>
                              <w:szCs w:val="2"/>
                              <w14:textFill>
                                <w14:solidFill>
                                  <w14:srgbClr w14:val="C0C0C0">
                                    <w14:alpha w14:val="50000"/>
                                  </w14:srgbClr>
                                </w14:solidFill>
                              </w14:textFill>
                            </w:rPr>
                            <w:t>ADVANCE 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336311D5" id="_x0000_t202" coordsize="21600,21600" o:spt="202" path="m,l,21600r21600,l21600,xe">
              <v:stroke joinstyle="miter"/>
              <v:path gradientshapeok="t" o:connecttype="rect"/>
            </v:shapetype>
            <v:shape id="WordArt 7" o:spid="_x0000_s1027" type="#_x0000_t202" style="position:absolute;margin-left:0;margin-top:0;width:522.2pt;height:8.3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" o:allowincell="f" filled="f" stroked="f">
              <o:lock v:ext="edit" shapetype="t"/>
              <v:textbox style="mso-fit-shape-to-text:t">
                <w:txbxContent>
                  <w:p w14:paraId="6F6F841F" w14:textId="77777777" w:rsidR="00582A26" w:rsidRDefault="00582A26" w:rsidP="00897387">
                    <w:pPr>
                      <w:pStyle w:val="NormalWeb"/>
                      <w:spacing w:before="0" w:after="0"/>
                      <w:jc w:val="center"/>
                      <w:rPr>
                        <w:sz w:val="24"/>
                        <w:szCs w:val="24"/>
                      </w:rPr>
                    </w:pPr>
                    <w:r>
                      <w:rPr>
                        <w:color w:val="C0C0C0"/>
                        <w:sz w:val="2"/>
                        <w:szCs w:val="2"/>
                        <w14:textFill>
                          <w14:solidFill>
                            <w14:srgbClr w14:val="C0C0C0">
                              <w14:alpha w14:val="50000"/>
                            </w14:srgbClr>
                          </w14:solidFill>
                        </w14:textFill>
                      </w:rPr>
                      <w:t>ADVANCE COPY</w:t>
                    </w:r>
                  </w:p>
                </w:txbxContent>
              </v:textbox>
              <w10:wrap anchorx="margin"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60330B" w14:textId="77DC270B" w:rsidR="00582A26" w:rsidRDefault="00582A2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10F2BD" w14:textId="77FB647B" w:rsidR="00582A26" w:rsidRDefault="00582A26">
    <w:pPr>
      <w:pStyle w:val="Header"/>
    </w:pPr>
    <w:r>
      <w:rPr>
        <w:noProof/>
        <w:lang w:val="en-US" w:eastAsia="en-US"/>
      </w:rPr>
      <mc:AlternateContent>
        <mc:Choice Requires="wps">
          <w:drawing>
            <wp:anchor distT="0" distB="0" distL="114300" distR="114300" simplePos="0" relativeHeight="251667456" behindDoc="1" locked="0" layoutInCell="0" allowOverlap="1" wp14:anchorId="48513E05" wp14:editId="6FC51C5B">
              <wp:simplePos x="0" y="0"/>
              <wp:positionH relativeFrom="margin">
                <wp:align>center</wp:align>
              </wp:positionH>
              <wp:positionV relativeFrom="margin">
                <wp:align>center</wp:align>
              </wp:positionV>
              <wp:extent cx="6631940" cy="1104900"/>
              <wp:effectExtent l="0" t="0" r="0" b="0"/>
              <wp:wrapNone/>
              <wp:docPr id="9"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631940" cy="11049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E335A1C" w14:textId="77777777" w:rsidR="00582A26" w:rsidRDefault="00582A26" w:rsidP="00AD0C75">
                          <w:pPr>
                            <w:pStyle w:val="NormalWeb"/>
                            <w:spacing w:before="0" w:after="0"/>
                            <w:jc w:val="center"/>
                            <w:rPr>
                              <w:sz w:val="24"/>
                              <w:szCs w:val="24"/>
                            </w:rPr>
                          </w:pPr>
                          <w:r>
                            <w:rPr>
                              <w:color w:val="C0C0C0"/>
                              <w:sz w:val="16"/>
                              <w:szCs w:val="16"/>
                              <w14:textFill>
                                <w14:solidFill>
                                  <w14:srgbClr w14:val="C0C0C0">
                                    <w14:alpha w14:val="50000"/>
                                  </w14:srgbClr>
                                </w14:solidFill>
                              </w14:textFill>
                            </w:rPr>
                            <w:t>ADVANCE COPY</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48513E05" id="_x0000_t202" coordsize="21600,21600" o:spt="202" path="m,l,21600r21600,l21600,xe">
              <v:stroke joinstyle="miter"/>
              <v:path gradientshapeok="t" o:connecttype="rect"/>
            </v:shapetype>
            <v:shape id="_x0000_s1028" type="#_x0000_t202" style="position:absolute;margin-left:0;margin-top:0;width:522.2pt;height:87pt;rotation:-45;z-index:-2516490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" o:allowincell="f" filled="f" stroked="f">
              <v:textbox>
                <w:txbxContent>
                  <w:p w14:paraId="5E335A1C" w14:textId="77777777" w:rsidR="00582A26" w:rsidRDefault="00582A26" w:rsidP="00AD0C75">
                    <w:pPr>
                      <w:pStyle w:val="NormalWeb"/>
                      <w:spacing w:before="0" w:after="0"/>
                      <w:jc w:val="center"/>
                      <w:rPr>
                        <w:sz w:val="24"/>
                        <w:szCs w:val="24"/>
                      </w:rPr>
                    </w:pPr>
                    <w:r>
                      <w:rPr>
                        <w:color w:val="C0C0C0"/>
                        <w:sz w:val="16"/>
                        <w:szCs w:val="16"/>
                        <w14:textFill>
                          <w14:solidFill>
                            <w14:srgbClr w14:val="C0C0C0">
                              <w14:alpha w14:val="50000"/>
                            </w14:srgbClr>
                          </w14:solidFill>
                        </w14:textFill>
                      </w:rPr>
                      <w:t>ADVANCE COPY</w:t>
                    </w:r>
                  </w:p>
                </w:txbxContent>
              </v:textbox>
              <w10:wrap anchorx="margin" anchory="margin"/>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D746B5" w14:textId="024AAD50" w:rsidR="00582A26" w:rsidRDefault="00582A2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29598B" w14:textId="7E82B8E0" w:rsidR="00582A26" w:rsidRDefault="00582A26">
    <w:pPr>
      <w:pStyle w:val="Header"/>
    </w:pPr>
    <w:r>
      <w:rPr>
        <w:noProof/>
        <w:lang w:val="en-US" w:eastAsia="en-US"/>
      </w:rPr>
      <mc:AlternateContent>
        <mc:Choice Requires="wps">
          <w:drawing>
            <wp:anchor distT="0" distB="0" distL="114300" distR="114300" simplePos="0" relativeHeight="251665408" behindDoc="1" locked="0" layoutInCell="0" allowOverlap="1" wp14:anchorId="77DDC764" wp14:editId="12373CBE">
              <wp:simplePos x="0" y="0"/>
              <wp:positionH relativeFrom="margin">
                <wp:align>center</wp:align>
              </wp:positionH>
              <wp:positionV relativeFrom="margin">
                <wp:align>center</wp:align>
              </wp:positionV>
              <wp:extent cx="6631940" cy="1104900"/>
              <wp:effectExtent l="0" t="0" r="0" b="0"/>
              <wp:wrapNone/>
              <wp:docPr id="8"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631940" cy="11049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20BB9C0" w14:textId="77777777" w:rsidR="00582A26" w:rsidRDefault="00582A26" w:rsidP="00AD0C75">
                          <w:pPr>
                            <w:pStyle w:val="NormalWeb"/>
                            <w:spacing w:before="0" w:after="0"/>
                            <w:jc w:val="center"/>
                            <w:rPr>
                              <w:sz w:val="24"/>
                              <w:szCs w:val="24"/>
                            </w:rPr>
                          </w:pPr>
                          <w:r>
                            <w:rPr>
                              <w:color w:val="C0C0C0"/>
                              <w:sz w:val="16"/>
                              <w:szCs w:val="16"/>
                              <w14:textFill>
                                <w14:solidFill>
                                  <w14:srgbClr w14:val="C0C0C0">
                                    <w14:alpha w14:val="50000"/>
                                  </w14:srgbClr>
                                </w14:solidFill>
                              </w14:textFill>
                            </w:rPr>
                            <w:t>ADVANCE COPY</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77DDC764" id="_x0000_t202" coordsize="21600,21600" o:spt="202" path="m,l,21600r21600,l21600,xe">
              <v:stroke joinstyle="miter"/>
              <v:path gradientshapeok="t" o:connecttype="rect"/>
            </v:shapetype>
            <v:shape id="_x0000_s1029" type="#_x0000_t202" style="position:absolute;margin-left:0;margin-top:0;width:522.2pt;height:87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" o:allowincell="f" filled="f" stroked="f">
              <v:textbox>
                <w:txbxContent>
                  <w:p w14:paraId="020BB9C0" w14:textId="77777777" w:rsidR="00582A26" w:rsidRDefault="00582A26" w:rsidP="00AD0C75">
                    <w:pPr>
                      <w:pStyle w:val="NormalWeb"/>
                      <w:spacing w:before="0" w:after="0"/>
                      <w:jc w:val="center"/>
                      <w:rPr>
                        <w:sz w:val="24"/>
                        <w:szCs w:val="24"/>
                      </w:rPr>
                    </w:pPr>
                    <w:r>
                      <w:rPr>
                        <w:color w:val="C0C0C0"/>
                        <w:sz w:val="16"/>
                        <w:szCs w:val="16"/>
                        <w14:textFill>
                          <w14:solidFill>
                            <w14:srgbClr w14:val="C0C0C0">
                              <w14:alpha w14:val="50000"/>
                            </w14:srgbClr>
                          </w14:solidFill>
                        </w14:textFill>
                      </w:rPr>
                      <w:t>ADVANCE COPY</w:t>
                    </w:r>
                  </w:p>
                </w:txbxContent>
              </v:textbox>
              <w10:wrap anchorx="margin" anchory="margin"/>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117D0F" w14:textId="1B91E778" w:rsidR="00582A26" w:rsidRDefault="00582A26">
    <w:pPr>
      <w:pStyle w:val="Header"/>
    </w:pPr>
    <w:r>
      <w:rPr>
        <w:noProof/>
        <w:lang w:val="en-US" w:eastAsia="en-US"/>
      </w:rPr>
      <mc:AlternateContent>
        <mc:Choice Requires="wps">
          <w:drawing>
            <wp:anchor distT="0" distB="0" distL="114300" distR="114300" simplePos="0" relativeHeight="251673600" behindDoc="1" locked="0" layoutInCell="0" allowOverlap="1" wp14:anchorId="6C2210C6" wp14:editId="71EA6E44">
              <wp:simplePos x="0" y="0"/>
              <wp:positionH relativeFrom="margin">
                <wp:align>center</wp:align>
              </wp:positionH>
              <wp:positionV relativeFrom="margin">
                <wp:align>center</wp:align>
              </wp:positionV>
              <wp:extent cx="6631940" cy="106045"/>
              <wp:effectExtent l="0" t="2085975" r="0" b="2009775"/>
              <wp:wrapNone/>
              <wp:docPr id="7"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3194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C7DE661" w14:textId="77777777" w:rsidR="00582A26" w:rsidRDefault="00582A26" w:rsidP="00897387">
                          <w:pPr>
                            <w:pStyle w:val="NormalWeb"/>
                            <w:spacing w:before="0" w:after="0"/>
                            <w:jc w:val="center"/>
                            <w:rPr>
                              <w:sz w:val="24"/>
                              <w:szCs w:val="24"/>
                            </w:rPr>
                          </w:pPr>
                          <w:r>
                            <w:rPr>
                              <w:color w:val="C0C0C0"/>
                              <w:sz w:val="2"/>
                              <w:szCs w:val="2"/>
                              <w14:textFill>
                                <w14:solidFill>
                                  <w14:srgbClr w14:val="C0C0C0">
                                    <w14:alpha w14:val="50000"/>
                                  </w14:srgbClr>
                                </w14:solidFill>
                              </w14:textFill>
                            </w:rPr>
                            <w:t>ADVANCE 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6C2210C6" id="_x0000_t202" coordsize="21600,21600" o:spt="202" path="m,l,21600r21600,l21600,xe">
              <v:stroke joinstyle="miter"/>
              <v:path gradientshapeok="t" o:connecttype="rect"/>
            </v:shapetype>
            <v:shape id="WordArt 6" o:spid="_x0000_s1030" type="#_x0000_t202" style="position:absolute;margin-left:0;margin-top:0;width:522.2pt;height:8.35pt;rotation:-45;z-index:-2516428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" o:allowincell="f" filled="f" stroked="f">
              <o:lock v:ext="edit" shapetype="t"/>
              <v:textbox style="mso-fit-shape-to-text:t">
                <w:txbxContent>
                  <w:p w14:paraId="6C7DE661" w14:textId="77777777" w:rsidR="00582A26" w:rsidRDefault="00582A26" w:rsidP="00897387">
                    <w:pPr>
                      <w:pStyle w:val="NormalWeb"/>
                      <w:spacing w:before="0" w:after="0"/>
                      <w:jc w:val="center"/>
                      <w:rPr>
                        <w:sz w:val="24"/>
                        <w:szCs w:val="24"/>
                      </w:rPr>
                    </w:pPr>
                    <w:r>
                      <w:rPr>
                        <w:color w:val="C0C0C0"/>
                        <w:sz w:val="2"/>
                        <w:szCs w:val="2"/>
                        <w14:textFill>
                          <w14:solidFill>
                            <w14:srgbClr w14:val="C0C0C0">
                              <w14:alpha w14:val="50000"/>
                            </w14:srgbClr>
                          </w14:solidFill>
                        </w14:textFill>
                      </w:rPr>
                      <w:t>ADVANCE COPY</w:t>
                    </w:r>
                  </w:p>
                </w:txbxContent>
              </v:textbox>
              <w10:wrap anchorx="margin" anchory="margin"/>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EDAB6A" w14:textId="4769A887" w:rsidR="00582A26" w:rsidRDefault="00582A26">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828B5E" w14:textId="05E77576" w:rsidR="00582A26" w:rsidRDefault="00582A26">
    <w:pPr>
      <w:pStyle w:val="Header"/>
    </w:pPr>
    <w:r>
      <w:rPr>
        <w:noProof/>
        <w:lang w:val="en-US" w:eastAsia="en-US"/>
      </w:rPr>
      <mc:AlternateContent>
        <mc:Choice Requires="wps">
          <w:drawing>
            <wp:anchor distT="0" distB="0" distL="114300" distR="114300" simplePos="0" relativeHeight="251671552" behindDoc="1" locked="0" layoutInCell="0" allowOverlap="1" wp14:anchorId="49952E19" wp14:editId="7B16579C">
              <wp:simplePos x="0" y="0"/>
              <wp:positionH relativeFrom="margin">
                <wp:align>center</wp:align>
              </wp:positionH>
              <wp:positionV relativeFrom="margin">
                <wp:align>center</wp:align>
              </wp:positionV>
              <wp:extent cx="6631940" cy="106045"/>
              <wp:effectExtent l="0" t="2085975" r="0" b="2009775"/>
              <wp:wrapNone/>
              <wp:docPr id="6"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3194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247E7F9" w14:textId="77777777" w:rsidR="00582A26" w:rsidRDefault="00582A26" w:rsidP="00897387">
                          <w:pPr>
                            <w:pStyle w:val="NormalWeb"/>
                            <w:spacing w:before="0" w:after="0"/>
                            <w:jc w:val="center"/>
                            <w:rPr>
                              <w:sz w:val="24"/>
                              <w:szCs w:val="24"/>
                            </w:rPr>
                          </w:pPr>
                          <w:r>
                            <w:rPr>
                              <w:color w:val="C0C0C0"/>
                              <w:sz w:val="2"/>
                              <w:szCs w:val="2"/>
                              <w14:textFill>
                                <w14:solidFill>
                                  <w14:srgbClr w14:val="C0C0C0">
                                    <w14:alpha w14:val="50000"/>
                                  </w14:srgbClr>
                                </w14:solidFill>
                              </w14:textFill>
                            </w:rPr>
                            <w:t>ADVANCE 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49952E19" id="_x0000_t202" coordsize="21600,21600" o:spt="202" path="m,l,21600r21600,l21600,xe">
              <v:stroke joinstyle="miter"/>
              <v:path gradientshapeok="t" o:connecttype="rect"/>
            </v:shapetype>
            <v:shape id="WordArt 5" o:spid="_x0000_s1031" type="#_x0000_t202" style="position:absolute;margin-left:0;margin-top:0;width:522.2pt;height:8.35pt;rotation:-45;z-index:-2516449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" o:allowincell="f" filled="f" stroked="f">
              <o:lock v:ext="edit" shapetype="t"/>
              <v:textbox style="mso-fit-shape-to-text:t">
                <w:txbxContent>
                  <w:p w14:paraId="4247E7F9" w14:textId="77777777" w:rsidR="00582A26" w:rsidRDefault="00582A26" w:rsidP="00897387">
                    <w:pPr>
                      <w:pStyle w:val="NormalWeb"/>
                      <w:spacing w:before="0" w:after="0"/>
                      <w:jc w:val="center"/>
                      <w:rPr>
                        <w:sz w:val="24"/>
                        <w:szCs w:val="24"/>
                      </w:rPr>
                    </w:pPr>
                    <w:r>
                      <w:rPr>
                        <w:color w:val="C0C0C0"/>
                        <w:sz w:val="2"/>
                        <w:szCs w:val="2"/>
                        <w14:textFill>
                          <w14:solidFill>
                            <w14:srgbClr w14:val="C0C0C0">
                              <w14:alpha w14:val="50000"/>
                            </w14:srgbClr>
                          </w14:solidFill>
                        </w14:textFill>
                      </w:rPr>
                      <w:t>ADVANCE COPY</w:t>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B8ACA6"/>
    <w:lvl w:ilvl="0">
      <w:start w:val="1"/>
      <w:numFmt w:val="decimal"/>
      <w:pStyle w:val="ListNumber5"/>
      <w:lvlText w:val="%1."/>
      <w:lvlJc w:val="left"/>
      <w:pPr>
        <w:tabs>
          <w:tab w:val="num" w:pos="1492"/>
        </w:tabs>
        <w:ind w:left="1492" w:hanging="360"/>
      </w:pPr>
    </w:lvl>
  </w:abstractNum>
  <w:abstractNum w:abstractNumId="1">
    <w:nsid w:val="00000001"/>
    <w:multiLevelType w:val="hybridMultilevel"/>
    <w:tmpl w:val="9224EA12"/>
    <w:lvl w:ilvl="0" w:tplc="0C09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2"/>
    <w:multiLevelType w:val="singleLevel"/>
    <w:tmpl w:val="00000002"/>
    <w:name w:val="WW8Num1"/>
    <w:lvl w:ilvl="0">
      <w:start w:val="1"/>
      <w:numFmt w:val="decimal"/>
      <w:lvlText w:val="%1."/>
      <w:lvlJc w:val="left"/>
      <w:pPr>
        <w:tabs>
          <w:tab w:val="num" w:pos="720"/>
        </w:tabs>
        <w:ind w:left="720" w:hanging="360"/>
      </w:pPr>
    </w:lvl>
  </w:abstractNum>
  <w:abstractNum w:abstractNumId="3">
    <w:nsid w:val="03213B4E"/>
    <w:multiLevelType w:val="hybridMultilevel"/>
    <w:tmpl w:val="A20AD7F4"/>
    <w:lvl w:ilvl="0" w:tplc="22B4DCC6">
      <w:start w:val="1"/>
      <w:numFmt w:val="bullet"/>
      <w:pStyle w:val="Bullet"/>
      <w:lvlText w:val="•"/>
      <w:lvlJc w:val="left"/>
      <w:pPr>
        <w:tabs>
          <w:tab w:val="num" w:pos="1437"/>
        </w:tabs>
        <w:ind w:left="1437" w:hanging="360"/>
      </w:pPr>
      <w:rPr>
        <w:rFonts w:ascii="Times New Roman" w:hAnsi="Times New Roman" w:hint="default"/>
      </w:rPr>
    </w:lvl>
    <w:lvl w:ilvl="1" w:tplc="21A8863A" w:tentative="1">
      <w:start w:val="1"/>
      <w:numFmt w:val="bullet"/>
      <w:lvlText w:val="o"/>
      <w:lvlJc w:val="left"/>
      <w:pPr>
        <w:tabs>
          <w:tab w:val="num" w:pos="1440"/>
        </w:tabs>
        <w:ind w:left="1440" w:hanging="360"/>
      </w:pPr>
      <w:rPr>
        <w:rFonts w:ascii="Courier New" w:hAnsi="Courier New" w:hint="default"/>
      </w:rPr>
    </w:lvl>
    <w:lvl w:ilvl="2" w:tplc="CB0C0A2A" w:tentative="1">
      <w:start w:val="1"/>
      <w:numFmt w:val="bullet"/>
      <w:pStyle w:val="SimonUberschrift"/>
      <w:lvlText w:val=""/>
      <w:lvlJc w:val="left"/>
      <w:pPr>
        <w:tabs>
          <w:tab w:val="num" w:pos="2160"/>
        </w:tabs>
        <w:ind w:left="2160" w:hanging="360"/>
      </w:pPr>
      <w:rPr>
        <w:rFonts w:ascii="Wingdings" w:hAnsi="Wingdings" w:hint="default"/>
      </w:rPr>
    </w:lvl>
    <w:lvl w:ilvl="3" w:tplc="545A6888" w:tentative="1">
      <w:start w:val="1"/>
      <w:numFmt w:val="bullet"/>
      <w:lvlText w:val=""/>
      <w:lvlJc w:val="left"/>
      <w:pPr>
        <w:tabs>
          <w:tab w:val="num" w:pos="2880"/>
        </w:tabs>
        <w:ind w:left="2880" w:hanging="360"/>
      </w:pPr>
      <w:rPr>
        <w:rFonts w:ascii="Symbol" w:hAnsi="Symbol" w:hint="default"/>
      </w:rPr>
    </w:lvl>
    <w:lvl w:ilvl="4" w:tplc="918E681E" w:tentative="1">
      <w:start w:val="1"/>
      <w:numFmt w:val="bullet"/>
      <w:lvlText w:val="o"/>
      <w:lvlJc w:val="left"/>
      <w:pPr>
        <w:tabs>
          <w:tab w:val="num" w:pos="3600"/>
        </w:tabs>
        <w:ind w:left="3600" w:hanging="360"/>
      </w:pPr>
      <w:rPr>
        <w:rFonts w:ascii="Courier New" w:hAnsi="Courier New" w:hint="default"/>
      </w:rPr>
    </w:lvl>
    <w:lvl w:ilvl="5" w:tplc="D3AE3642" w:tentative="1">
      <w:start w:val="1"/>
      <w:numFmt w:val="bullet"/>
      <w:lvlText w:val=""/>
      <w:lvlJc w:val="left"/>
      <w:pPr>
        <w:tabs>
          <w:tab w:val="num" w:pos="4320"/>
        </w:tabs>
        <w:ind w:left="4320" w:hanging="360"/>
      </w:pPr>
      <w:rPr>
        <w:rFonts w:ascii="Wingdings" w:hAnsi="Wingdings" w:hint="default"/>
      </w:rPr>
    </w:lvl>
    <w:lvl w:ilvl="6" w:tplc="DE26FADC" w:tentative="1">
      <w:start w:val="1"/>
      <w:numFmt w:val="bullet"/>
      <w:lvlText w:val=""/>
      <w:lvlJc w:val="left"/>
      <w:pPr>
        <w:tabs>
          <w:tab w:val="num" w:pos="5040"/>
        </w:tabs>
        <w:ind w:left="5040" w:hanging="360"/>
      </w:pPr>
      <w:rPr>
        <w:rFonts w:ascii="Symbol" w:hAnsi="Symbol" w:hint="default"/>
      </w:rPr>
    </w:lvl>
    <w:lvl w:ilvl="7" w:tplc="73FE358C" w:tentative="1">
      <w:start w:val="1"/>
      <w:numFmt w:val="bullet"/>
      <w:lvlText w:val="o"/>
      <w:lvlJc w:val="left"/>
      <w:pPr>
        <w:tabs>
          <w:tab w:val="num" w:pos="5760"/>
        </w:tabs>
        <w:ind w:left="5760" w:hanging="360"/>
      </w:pPr>
      <w:rPr>
        <w:rFonts w:ascii="Courier New" w:hAnsi="Courier New" w:hint="default"/>
      </w:rPr>
    </w:lvl>
    <w:lvl w:ilvl="8" w:tplc="AE2C7296" w:tentative="1">
      <w:start w:val="1"/>
      <w:numFmt w:val="bullet"/>
      <w:lvlText w:val=""/>
      <w:lvlJc w:val="left"/>
      <w:pPr>
        <w:tabs>
          <w:tab w:val="num" w:pos="6480"/>
        </w:tabs>
        <w:ind w:left="6480" w:hanging="360"/>
      </w:pPr>
      <w:rPr>
        <w:rFonts w:ascii="Wingdings" w:hAnsi="Wingdings" w:hint="default"/>
      </w:rPr>
    </w:lvl>
  </w:abstractNum>
  <w:abstractNum w:abstractNumId="4">
    <w:nsid w:val="03965050"/>
    <w:multiLevelType w:val="multilevel"/>
    <w:tmpl w:val="B7E6A91E"/>
    <w:lvl w:ilvl="0">
      <w:start w:val="1"/>
      <w:numFmt w:val="lowerLetter"/>
      <w:pStyle w:val="BulletsinTable"/>
      <w:lvlText w:val="(%1)"/>
      <w:lvlJc w:val="left"/>
      <w:pPr>
        <w:tabs>
          <w:tab w:val="num" w:pos="539"/>
        </w:tabs>
        <w:ind w:left="539" w:hanging="539"/>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4642420"/>
    <w:multiLevelType w:val="hybridMultilevel"/>
    <w:tmpl w:val="24A09A12"/>
    <w:lvl w:ilvl="0" w:tplc="AC2CA7D2">
      <w:start w:val="1"/>
      <w:numFmt w:val="bullet"/>
      <w:pStyle w:val="EndnoteText"/>
      <w:lvlText w:val=""/>
      <w:lvlJc w:val="left"/>
      <w:pPr>
        <w:tabs>
          <w:tab w:val="num" w:pos="720"/>
        </w:tabs>
        <w:ind w:left="720" w:hanging="360"/>
      </w:pPr>
      <w:rPr>
        <w:rFonts w:ascii="Symbol" w:hAnsi="Symbol" w:hint="default"/>
      </w:rPr>
    </w:lvl>
    <w:lvl w:ilvl="1" w:tplc="BC243F5E" w:tentative="1">
      <w:start w:val="1"/>
      <w:numFmt w:val="bullet"/>
      <w:lvlText w:val="o"/>
      <w:lvlJc w:val="left"/>
      <w:pPr>
        <w:tabs>
          <w:tab w:val="num" w:pos="1440"/>
        </w:tabs>
        <w:ind w:left="1440" w:hanging="360"/>
      </w:pPr>
      <w:rPr>
        <w:rFonts w:ascii="Courier New" w:hAnsi="Courier New" w:cs="Consolas" w:hint="default"/>
      </w:rPr>
    </w:lvl>
    <w:lvl w:ilvl="2" w:tplc="7612122C" w:tentative="1">
      <w:start w:val="1"/>
      <w:numFmt w:val="bullet"/>
      <w:lvlText w:val=""/>
      <w:lvlJc w:val="left"/>
      <w:pPr>
        <w:tabs>
          <w:tab w:val="num" w:pos="2160"/>
        </w:tabs>
        <w:ind w:left="2160" w:hanging="360"/>
      </w:pPr>
      <w:rPr>
        <w:rFonts w:ascii="Wingdings" w:hAnsi="Wingdings" w:hint="default"/>
      </w:rPr>
    </w:lvl>
    <w:lvl w:ilvl="3" w:tplc="7618E782" w:tentative="1">
      <w:start w:val="1"/>
      <w:numFmt w:val="bullet"/>
      <w:lvlText w:val=""/>
      <w:lvlJc w:val="left"/>
      <w:pPr>
        <w:tabs>
          <w:tab w:val="num" w:pos="2880"/>
        </w:tabs>
        <w:ind w:left="2880" w:hanging="360"/>
      </w:pPr>
      <w:rPr>
        <w:rFonts w:ascii="Symbol" w:hAnsi="Symbol" w:hint="default"/>
      </w:rPr>
    </w:lvl>
    <w:lvl w:ilvl="4" w:tplc="F236AB18" w:tentative="1">
      <w:start w:val="1"/>
      <w:numFmt w:val="bullet"/>
      <w:lvlText w:val="o"/>
      <w:lvlJc w:val="left"/>
      <w:pPr>
        <w:tabs>
          <w:tab w:val="num" w:pos="3600"/>
        </w:tabs>
        <w:ind w:left="3600" w:hanging="360"/>
      </w:pPr>
      <w:rPr>
        <w:rFonts w:ascii="Courier New" w:hAnsi="Courier New" w:cs="Consolas" w:hint="default"/>
      </w:rPr>
    </w:lvl>
    <w:lvl w:ilvl="5" w:tplc="4FBEA80C" w:tentative="1">
      <w:start w:val="1"/>
      <w:numFmt w:val="bullet"/>
      <w:lvlText w:val=""/>
      <w:lvlJc w:val="left"/>
      <w:pPr>
        <w:tabs>
          <w:tab w:val="num" w:pos="4320"/>
        </w:tabs>
        <w:ind w:left="4320" w:hanging="360"/>
      </w:pPr>
      <w:rPr>
        <w:rFonts w:ascii="Wingdings" w:hAnsi="Wingdings" w:hint="default"/>
      </w:rPr>
    </w:lvl>
    <w:lvl w:ilvl="6" w:tplc="50A066B0" w:tentative="1">
      <w:start w:val="1"/>
      <w:numFmt w:val="bullet"/>
      <w:lvlText w:val=""/>
      <w:lvlJc w:val="left"/>
      <w:pPr>
        <w:tabs>
          <w:tab w:val="num" w:pos="5040"/>
        </w:tabs>
        <w:ind w:left="5040" w:hanging="360"/>
      </w:pPr>
      <w:rPr>
        <w:rFonts w:ascii="Symbol" w:hAnsi="Symbol" w:hint="default"/>
      </w:rPr>
    </w:lvl>
    <w:lvl w:ilvl="7" w:tplc="E3FE081C" w:tentative="1">
      <w:start w:val="1"/>
      <w:numFmt w:val="bullet"/>
      <w:lvlText w:val="o"/>
      <w:lvlJc w:val="left"/>
      <w:pPr>
        <w:tabs>
          <w:tab w:val="num" w:pos="5760"/>
        </w:tabs>
        <w:ind w:left="5760" w:hanging="360"/>
      </w:pPr>
      <w:rPr>
        <w:rFonts w:ascii="Courier New" w:hAnsi="Courier New" w:cs="Consolas" w:hint="default"/>
      </w:rPr>
    </w:lvl>
    <w:lvl w:ilvl="8" w:tplc="97ECA8CA" w:tentative="1">
      <w:start w:val="1"/>
      <w:numFmt w:val="bullet"/>
      <w:lvlText w:val=""/>
      <w:lvlJc w:val="left"/>
      <w:pPr>
        <w:tabs>
          <w:tab w:val="num" w:pos="6480"/>
        </w:tabs>
        <w:ind w:left="6480" w:hanging="360"/>
      </w:pPr>
      <w:rPr>
        <w:rFonts w:ascii="Wingdings" w:hAnsi="Wingdings" w:hint="default"/>
      </w:rPr>
    </w:lvl>
  </w:abstractNum>
  <w:abstractNum w:abstractNumId="6">
    <w:nsid w:val="066629DD"/>
    <w:multiLevelType w:val="multilevel"/>
    <w:tmpl w:val="38BCE3A8"/>
    <w:lvl w:ilvl="0">
      <w:start w:val="1"/>
      <w:numFmt w:val="lowerLetter"/>
      <w:pStyle w:val="IPPSubheadNumber"/>
      <w:lvlText w:val="(%1)"/>
      <w:lvlJc w:val="left"/>
      <w:pPr>
        <w:tabs>
          <w:tab w:val="num" w:pos="3240"/>
        </w:tabs>
        <w:ind w:left="3240" w:hanging="720"/>
      </w:pPr>
      <w:rPr>
        <w:rFonts w:hint="default"/>
      </w:rPr>
    </w:lvl>
    <w:lvl w:ilvl="1">
      <w:start w:val="1"/>
      <w:numFmt w:val="lowerLetter"/>
      <w:lvlText w:val="%2."/>
      <w:lvlJc w:val="left"/>
      <w:pPr>
        <w:tabs>
          <w:tab w:val="num" w:pos="3600"/>
        </w:tabs>
        <w:ind w:left="3600" w:hanging="360"/>
      </w:pPr>
      <w:rPr>
        <w:rFonts w:hint="default"/>
      </w:rPr>
    </w:lvl>
    <w:lvl w:ilvl="2">
      <w:start w:val="1"/>
      <w:numFmt w:val="lowerRoman"/>
      <w:lvlText w:val="%3."/>
      <w:lvlJc w:val="right"/>
      <w:pPr>
        <w:tabs>
          <w:tab w:val="num" w:pos="4320"/>
        </w:tabs>
        <w:ind w:left="4320" w:hanging="180"/>
      </w:pPr>
      <w:rPr>
        <w:rFonts w:hint="default"/>
      </w:rPr>
    </w:lvl>
    <w:lvl w:ilvl="3">
      <w:start w:val="1"/>
      <w:numFmt w:val="decimal"/>
      <w:lvlText w:val="%4."/>
      <w:lvlJc w:val="left"/>
      <w:pPr>
        <w:tabs>
          <w:tab w:val="num" w:pos="5040"/>
        </w:tabs>
        <w:ind w:left="5040" w:hanging="360"/>
      </w:pPr>
      <w:rPr>
        <w:rFonts w:hint="default"/>
      </w:rPr>
    </w:lvl>
    <w:lvl w:ilvl="4">
      <w:start w:val="1"/>
      <w:numFmt w:val="lowerLetter"/>
      <w:lvlText w:val="%5."/>
      <w:lvlJc w:val="left"/>
      <w:pPr>
        <w:tabs>
          <w:tab w:val="num" w:pos="5760"/>
        </w:tabs>
        <w:ind w:left="5760" w:hanging="360"/>
      </w:pPr>
      <w:rPr>
        <w:rFonts w:hint="default"/>
      </w:rPr>
    </w:lvl>
    <w:lvl w:ilvl="5">
      <w:start w:val="1"/>
      <w:numFmt w:val="lowerRoman"/>
      <w:lvlText w:val="%6."/>
      <w:lvlJc w:val="right"/>
      <w:pPr>
        <w:tabs>
          <w:tab w:val="num" w:pos="6480"/>
        </w:tabs>
        <w:ind w:left="6480" w:hanging="180"/>
      </w:pPr>
      <w:rPr>
        <w:rFonts w:hint="default"/>
      </w:rPr>
    </w:lvl>
    <w:lvl w:ilvl="6">
      <w:start w:val="1"/>
      <w:numFmt w:val="decimal"/>
      <w:lvlText w:val="%7."/>
      <w:lvlJc w:val="left"/>
      <w:pPr>
        <w:tabs>
          <w:tab w:val="num" w:pos="7200"/>
        </w:tabs>
        <w:ind w:left="7200" w:hanging="360"/>
      </w:pPr>
      <w:rPr>
        <w:rFonts w:hint="default"/>
      </w:rPr>
    </w:lvl>
    <w:lvl w:ilvl="7">
      <w:start w:val="1"/>
      <w:numFmt w:val="lowerLetter"/>
      <w:lvlText w:val="%8."/>
      <w:lvlJc w:val="left"/>
      <w:pPr>
        <w:tabs>
          <w:tab w:val="num" w:pos="7920"/>
        </w:tabs>
        <w:ind w:left="7920" w:hanging="360"/>
      </w:pPr>
      <w:rPr>
        <w:rFonts w:hint="default"/>
      </w:rPr>
    </w:lvl>
    <w:lvl w:ilvl="8">
      <w:start w:val="1"/>
      <w:numFmt w:val="lowerRoman"/>
      <w:lvlText w:val="%9."/>
      <w:lvlJc w:val="right"/>
      <w:pPr>
        <w:tabs>
          <w:tab w:val="num" w:pos="8640"/>
        </w:tabs>
        <w:ind w:left="8640" w:hanging="180"/>
      </w:pPr>
      <w:rPr>
        <w:rFonts w:hint="default"/>
      </w:rPr>
    </w:lvl>
  </w:abstractNum>
  <w:abstractNum w:abstractNumId="7">
    <w:nsid w:val="067730E7"/>
    <w:multiLevelType w:val="hybridMultilevel"/>
    <w:tmpl w:val="901CFCE4"/>
    <w:lvl w:ilvl="0" w:tplc="EDAEDC90">
      <w:start w:val="1"/>
      <w:numFmt w:val="bullet"/>
      <w:pStyle w:val="IPPHeadSection"/>
      <w:lvlText w:val=""/>
      <w:lvlJc w:val="left"/>
      <w:pPr>
        <w:tabs>
          <w:tab w:val="num" w:pos="720"/>
        </w:tabs>
        <w:ind w:left="720" w:hanging="360"/>
      </w:pPr>
      <w:rPr>
        <w:rFonts w:ascii="Symbol" w:hAnsi="Symbol" w:hint="default"/>
      </w:rPr>
    </w:lvl>
    <w:lvl w:ilvl="1" w:tplc="2B7CB54A" w:tentative="1">
      <w:start w:val="1"/>
      <w:numFmt w:val="bullet"/>
      <w:lvlText w:val="o"/>
      <w:lvlJc w:val="left"/>
      <w:pPr>
        <w:tabs>
          <w:tab w:val="num" w:pos="1440"/>
        </w:tabs>
        <w:ind w:left="1440" w:hanging="360"/>
      </w:pPr>
      <w:rPr>
        <w:rFonts w:ascii="Courier New" w:hAnsi="Courier New" w:cs="Consolas" w:hint="default"/>
      </w:rPr>
    </w:lvl>
    <w:lvl w:ilvl="2" w:tplc="7814FBA4" w:tentative="1">
      <w:start w:val="1"/>
      <w:numFmt w:val="bullet"/>
      <w:lvlText w:val=""/>
      <w:lvlJc w:val="left"/>
      <w:pPr>
        <w:tabs>
          <w:tab w:val="num" w:pos="2160"/>
        </w:tabs>
        <w:ind w:left="2160" w:hanging="360"/>
      </w:pPr>
      <w:rPr>
        <w:rFonts w:ascii="Wingdings" w:hAnsi="Wingdings" w:hint="default"/>
      </w:rPr>
    </w:lvl>
    <w:lvl w:ilvl="3" w:tplc="533CBB36" w:tentative="1">
      <w:start w:val="1"/>
      <w:numFmt w:val="bullet"/>
      <w:lvlText w:val=""/>
      <w:lvlJc w:val="left"/>
      <w:pPr>
        <w:tabs>
          <w:tab w:val="num" w:pos="2880"/>
        </w:tabs>
        <w:ind w:left="2880" w:hanging="360"/>
      </w:pPr>
      <w:rPr>
        <w:rFonts w:ascii="Symbol" w:hAnsi="Symbol" w:hint="default"/>
      </w:rPr>
    </w:lvl>
    <w:lvl w:ilvl="4" w:tplc="7AD231EA" w:tentative="1">
      <w:start w:val="1"/>
      <w:numFmt w:val="bullet"/>
      <w:lvlText w:val="o"/>
      <w:lvlJc w:val="left"/>
      <w:pPr>
        <w:tabs>
          <w:tab w:val="num" w:pos="3600"/>
        </w:tabs>
        <w:ind w:left="3600" w:hanging="360"/>
      </w:pPr>
      <w:rPr>
        <w:rFonts w:ascii="Courier New" w:hAnsi="Courier New" w:cs="Consolas" w:hint="default"/>
      </w:rPr>
    </w:lvl>
    <w:lvl w:ilvl="5" w:tplc="48D0B726" w:tentative="1">
      <w:start w:val="1"/>
      <w:numFmt w:val="bullet"/>
      <w:lvlText w:val=""/>
      <w:lvlJc w:val="left"/>
      <w:pPr>
        <w:tabs>
          <w:tab w:val="num" w:pos="4320"/>
        </w:tabs>
        <w:ind w:left="4320" w:hanging="360"/>
      </w:pPr>
      <w:rPr>
        <w:rFonts w:ascii="Wingdings" w:hAnsi="Wingdings" w:hint="default"/>
      </w:rPr>
    </w:lvl>
    <w:lvl w:ilvl="6" w:tplc="A7F62352" w:tentative="1">
      <w:start w:val="1"/>
      <w:numFmt w:val="bullet"/>
      <w:lvlText w:val=""/>
      <w:lvlJc w:val="left"/>
      <w:pPr>
        <w:tabs>
          <w:tab w:val="num" w:pos="5040"/>
        </w:tabs>
        <w:ind w:left="5040" w:hanging="360"/>
      </w:pPr>
      <w:rPr>
        <w:rFonts w:ascii="Symbol" w:hAnsi="Symbol" w:hint="default"/>
      </w:rPr>
    </w:lvl>
    <w:lvl w:ilvl="7" w:tplc="7BAAA722" w:tentative="1">
      <w:start w:val="1"/>
      <w:numFmt w:val="bullet"/>
      <w:lvlText w:val="o"/>
      <w:lvlJc w:val="left"/>
      <w:pPr>
        <w:tabs>
          <w:tab w:val="num" w:pos="5760"/>
        </w:tabs>
        <w:ind w:left="5760" w:hanging="360"/>
      </w:pPr>
      <w:rPr>
        <w:rFonts w:ascii="Courier New" w:hAnsi="Courier New" w:cs="Consolas" w:hint="default"/>
      </w:rPr>
    </w:lvl>
    <w:lvl w:ilvl="8" w:tplc="66CAAD94" w:tentative="1">
      <w:start w:val="1"/>
      <w:numFmt w:val="bullet"/>
      <w:lvlText w:val=""/>
      <w:lvlJc w:val="left"/>
      <w:pPr>
        <w:tabs>
          <w:tab w:val="num" w:pos="6480"/>
        </w:tabs>
        <w:ind w:left="6480" w:hanging="360"/>
      </w:pPr>
      <w:rPr>
        <w:rFonts w:ascii="Wingdings" w:hAnsi="Wingdings" w:hint="default"/>
      </w:rPr>
    </w:lvl>
  </w:abstractNum>
  <w:abstractNum w:abstractNumId="8">
    <w:nsid w:val="06784FB5"/>
    <w:multiLevelType w:val="hybridMultilevel"/>
    <w:tmpl w:val="54CA5C26"/>
    <w:name w:val="WW8Num1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E784EA9"/>
    <w:multiLevelType w:val="hybridMultilevel"/>
    <w:tmpl w:val="9224EA12"/>
    <w:lvl w:ilvl="0" w:tplc="0C09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FEA271A"/>
    <w:multiLevelType w:val="hybridMultilevel"/>
    <w:tmpl w:val="582AC184"/>
    <w:lvl w:ilvl="0" w:tplc="95A8E8C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0F54125"/>
    <w:multiLevelType w:val="hybridMultilevel"/>
    <w:tmpl w:val="C1B01A42"/>
    <w:lvl w:ilvl="0" w:tplc="C9E009DC">
      <w:start w:val="1"/>
      <w:numFmt w:val="bullet"/>
      <w:pStyle w:val="BoxSeqList1"/>
      <w:lvlText w:val=""/>
      <w:lvlJc w:val="left"/>
      <w:pPr>
        <w:tabs>
          <w:tab w:val="num" w:pos="720"/>
        </w:tabs>
        <w:ind w:left="720" w:hanging="360"/>
      </w:pPr>
      <w:rPr>
        <w:rFonts w:ascii="Symbol" w:hAnsi="Symbol" w:hint="default"/>
      </w:rPr>
    </w:lvl>
    <w:lvl w:ilvl="1" w:tplc="B0DA4A42" w:tentative="1">
      <w:start w:val="1"/>
      <w:numFmt w:val="bullet"/>
      <w:lvlText w:val="o"/>
      <w:lvlJc w:val="left"/>
      <w:pPr>
        <w:tabs>
          <w:tab w:val="num" w:pos="1440"/>
        </w:tabs>
        <w:ind w:left="1440" w:hanging="360"/>
      </w:pPr>
      <w:rPr>
        <w:rFonts w:ascii="Courier New" w:hAnsi="Courier New" w:cs="Consolas" w:hint="default"/>
      </w:rPr>
    </w:lvl>
    <w:lvl w:ilvl="2" w:tplc="21A88146" w:tentative="1">
      <w:start w:val="1"/>
      <w:numFmt w:val="bullet"/>
      <w:lvlText w:val=""/>
      <w:lvlJc w:val="left"/>
      <w:pPr>
        <w:tabs>
          <w:tab w:val="num" w:pos="2160"/>
        </w:tabs>
        <w:ind w:left="2160" w:hanging="360"/>
      </w:pPr>
      <w:rPr>
        <w:rFonts w:ascii="Wingdings" w:hAnsi="Wingdings" w:hint="default"/>
      </w:rPr>
    </w:lvl>
    <w:lvl w:ilvl="3" w:tplc="C6986F9C" w:tentative="1">
      <w:start w:val="1"/>
      <w:numFmt w:val="bullet"/>
      <w:lvlText w:val=""/>
      <w:lvlJc w:val="left"/>
      <w:pPr>
        <w:tabs>
          <w:tab w:val="num" w:pos="2880"/>
        </w:tabs>
        <w:ind w:left="2880" w:hanging="360"/>
      </w:pPr>
      <w:rPr>
        <w:rFonts w:ascii="Symbol" w:hAnsi="Symbol" w:hint="default"/>
      </w:rPr>
    </w:lvl>
    <w:lvl w:ilvl="4" w:tplc="53345EA6" w:tentative="1">
      <w:start w:val="1"/>
      <w:numFmt w:val="bullet"/>
      <w:lvlText w:val="o"/>
      <w:lvlJc w:val="left"/>
      <w:pPr>
        <w:tabs>
          <w:tab w:val="num" w:pos="3600"/>
        </w:tabs>
        <w:ind w:left="3600" w:hanging="360"/>
      </w:pPr>
      <w:rPr>
        <w:rFonts w:ascii="Courier New" w:hAnsi="Courier New" w:cs="Consolas" w:hint="default"/>
      </w:rPr>
    </w:lvl>
    <w:lvl w:ilvl="5" w:tplc="5F0A9A32" w:tentative="1">
      <w:start w:val="1"/>
      <w:numFmt w:val="bullet"/>
      <w:lvlText w:val=""/>
      <w:lvlJc w:val="left"/>
      <w:pPr>
        <w:tabs>
          <w:tab w:val="num" w:pos="4320"/>
        </w:tabs>
        <w:ind w:left="4320" w:hanging="360"/>
      </w:pPr>
      <w:rPr>
        <w:rFonts w:ascii="Wingdings" w:hAnsi="Wingdings" w:hint="default"/>
      </w:rPr>
    </w:lvl>
    <w:lvl w:ilvl="6" w:tplc="02F27FAE" w:tentative="1">
      <w:start w:val="1"/>
      <w:numFmt w:val="bullet"/>
      <w:lvlText w:val=""/>
      <w:lvlJc w:val="left"/>
      <w:pPr>
        <w:tabs>
          <w:tab w:val="num" w:pos="5040"/>
        </w:tabs>
        <w:ind w:left="5040" w:hanging="360"/>
      </w:pPr>
      <w:rPr>
        <w:rFonts w:ascii="Symbol" w:hAnsi="Symbol" w:hint="default"/>
      </w:rPr>
    </w:lvl>
    <w:lvl w:ilvl="7" w:tplc="D04A314E" w:tentative="1">
      <w:start w:val="1"/>
      <w:numFmt w:val="bullet"/>
      <w:lvlText w:val="o"/>
      <w:lvlJc w:val="left"/>
      <w:pPr>
        <w:tabs>
          <w:tab w:val="num" w:pos="5760"/>
        </w:tabs>
        <w:ind w:left="5760" w:hanging="360"/>
      </w:pPr>
      <w:rPr>
        <w:rFonts w:ascii="Courier New" w:hAnsi="Courier New" w:cs="Consolas" w:hint="default"/>
      </w:rPr>
    </w:lvl>
    <w:lvl w:ilvl="8" w:tplc="F2A0725E" w:tentative="1">
      <w:start w:val="1"/>
      <w:numFmt w:val="bullet"/>
      <w:lvlText w:val=""/>
      <w:lvlJc w:val="left"/>
      <w:pPr>
        <w:tabs>
          <w:tab w:val="num" w:pos="6480"/>
        </w:tabs>
        <w:ind w:left="6480" w:hanging="360"/>
      </w:pPr>
      <w:rPr>
        <w:rFonts w:ascii="Wingdings" w:hAnsi="Wingdings" w:hint="default"/>
      </w:rPr>
    </w:lvl>
  </w:abstractNum>
  <w:abstractNum w:abstractNumId="12">
    <w:nsid w:val="13AB4B41"/>
    <w:multiLevelType w:val="hybridMultilevel"/>
    <w:tmpl w:val="7E1ECB5E"/>
    <w:lvl w:ilvl="0" w:tplc="04964D0A">
      <w:start w:val="1"/>
      <w:numFmt w:val="lowerLetter"/>
      <w:pStyle w:val="IPPBullet1Last"/>
      <w:lvlText w:val="%1."/>
      <w:lvlJc w:val="left"/>
      <w:pPr>
        <w:ind w:left="1854" w:hanging="360"/>
      </w:pPr>
    </w:lvl>
    <w:lvl w:ilvl="1" w:tplc="E2AEDD66" w:tentative="1">
      <w:start w:val="1"/>
      <w:numFmt w:val="lowerLetter"/>
      <w:lvlText w:val="%2."/>
      <w:lvlJc w:val="left"/>
      <w:pPr>
        <w:ind w:left="2574" w:hanging="360"/>
      </w:pPr>
    </w:lvl>
    <w:lvl w:ilvl="2" w:tplc="40184B22" w:tentative="1">
      <w:start w:val="1"/>
      <w:numFmt w:val="lowerRoman"/>
      <w:lvlText w:val="%3."/>
      <w:lvlJc w:val="right"/>
      <w:pPr>
        <w:ind w:left="3294" w:hanging="180"/>
      </w:pPr>
    </w:lvl>
    <w:lvl w:ilvl="3" w:tplc="EF5A0A42" w:tentative="1">
      <w:start w:val="1"/>
      <w:numFmt w:val="decimal"/>
      <w:lvlText w:val="%4."/>
      <w:lvlJc w:val="left"/>
      <w:pPr>
        <w:ind w:left="4014" w:hanging="360"/>
      </w:pPr>
    </w:lvl>
    <w:lvl w:ilvl="4" w:tplc="FA44BC42" w:tentative="1">
      <w:start w:val="1"/>
      <w:numFmt w:val="lowerLetter"/>
      <w:lvlText w:val="%5."/>
      <w:lvlJc w:val="left"/>
      <w:pPr>
        <w:ind w:left="4734" w:hanging="360"/>
      </w:pPr>
    </w:lvl>
    <w:lvl w:ilvl="5" w:tplc="B17C73C4" w:tentative="1">
      <w:start w:val="1"/>
      <w:numFmt w:val="lowerRoman"/>
      <w:lvlText w:val="%6."/>
      <w:lvlJc w:val="right"/>
      <w:pPr>
        <w:ind w:left="5454" w:hanging="180"/>
      </w:pPr>
    </w:lvl>
    <w:lvl w:ilvl="6" w:tplc="BBD0B7A2" w:tentative="1">
      <w:start w:val="1"/>
      <w:numFmt w:val="decimal"/>
      <w:lvlText w:val="%7."/>
      <w:lvlJc w:val="left"/>
      <w:pPr>
        <w:ind w:left="6174" w:hanging="360"/>
      </w:pPr>
    </w:lvl>
    <w:lvl w:ilvl="7" w:tplc="31C60108" w:tentative="1">
      <w:start w:val="1"/>
      <w:numFmt w:val="lowerLetter"/>
      <w:lvlText w:val="%8."/>
      <w:lvlJc w:val="left"/>
      <w:pPr>
        <w:ind w:left="6894" w:hanging="360"/>
      </w:pPr>
    </w:lvl>
    <w:lvl w:ilvl="8" w:tplc="D3922874" w:tentative="1">
      <w:start w:val="1"/>
      <w:numFmt w:val="lowerRoman"/>
      <w:lvlText w:val="%9."/>
      <w:lvlJc w:val="right"/>
      <w:pPr>
        <w:ind w:left="7614" w:hanging="180"/>
      </w:pPr>
    </w:lvl>
  </w:abstractNum>
  <w:abstractNum w:abstractNumId="13">
    <w:nsid w:val="16224028"/>
    <w:multiLevelType w:val="hybridMultilevel"/>
    <w:tmpl w:val="C426730E"/>
    <w:lvl w:ilvl="0" w:tplc="496E5C9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9700701"/>
    <w:multiLevelType w:val="hybridMultilevel"/>
    <w:tmpl w:val="CA90A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A1C4AD3"/>
    <w:multiLevelType w:val="hybridMultilevel"/>
    <w:tmpl w:val="70746DF4"/>
    <w:lvl w:ilvl="0" w:tplc="10090017">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nsid w:val="1BF37907"/>
    <w:multiLevelType w:val="singleLevel"/>
    <w:tmpl w:val="04090001"/>
    <w:lvl w:ilvl="0">
      <w:start w:val="1"/>
      <w:numFmt w:val="bullet"/>
      <w:pStyle w:val="Box"/>
      <w:lvlText w:val=""/>
      <w:lvlJc w:val="left"/>
      <w:pPr>
        <w:tabs>
          <w:tab w:val="num" w:pos="720"/>
        </w:tabs>
        <w:ind w:left="720" w:hanging="360"/>
      </w:pPr>
      <w:rPr>
        <w:rFonts w:ascii="Symbol" w:hAnsi="Symbol" w:hint="default"/>
      </w:rPr>
    </w:lvl>
  </w:abstractNum>
  <w:abstractNum w:abstractNumId="17">
    <w:nsid w:val="1DF27C46"/>
    <w:multiLevelType w:val="hybridMultilevel"/>
    <w:tmpl w:val="D58AC1F4"/>
    <w:lvl w:ilvl="0" w:tplc="41944AB2">
      <w:start w:val="1"/>
      <w:numFmt w:val="bullet"/>
      <w:pStyle w:val="Section3numbered"/>
      <w:lvlText w:val=""/>
      <w:lvlJc w:val="left"/>
      <w:pPr>
        <w:tabs>
          <w:tab w:val="num" w:pos="720"/>
        </w:tabs>
        <w:ind w:left="720" w:hanging="360"/>
      </w:pPr>
      <w:rPr>
        <w:rFonts w:ascii="Symbol" w:hAnsi="Symbol" w:hint="default"/>
      </w:rPr>
    </w:lvl>
    <w:lvl w:ilvl="1" w:tplc="0AC47AFE" w:tentative="1">
      <w:start w:val="1"/>
      <w:numFmt w:val="bullet"/>
      <w:lvlText w:val="o"/>
      <w:lvlJc w:val="left"/>
      <w:pPr>
        <w:tabs>
          <w:tab w:val="num" w:pos="1440"/>
        </w:tabs>
        <w:ind w:left="1440" w:hanging="360"/>
      </w:pPr>
      <w:rPr>
        <w:rFonts w:ascii="Courier New" w:hAnsi="Courier New" w:cs="Consolas" w:hint="default"/>
      </w:rPr>
    </w:lvl>
    <w:lvl w:ilvl="2" w:tplc="FBE0714E" w:tentative="1">
      <w:start w:val="1"/>
      <w:numFmt w:val="bullet"/>
      <w:lvlText w:val=""/>
      <w:lvlJc w:val="left"/>
      <w:pPr>
        <w:tabs>
          <w:tab w:val="num" w:pos="2160"/>
        </w:tabs>
        <w:ind w:left="2160" w:hanging="360"/>
      </w:pPr>
      <w:rPr>
        <w:rFonts w:ascii="Wingdings" w:hAnsi="Wingdings" w:hint="default"/>
      </w:rPr>
    </w:lvl>
    <w:lvl w:ilvl="3" w:tplc="15D621B0" w:tentative="1">
      <w:start w:val="1"/>
      <w:numFmt w:val="bullet"/>
      <w:lvlText w:val=""/>
      <w:lvlJc w:val="left"/>
      <w:pPr>
        <w:tabs>
          <w:tab w:val="num" w:pos="2880"/>
        </w:tabs>
        <w:ind w:left="2880" w:hanging="360"/>
      </w:pPr>
      <w:rPr>
        <w:rFonts w:ascii="Symbol" w:hAnsi="Symbol" w:hint="default"/>
      </w:rPr>
    </w:lvl>
    <w:lvl w:ilvl="4" w:tplc="A844B542" w:tentative="1">
      <w:start w:val="1"/>
      <w:numFmt w:val="bullet"/>
      <w:lvlText w:val="o"/>
      <w:lvlJc w:val="left"/>
      <w:pPr>
        <w:tabs>
          <w:tab w:val="num" w:pos="3600"/>
        </w:tabs>
        <w:ind w:left="3600" w:hanging="360"/>
      </w:pPr>
      <w:rPr>
        <w:rFonts w:ascii="Courier New" w:hAnsi="Courier New" w:cs="Consolas" w:hint="default"/>
      </w:rPr>
    </w:lvl>
    <w:lvl w:ilvl="5" w:tplc="14844F18" w:tentative="1">
      <w:start w:val="1"/>
      <w:numFmt w:val="bullet"/>
      <w:lvlText w:val=""/>
      <w:lvlJc w:val="left"/>
      <w:pPr>
        <w:tabs>
          <w:tab w:val="num" w:pos="4320"/>
        </w:tabs>
        <w:ind w:left="4320" w:hanging="360"/>
      </w:pPr>
      <w:rPr>
        <w:rFonts w:ascii="Wingdings" w:hAnsi="Wingdings" w:hint="default"/>
      </w:rPr>
    </w:lvl>
    <w:lvl w:ilvl="6" w:tplc="BF56D5EE" w:tentative="1">
      <w:start w:val="1"/>
      <w:numFmt w:val="bullet"/>
      <w:lvlText w:val=""/>
      <w:lvlJc w:val="left"/>
      <w:pPr>
        <w:tabs>
          <w:tab w:val="num" w:pos="5040"/>
        </w:tabs>
        <w:ind w:left="5040" w:hanging="360"/>
      </w:pPr>
      <w:rPr>
        <w:rFonts w:ascii="Symbol" w:hAnsi="Symbol" w:hint="default"/>
      </w:rPr>
    </w:lvl>
    <w:lvl w:ilvl="7" w:tplc="8392D59E" w:tentative="1">
      <w:start w:val="1"/>
      <w:numFmt w:val="bullet"/>
      <w:lvlText w:val="o"/>
      <w:lvlJc w:val="left"/>
      <w:pPr>
        <w:tabs>
          <w:tab w:val="num" w:pos="5760"/>
        </w:tabs>
        <w:ind w:left="5760" w:hanging="360"/>
      </w:pPr>
      <w:rPr>
        <w:rFonts w:ascii="Courier New" w:hAnsi="Courier New" w:cs="Consolas" w:hint="default"/>
      </w:rPr>
    </w:lvl>
    <w:lvl w:ilvl="8" w:tplc="A782A3C4" w:tentative="1">
      <w:start w:val="1"/>
      <w:numFmt w:val="bullet"/>
      <w:lvlText w:val=""/>
      <w:lvlJc w:val="left"/>
      <w:pPr>
        <w:tabs>
          <w:tab w:val="num" w:pos="6480"/>
        </w:tabs>
        <w:ind w:left="6480" w:hanging="360"/>
      </w:pPr>
      <w:rPr>
        <w:rFonts w:ascii="Wingdings" w:hAnsi="Wingdings" w:hint="default"/>
      </w:rPr>
    </w:lvl>
  </w:abstractNum>
  <w:abstractNum w:abstractNumId="18">
    <w:nsid w:val="1EEA21A5"/>
    <w:multiLevelType w:val="multilevel"/>
    <w:tmpl w:val="1EF87CA6"/>
    <w:lvl w:ilvl="0">
      <w:start w:val="1"/>
      <w:numFmt w:val="bullet"/>
      <w:pStyle w:val="Bulletsnumberedintable"/>
      <w:lvlText w:val=""/>
      <w:lvlJc w:val="left"/>
      <w:pPr>
        <w:tabs>
          <w:tab w:val="num" w:pos="539"/>
        </w:tabs>
        <w:ind w:left="539" w:hanging="539"/>
      </w:pPr>
      <w:rPr>
        <w:rFonts w:ascii="Symbol" w:hAnsi="Symbol" w:cs="Symbol" w:hint="default"/>
        <w:sz w:val="18"/>
        <w:szCs w:val="18"/>
      </w:rPr>
    </w:lvl>
    <w:lvl w:ilvl="1">
      <w:start w:val="1"/>
      <w:numFmt w:val="bullet"/>
      <w:lvlText w:val=""/>
      <w:lvlJc w:val="left"/>
      <w:pPr>
        <w:tabs>
          <w:tab w:val="num" w:pos="765"/>
        </w:tabs>
        <w:ind w:left="765" w:hanging="198"/>
      </w:pPr>
      <w:rPr>
        <w:rFonts w:ascii="Symbol" w:hAnsi="Symbol" w:cs="Symbol" w:hint="default"/>
        <w:sz w:val="18"/>
        <w:szCs w:val="18"/>
      </w:rPr>
    </w:lvl>
    <w:lvl w:ilvl="2">
      <w:start w:val="1"/>
      <w:numFmt w:val="bullet"/>
      <w:lvlText w:val=""/>
      <w:lvlJc w:val="left"/>
      <w:pPr>
        <w:tabs>
          <w:tab w:val="num" w:pos="2160"/>
        </w:tabs>
        <w:ind w:left="2160" w:hanging="360"/>
      </w:pPr>
      <w:rPr>
        <w:rFonts w:ascii="Wingdings" w:hAnsi="Wingdings" w:cs="ArialUnicodeM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ArialUnicodeMS" w:hint="default"/>
      </w:rPr>
    </w:lvl>
    <w:lvl w:ilvl="5">
      <w:start w:val="1"/>
      <w:numFmt w:val="bullet"/>
      <w:lvlText w:val=""/>
      <w:lvlJc w:val="left"/>
      <w:pPr>
        <w:tabs>
          <w:tab w:val="num" w:pos="4320"/>
        </w:tabs>
        <w:ind w:left="4320" w:hanging="360"/>
      </w:pPr>
      <w:rPr>
        <w:rFonts w:ascii="Wingdings" w:hAnsi="Wingdings" w:cs="ArialUnicodeM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ArialUnicodeMS" w:hint="default"/>
      </w:rPr>
    </w:lvl>
    <w:lvl w:ilvl="8">
      <w:start w:val="1"/>
      <w:numFmt w:val="bullet"/>
      <w:lvlText w:val=""/>
      <w:lvlJc w:val="left"/>
      <w:pPr>
        <w:tabs>
          <w:tab w:val="num" w:pos="6480"/>
        </w:tabs>
        <w:ind w:left="6480" w:hanging="360"/>
      </w:pPr>
      <w:rPr>
        <w:rFonts w:ascii="Wingdings" w:hAnsi="Wingdings" w:cs="ArialUnicodeMS" w:hint="default"/>
      </w:rPr>
    </w:lvl>
  </w:abstractNum>
  <w:abstractNum w:abstractNumId="19">
    <w:nsid w:val="22682942"/>
    <w:multiLevelType w:val="multilevel"/>
    <w:tmpl w:val="C89C9FF0"/>
    <w:lvl w:ilvl="0">
      <w:start w:val="1"/>
      <w:numFmt w:val="decimal"/>
      <w:pStyle w:val="BlankLine"/>
      <w:lvlText w:val="%1."/>
      <w:lvlJc w:val="left"/>
      <w:pPr>
        <w:tabs>
          <w:tab w:val="num" w:pos="360"/>
        </w:tabs>
        <w:ind w:left="360" w:hanging="360"/>
      </w:pPr>
    </w:lvl>
    <w:lvl w:ilvl="1">
      <w:start w:val="1"/>
      <w:numFmt w:val="lowerLetter"/>
      <w:pStyle w:val="SeqListLev1"/>
      <w:lvlText w:val="%2."/>
      <w:lvlJc w:val="left"/>
      <w:pPr>
        <w:tabs>
          <w:tab w:val="num" w:pos="1080"/>
        </w:tabs>
        <w:ind w:left="1080" w:hanging="360"/>
      </w:pPr>
    </w:lvl>
    <w:lvl w:ilvl="2">
      <w:start w:val="1"/>
      <w:numFmt w:val="lowerRoman"/>
      <w:pStyle w:val="SeqListLev2"/>
      <w:lvlText w:val="%3."/>
      <w:lvlJc w:val="right"/>
      <w:pPr>
        <w:tabs>
          <w:tab w:val="num" w:pos="1800"/>
        </w:tabs>
        <w:ind w:left="1800" w:hanging="180"/>
      </w:pPr>
    </w:lvl>
    <w:lvl w:ilvl="3">
      <w:start w:val="1"/>
      <w:numFmt w:val="decimal"/>
      <w:pStyle w:val="SeqListLev3"/>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nsid w:val="24DC3E23"/>
    <w:multiLevelType w:val="multilevel"/>
    <w:tmpl w:val="F1E8F132"/>
    <w:lvl w:ilvl="0">
      <w:start w:val="1"/>
      <w:numFmt w:val="bullet"/>
      <w:pStyle w:val="IPPNumberSubhead"/>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nsola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nsola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nsolas"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26E60C83"/>
    <w:multiLevelType w:val="multilevel"/>
    <w:tmpl w:val="AA481282"/>
    <w:lvl w:ilvl="0">
      <w:numFmt w:val="bullet"/>
      <w:pStyle w:val="IPPIndentClose"/>
      <w:lvlText w:val="-"/>
      <w:lvlJc w:val="left"/>
      <w:pPr>
        <w:tabs>
          <w:tab w:val="num" w:pos="720"/>
        </w:tabs>
        <w:ind w:left="720" w:hanging="360"/>
      </w:pPr>
      <w:rPr>
        <w:rFonts w:ascii="Arial" w:eastAsia="Times New Roman" w:hAnsi="Arial" w:cs="Arial" w:hint="default"/>
        <w:b/>
      </w:rPr>
    </w:lvl>
    <w:lvl w:ilvl="1">
      <w:start w:val="1"/>
      <w:numFmt w:val="bullet"/>
      <w:lvlText w:val="o"/>
      <w:lvlJc w:val="left"/>
      <w:pPr>
        <w:tabs>
          <w:tab w:val="num" w:pos="1440"/>
        </w:tabs>
        <w:ind w:left="1440" w:hanging="360"/>
      </w:pPr>
      <w:rPr>
        <w:rFonts w:ascii="Courier New" w:hAnsi="Courier New" w:cs="Consola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nsola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nsolas"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27065027"/>
    <w:multiLevelType w:val="hybridMultilevel"/>
    <w:tmpl w:val="3F62E1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27483E3B"/>
    <w:multiLevelType w:val="multilevel"/>
    <w:tmpl w:val="2CA8847C"/>
    <w:lvl w:ilvl="0">
      <w:start w:val="1"/>
      <w:numFmt w:val="decimal"/>
      <w:pStyle w:val="Thesisheading1"/>
      <w:lvlText w:val="1.%1"/>
      <w:lvlJc w:val="left"/>
      <w:pPr>
        <w:tabs>
          <w:tab w:val="num" w:pos="720"/>
        </w:tabs>
        <w:ind w:left="720" w:hanging="720"/>
      </w:pPr>
      <w:rPr>
        <w:rFonts w:hint="default"/>
      </w:rPr>
    </w:lvl>
    <w:lvl w:ilvl="1">
      <w:start w:val="1"/>
      <w:numFmt w:val="decimal"/>
      <w:lvlText w:val="%1.%2.1"/>
      <w:lvlJc w:val="left"/>
      <w:pPr>
        <w:tabs>
          <w:tab w:val="num" w:pos="720"/>
        </w:tabs>
        <w:ind w:left="720" w:hanging="720"/>
      </w:pPr>
      <w:rPr>
        <w:rFonts w:hint="default"/>
      </w:rPr>
    </w:lvl>
    <w:lvl w:ilvl="2">
      <w:start w:val="1"/>
      <w:numFmt w:val="lowerLetter"/>
      <w:pStyle w:val="Thesisheading4"/>
      <w:lvlText w:val="(%3)"/>
      <w:lvlJc w:val="left"/>
      <w:pPr>
        <w:tabs>
          <w:tab w:val="num" w:pos="720"/>
        </w:tabs>
        <w:ind w:left="720" w:hanging="720"/>
      </w:pPr>
      <w:rPr>
        <w:rFonts w:hint="default"/>
      </w:rPr>
    </w:lvl>
    <w:lvl w:ilvl="3">
      <w:start w:val="1"/>
      <w:numFmt w:val="none"/>
      <w:suff w:val="nothing"/>
      <w:lvlText w:val=""/>
      <w:lvlJc w:val="left"/>
      <w:pPr>
        <w:ind w:left="0" w:firstLine="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nsid w:val="286617E9"/>
    <w:multiLevelType w:val="hybridMultilevel"/>
    <w:tmpl w:val="09F2EEE6"/>
    <w:lvl w:ilvl="0" w:tplc="93942E1E">
      <w:start w:val="1"/>
      <w:numFmt w:val="bullet"/>
      <w:pStyle w:val="IPPBullet1"/>
      <w:lvlText w:val=""/>
      <w:lvlJc w:val="left"/>
      <w:pPr>
        <w:tabs>
          <w:tab w:val="num" w:pos="720"/>
        </w:tabs>
        <w:ind w:left="720" w:hanging="360"/>
      </w:pPr>
      <w:rPr>
        <w:rFonts w:ascii="Symbol" w:hAnsi="Symbol" w:hint="default"/>
      </w:rPr>
    </w:lvl>
    <w:lvl w:ilvl="1" w:tplc="790C445A">
      <w:start w:val="1"/>
      <w:numFmt w:val="bullet"/>
      <w:lvlText w:val="o"/>
      <w:lvlJc w:val="left"/>
      <w:pPr>
        <w:tabs>
          <w:tab w:val="num" w:pos="1440"/>
        </w:tabs>
        <w:ind w:left="1440" w:hanging="360"/>
      </w:pPr>
      <w:rPr>
        <w:rFonts w:ascii="Courier New" w:hAnsi="Courier New" w:cs="Consolas" w:hint="default"/>
      </w:rPr>
    </w:lvl>
    <w:lvl w:ilvl="2" w:tplc="AD42556A">
      <w:start w:val="1"/>
      <w:numFmt w:val="decimal"/>
      <w:lvlText w:val="%3."/>
      <w:lvlJc w:val="left"/>
      <w:pPr>
        <w:tabs>
          <w:tab w:val="num" w:pos="2160"/>
        </w:tabs>
        <w:ind w:left="2160" w:hanging="360"/>
      </w:pPr>
    </w:lvl>
    <w:lvl w:ilvl="3" w:tplc="34FCFE2E">
      <w:start w:val="1"/>
      <w:numFmt w:val="decimal"/>
      <w:lvlText w:val="%4."/>
      <w:lvlJc w:val="left"/>
      <w:pPr>
        <w:tabs>
          <w:tab w:val="num" w:pos="2880"/>
        </w:tabs>
        <w:ind w:left="2880" w:hanging="360"/>
      </w:pPr>
    </w:lvl>
    <w:lvl w:ilvl="4" w:tplc="BC385A72">
      <w:start w:val="1"/>
      <w:numFmt w:val="decimal"/>
      <w:lvlText w:val="%5."/>
      <w:lvlJc w:val="left"/>
      <w:pPr>
        <w:tabs>
          <w:tab w:val="num" w:pos="3600"/>
        </w:tabs>
        <w:ind w:left="3600" w:hanging="360"/>
      </w:pPr>
    </w:lvl>
    <w:lvl w:ilvl="5" w:tplc="22A0BFE4">
      <w:start w:val="1"/>
      <w:numFmt w:val="decimal"/>
      <w:lvlText w:val="%6."/>
      <w:lvlJc w:val="left"/>
      <w:pPr>
        <w:tabs>
          <w:tab w:val="num" w:pos="4320"/>
        </w:tabs>
        <w:ind w:left="4320" w:hanging="360"/>
      </w:pPr>
    </w:lvl>
    <w:lvl w:ilvl="6" w:tplc="14B4819A">
      <w:start w:val="1"/>
      <w:numFmt w:val="decimal"/>
      <w:lvlText w:val="%7."/>
      <w:lvlJc w:val="left"/>
      <w:pPr>
        <w:tabs>
          <w:tab w:val="num" w:pos="5040"/>
        </w:tabs>
        <w:ind w:left="5040" w:hanging="360"/>
      </w:pPr>
    </w:lvl>
    <w:lvl w:ilvl="7" w:tplc="7BCEEECA">
      <w:start w:val="1"/>
      <w:numFmt w:val="decimal"/>
      <w:lvlText w:val="%8."/>
      <w:lvlJc w:val="left"/>
      <w:pPr>
        <w:tabs>
          <w:tab w:val="num" w:pos="5760"/>
        </w:tabs>
        <w:ind w:left="5760" w:hanging="360"/>
      </w:pPr>
    </w:lvl>
    <w:lvl w:ilvl="8" w:tplc="3A6A5B8C">
      <w:start w:val="1"/>
      <w:numFmt w:val="decimal"/>
      <w:lvlText w:val="%9."/>
      <w:lvlJc w:val="left"/>
      <w:pPr>
        <w:tabs>
          <w:tab w:val="num" w:pos="6480"/>
        </w:tabs>
        <w:ind w:left="6480" w:hanging="360"/>
      </w:pPr>
    </w:lvl>
  </w:abstractNum>
  <w:abstractNum w:abstractNumId="25">
    <w:nsid w:val="2869746C"/>
    <w:multiLevelType w:val="hybridMultilevel"/>
    <w:tmpl w:val="235020DA"/>
    <w:lvl w:ilvl="0" w:tplc="AEF8D51C">
      <w:start w:val="1"/>
      <w:numFmt w:val="bullet"/>
      <w:pStyle w:val="BasicParagraph"/>
      <w:lvlText w:val=""/>
      <w:lvlJc w:val="left"/>
      <w:pPr>
        <w:tabs>
          <w:tab w:val="num" w:pos="720"/>
        </w:tabs>
        <w:ind w:left="720" w:hanging="360"/>
      </w:pPr>
      <w:rPr>
        <w:rFonts w:ascii="Symbol" w:hAnsi="Symbol" w:hint="default"/>
      </w:rPr>
    </w:lvl>
    <w:lvl w:ilvl="1" w:tplc="3EF22854" w:tentative="1">
      <w:start w:val="1"/>
      <w:numFmt w:val="bullet"/>
      <w:lvlText w:val="o"/>
      <w:lvlJc w:val="left"/>
      <w:pPr>
        <w:tabs>
          <w:tab w:val="num" w:pos="1440"/>
        </w:tabs>
        <w:ind w:left="1440" w:hanging="360"/>
      </w:pPr>
      <w:rPr>
        <w:rFonts w:ascii="Courier New" w:hAnsi="Courier New" w:cs="Consolas" w:hint="default"/>
      </w:rPr>
    </w:lvl>
    <w:lvl w:ilvl="2" w:tplc="7280F928" w:tentative="1">
      <w:start w:val="1"/>
      <w:numFmt w:val="bullet"/>
      <w:lvlText w:val=""/>
      <w:lvlJc w:val="left"/>
      <w:pPr>
        <w:tabs>
          <w:tab w:val="num" w:pos="2160"/>
        </w:tabs>
        <w:ind w:left="2160" w:hanging="360"/>
      </w:pPr>
      <w:rPr>
        <w:rFonts w:ascii="Wingdings" w:hAnsi="Wingdings" w:hint="default"/>
      </w:rPr>
    </w:lvl>
    <w:lvl w:ilvl="3" w:tplc="FDE4CDF2" w:tentative="1">
      <w:start w:val="1"/>
      <w:numFmt w:val="bullet"/>
      <w:lvlText w:val=""/>
      <w:lvlJc w:val="left"/>
      <w:pPr>
        <w:tabs>
          <w:tab w:val="num" w:pos="2880"/>
        </w:tabs>
        <w:ind w:left="2880" w:hanging="360"/>
      </w:pPr>
      <w:rPr>
        <w:rFonts w:ascii="Symbol" w:hAnsi="Symbol" w:hint="default"/>
      </w:rPr>
    </w:lvl>
    <w:lvl w:ilvl="4" w:tplc="38C2FABE" w:tentative="1">
      <w:start w:val="1"/>
      <w:numFmt w:val="bullet"/>
      <w:lvlText w:val="o"/>
      <w:lvlJc w:val="left"/>
      <w:pPr>
        <w:tabs>
          <w:tab w:val="num" w:pos="3600"/>
        </w:tabs>
        <w:ind w:left="3600" w:hanging="360"/>
      </w:pPr>
      <w:rPr>
        <w:rFonts w:ascii="Courier New" w:hAnsi="Courier New" w:cs="Consolas" w:hint="default"/>
      </w:rPr>
    </w:lvl>
    <w:lvl w:ilvl="5" w:tplc="D7600742" w:tentative="1">
      <w:start w:val="1"/>
      <w:numFmt w:val="bullet"/>
      <w:lvlText w:val=""/>
      <w:lvlJc w:val="left"/>
      <w:pPr>
        <w:tabs>
          <w:tab w:val="num" w:pos="4320"/>
        </w:tabs>
        <w:ind w:left="4320" w:hanging="360"/>
      </w:pPr>
      <w:rPr>
        <w:rFonts w:ascii="Wingdings" w:hAnsi="Wingdings" w:hint="default"/>
      </w:rPr>
    </w:lvl>
    <w:lvl w:ilvl="6" w:tplc="F1E462EC" w:tentative="1">
      <w:start w:val="1"/>
      <w:numFmt w:val="bullet"/>
      <w:lvlText w:val=""/>
      <w:lvlJc w:val="left"/>
      <w:pPr>
        <w:tabs>
          <w:tab w:val="num" w:pos="5040"/>
        </w:tabs>
        <w:ind w:left="5040" w:hanging="360"/>
      </w:pPr>
      <w:rPr>
        <w:rFonts w:ascii="Symbol" w:hAnsi="Symbol" w:hint="default"/>
      </w:rPr>
    </w:lvl>
    <w:lvl w:ilvl="7" w:tplc="8D5A16B4" w:tentative="1">
      <w:start w:val="1"/>
      <w:numFmt w:val="bullet"/>
      <w:lvlText w:val="o"/>
      <w:lvlJc w:val="left"/>
      <w:pPr>
        <w:tabs>
          <w:tab w:val="num" w:pos="5760"/>
        </w:tabs>
        <w:ind w:left="5760" w:hanging="360"/>
      </w:pPr>
      <w:rPr>
        <w:rFonts w:ascii="Courier New" w:hAnsi="Courier New" w:cs="Consolas" w:hint="default"/>
      </w:rPr>
    </w:lvl>
    <w:lvl w:ilvl="8" w:tplc="5DBC7710" w:tentative="1">
      <w:start w:val="1"/>
      <w:numFmt w:val="bullet"/>
      <w:lvlText w:val=""/>
      <w:lvlJc w:val="left"/>
      <w:pPr>
        <w:tabs>
          <w:tab w:val="num" w:pos="6480"/>
        </w:tabs>
        <w:ind w:left="6480" w:hanging="360"/>
      </w:pPr>
      <w:rPr>
        <w:rFonts w:ascii="Wingdings" w:hAnsi="Wingdings" w:hint="default"/>
      </w:rPr>
    </w:lvl>
  </w:abstractNum>
  <w:abstractNum w:abstractNumId="26">
    <w:nsid w:val="2990330D"/>
    <w:multiLevelType w:val="hybridMultilevel"/>
    <w:tmpl w:val="8B92EB8E"/>
    <w:lvl w:ilvl="0" w:tplc="A844B96A">
      <w:start w:val="1"/>
      <w:numFmt w:val="bullet"/>
      <w:pStyle w:val="BoxSeqList3"/>
      <w:lvlText w:val=""/>
      <w:lvlJc w:val="left"/>
      <w:pPr>
        <w:tabs>
          <w:tab w:val="num" w:pos="720"/>
        </w:tabs>
        <w:ind w:left="720" w:hanging="360"/>
      </w:pPr>
      <w:rPr>
        <w:rFonts w:ascii="Symbol" w:hAnsi="Symbol" w:hint="default"/>
      </w:rPr>
    </w:lvl>
    <w:lvl w:ilvl="1" w:tplc="9BC2F584" w:tentative="1">
      <w:start w:val="1"/>
      <w:numFmt w:val="bullet"/>
      <w:lvlText w:val="o"/>
      <w:lvlJc w:val="left"/>
      <w:pPr>
        <w:tabs>
          <w:tab w:val="num" w:pos="1440"/>
        </w:tabs>
        <w:ind w:left="1440" w:hanging="360"/>
      </w:pPr>
      <w:rPr>
        <w:rFonts w:ascii="Courier New" w:hAnsi="Courier New" w:cs="Consolas" w:hint="default"/>
      </w:rPr>
    </w:lvl>
    <w:lvl w:ilvl="2" w:tplc="54DCE6F2" w:tentative="1">
      <w:start w:val="1"/>
      <w:numFmt w:val="bullet"/>
      <w:lvlText w:val=""/>
      <w:lvlJc w:val="left"/>
      <w:pPr>
        <w:tabs>
          <w:tab w:val="num" w:pos="2160"/>
        </w:tabs>
        <w:ind w:left="2160" w:hanging="360"/>
      </w:pPr>
      <w:rPr>
        <w:rFonts w:ascii="Wingdings" w:hAnsi="Wingdings" w:hint="default"/>
      </w:rPr>
    </w:lvl>
    <w:lvl w:ilvl="3" w:tplc="6CFA0B66" w:tentative="1">
      <w:start w:val="1"/>
      <w:numFmt w:val="bullet"/>
      <w:lvlText w:val=""/>
      <w:lvlJc w:val="left"/>
      <w:pPr>
        <w:tabs>
          <w:tab w:val="num" w:pos="2880"/>
        </w:tabs>
        <w:ind w:left="2880" w:hanging="360"/>
      </w:pPr>
      <w:rPr>
        <w:rFonts w:ascii="Symbol" w:hAnsi="Symbol" w:hint="default"/>
      </w:rPr>
    </w:lvl>
    <w:lvl w:ilvl="4" w:tplc="9EC80C8E" w:tentative="1">
      <w:start w:val="1"/>
      <w:numFmt w:val="bullet"/>
      <w:lvlText w:val="o"/>
      <w:lvlJc w:val="left"/>
      <w:pPr>
        <w:tabs>
          <w:tab w:val="num" w:pos="3600"/>
        </w:tabs>
        <w:ind w:left="3600" w:hanging="360"/>
      </w:pPr>
      <w:rPr>
        <w:rFonts w:ascii="Courier New" w:hAnsi="Courier New" w:cs="Consolas" w:hint="default"/>
      </w:rPr>
    </w:lvl>
    <w:lvl w:ilvl="5" w:tplc="EFAACC36" w:tentative="1">
      <w:start w:val="1"/>
      <w:numFmt w:val="bullet"/>
      <w:lvlText w:val=""/>
      <w:lvlJc w:val="left"/>
      <w:pPr>
        <w:tabs>
          <w:tab w:val="num" w:pos="4320"/>
        </w:tabs>
        <w:ind w:left="4320" w:hanging="360"/>
      </w:pPr>
      <w:rPr>
        <w:rFonts w:ascii="Wingdings" w:hAnsi="Wingdings" w:hint="default"/>
      </w:rPr>
    </w:lvl>
    <w:lvl w:ilvl="6" w:tplc="E572EC80" w:tentative="1">
      <w:start w:val="1"/>
      <w:numFmt w:val="bullet"/>
      <w:lvlText w:val=""/>
      <w:lvlJc w:val="left"/>
      <w:pPr>
        <w:tabs>
          <w:tab w:val="num" w:pos="5040"/>
        </w:tabs>
        <w:ind w:left="5040" w:hanging="360"/>
      </w:pPr>
      <w:rPr>
        <w:rFonts w:ascii="Symbol" w:hAnsi="Symbol" w:hint="default"/>
      </w:rPr>
    </w:lvl>
    <w:lvl w:ilvl="7" w:tplc="6DC45B3C" w:tentative="1">
      <w:start w:val="1"/>
      <w:numFmt w:val="bullet"/>
      <w:lvlText w:val="o"/>
      <w:lvlJc w:val="left"/>
      <w:pPr>
        <w:tabs>
          <w:tab w:val="num" w:pos="5760"/>
        </w:tabs>
        <w:ind w:left="5760" w:hanging="360"/>
      </w:pPr>
      <w:rPr>
        <w:rFonts w:ascii="Courier New" w:hAnsi="Courier New" w:cs="Consolas" w:hint="default"/>
      </w:rPr>
    </w:lvl>
    <w:lvl w:ilvl="8" w:tplc="8B84DF42" w:tentative="1">
      <w:start w:val="1"/>
      <w:numFmt w:val="bullet"/>
      <w:lvlText w:val=""/>
      <w:lvlJc w:val="left"/>
      <w:pPr>
        <w:tabs>
          <w:tab w:val="num" w:pos="6480"/>
        </w:tabs>
        <w:ind w:left="6480" w:hanging="360"/>
      </w:pPr>
      <w:rPr>
        <w:rFonts w:ascii="Wingdings" w:hAnsi="Wingdings" w:hint="default"/>
      </w:rPr>
    </w:lvl>
  </w:abstractNum>
  <w:abstractNum w:abstractNumId="27">
    <w:nsid w:val="2A036878"/>
    <w:multiLevelType w:val="multilevel"/>
    <w:tmpl w:val="B45A9380"/>
    <w:lvl w:ilvl="0">
      <w:start w:val="1"/>
      <w:numFmt w:val="decimal"/>
      <w:lvlText w:val="%1."/>
      <w:lvlJc w:val="left"/>
      <w:pPr>
        <w:tabs>
          <w:tab w:val="num" w:pos="720"/>
        </w:tabs>
        <w:ind w:left="720" w:hanging="360"/>
      </w:pPr>
    </w:lvl>
    <w:lvl w:ilvl="1">
      <w:start w:val="3"/>
      <w:numFmt w:val="decimal"/>
      <w:isLgl/>
      <w:lvlText w:val="%1.%2"/>
      <w:lvlJc w:val="left"/>
      <w:pPr>
        <w:ind w:left="1065" w:hanging="705"/>
      </w:pPr>
      <w:rPr>
        <w:rFonts w:hint="default"/>
        <w:b/>
      </w:rPr>
    </w:lvl>
    <w:lvl w:ilvl="2">
      <w:start w:val="1"/>
      <w:numFmt w:val="decimal"/>
      <w:pStyle w:val="BoxSeqList2"/>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8">
    <w:nsid w:val="2E163DEC"/>
    <w:multiLevelType w:val="hybridMultilevel"/>
    <w:tmpl w:val="7ACC60A0"/>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nsid w:val="34501A57"/>
    <w:multiLevelType w:val="hybridMultilevel"/>
    <w:tmpl w:val="5B24FFB8"/>
    <w:lvl w:ilvl="0" w:tplc="721C2A1A">
      <w:start w:val="1"/>
      <w:numFmt w:val="decimal"/>
      <w:pStyle w:val="Bulletnumbered"/>
      <w:lvlText w:val="%1."/>
      <w:lvlJc w:val="left"/>
      <w:pPr>
        <w:ind w:left="1854" w:hanging="360"/>
      </w:pPr>
    </w:lvl>
    <w:lvl w:ilvl="1" w:tplc="9A02AD78" w:tentative="1">
      <w:start w:val="1"/>
      <w:numFmt w:val="lowerLetter"/>
      <w:lvlText w:val="%2."/>
      <w:lvlJc w:val="left"/>
      <w:pPr>
        <w:ind w:left="2574" w:hanging="360"/>
      </w:pPr>
    </w:lvl>
    <w:lvl w:ilvl="2" w:tplc="5FEA1EDC" w:tentative="1">
      <w:start w:val="1"/>
      <w:numFmt w:val="lowerRoman"/>
      <w:lvlText w:val="%3."/>
      <w:lvlJc w:val="right"/>
      <w:pPr>
        <w:ind w:left="3294" w:hanging="180"/>
      </w:pPr>
    </w:lvl>
    <w:lvl w:ilvl="3" w:tplc="3E2C8934" w:tentative="1">
      <w:start w:val="1"/>
      <w:numFmt w:val="decimal"/>
      <w:lvlText w:val="%4."/>
      <w:lvlJc w:val="left"/>
      <w:pPr>
        <w:ind w:left="4014" w:hanging="360"/>
      </w:pPr>
    </w:lvl>
    <w:lvl w:ilvl="4" w:tplc="332C7AA6" w:tentative="1">
      <w:start w:val="1"/>
      <w:numFmt w:val="lowerLetter"/>
      <w:lvlText w:val="%5."/>
      <w:lvlJc w:val="left"/>
      <w:pPr>
        <w:ind w:left="4734" w:hanging="360"/>
      </w:pPr>
    </w:lvl>
    <w:lvl w:ilvl="5" w:tplc="8D7A1C90" w:tentative="1">
      <w:start w:val="1"/>
      <w:numFmt w:val="lowerRoman"/>
      <w:lvlText w:val="%6."/>
      <w:lvlJc w:val="right"/>
      <w:pPr>
        <w:ind w:left="5454" w:hanging="180"/>
      </w:pPr>
    </w:lvl>
    <w:lvl w:ilvl="6" w:tplc="2F2C0594" w:tentative="1">
      <w:start w:val="1"/>
      <w:numFmt w:val="decimal"/>
      <w:lvlText w:val="%7."/>
      <w:lvlJc w:val="left"/>
      <w:pPr>
        <w:ind w:left="6174" w:hanging="360"/>
      </w:pPr>
    </w:lvl>
    <w:lvl w:ilvl="7" w:tplc="56508CE2" w:tentative="1">
      <w:start w:val="1"/>
      <w:numFmt w:val="lowerLetter"/>
      <w:lvlText w:val="%8."/>
      <w:lvlJc w:val="left"/>
      <w:pPr>
        <w:ind w:left="6894" w:hanging="360"/>
      </w:pPr>
    </w:lvl>
    <w:lvl w:ilvl="8" w:tplc="29FE73F8" w:tentative="1">
      <w:start w:val="1"/>
      <w:numFmt w:val="lowerRoman"/>
      <w:lvlText w:val="%9."/>
      <w:lvlJc w:val="right"/>
      <w:pPr>
        <w:ind w:left="7614" w:hanging="180"/>
      </w:pPr>
    </w:lvl>
  </w:abstractNum>
  <w:abstractNum w:abstractNumId="30">
    <w:nsid w:val="357E5B73"/>
    <w:multiLevelType w:val="hybridMultilevel"/>
    <w:tmpl w:val="048CBA6A"/>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1">
    <w:nsid w:val="36620CB5"/>
    <w:multiLevelType w:val="hybridMultilevel"/>
    <w:tmpl w:val="3BD4ABCC"/>
    <w:lvl w:ilvl="0" w:tplc="85626A0A">
      <w:start w:val="1"/>
      <w:numFmt w:val="bullet"/>
      <w:pStyle w:val="NewPara"/>
      <w:lvlText w:val=""/>
      <w:lvlJc w:val="left"/>
      <w:pPr>
        <w:tabs>
          <w:tab w:val="num" w:pos="720"/>
        </w:tabs>
        <w:ind w:left="720" w:hanging="360"/>
      </w:pPr>
      <w:rPr>
        <w:rFonts w:ascii="Symbol" w:hAnsi="Symbol" w:hint="default"/>
      </w:rPr>
    </w:lvl>
    <w:lvl w:ilvl="1" w:tplc="6C183E32" w:tentative="1">
      <w:start w:val="1"/>
      <w:numFmt w:val="bullet"/>
      <w:pStyle w:val="TableEntry"/>
      <w:lvlText w:val="o"/>
      <w:lvlJc w:val="left"/>
      <w:pPr>
        <w:tabs>
          <w:tab w:val="num" w:pos="1440"/>
        </w:tabs>
        <w:ind w:left="1440" w:hanging="360"/>
      </w:pPr>
      <w:rPr>
        <w:rFonts w:ascii="Courier New" w:hAnsi="Courier New" w:cs="Consolas" w:hint="default"/>
      </w:rPr>
    </w:lvl>
    <w:lvl w:ilvl="2" w:tplc="97341F44" w:tentative="1">
      <w:start w:val="1"/>
      <w:numFmt w:val="bullet"/>
      <w:pStyle w:val="CarCar"/>
      <w:lvlText w:val=""/>
      <w:lvlJc w:val="left"/>
      <w:pPr>
        <w:tabs>
          <w:tab w:val="num" w:pos="2160"/>
        </w:tabs>
        <w:ind w:left="2160" w:hanging="360"/>
      </w:pPr>
      <w:rPr>
        <w:rFonts w:ascii="Wingdings" w:hAnsi="Wingdings" w:hint="default"/>
      </w:rPr>
    </w:lvl>
    <w:lvl w:ilvl="3" w:tplc="E5F68E6A" w:tentative="1">
      <w:start w:val="1"/>
      <w:numFmt w:val="bullet"/>
      <w:pStyle w:val="BoxTitle"/>
      <w:lvlText w:val=""/>
      <w:lvlJc w:val="left"/>
      <w:pPr>
        <w:tabs>
          <w:tab w:val="num" w:pos="2880"/>
        </w:tabs>
        <w:ind w:left="2880" w:hanging="360"/>
      </w:pPr>
      <w:rPr>
        <w:rFonts w:ascii="Symbol" w:hAnsi="Symbol" w:hint="default"/>
      </w:rPr>
    </w:lvl>
    <w:lvl w:ilvl="4" w:tplc="E146B7B2" w:tentative="1">
      <w:start w:val="1"/>
      <w:numFmt w:val="bullet"/>
      <w:lvlText w:val="o"/>
      <w:lvlJc w:val="left"/>
      <w:pPr>
        <w:tabs>
          <w:tab w:val="num" w:pos="3600"/>
        </w:tabs>
        <w:ind w:left="3600" w:hanging="360"/>
      </w:pPr>
      <w:rPr>
        <w:rFonts w:ascii="Courier New" w:hAnsi="Courier New" w:cs="Consolas" w:hint="default"/>
      </w:rPr>
    </w:lvl>
    <w:lvl w:ilvl="5" w:tplc="CBA4E2D8" w:tentative="1">
      <w:start w:val="1"/>
      <w:numFmt w:val="bullet"/>
      <w:lvlText w:val=""/>
      <w:lvlJc w:val="left"/>
      <w:pPr>
        <w:tabs>
          <w:tab w:val="num" w:pos="4320"/>
        </w:tabs>
        <w:ind w:left="4320" w:hanging="360"/>
      </w:pPr>
      <w:rPr>
        <w:rFonts w:ascii="Wingdings" w:hAnsi="Wingdings" w:hint="default"/>
      </w:rPr>
    </w:lvl>
    <w:lvl w:ilvl="6" w:tplc="09961A4C" w:tentative="1">
      <w:start w:val="1"/>
      <w:numFmt w:val="bullet"/>
      <w:lvlText w:val=""/>
      <w:lvlJc w:val="left"/>
      <w:pPr>
        <w:tabs>
          <w:tab w:val="num" w:pos="5040"/>
        </w:tabs>
        <w:ind w:left="5040" w:hanging="360"/>
      </w:pPr>
      <w:rPr>
        <w:rFonts w:ascii="Symbol" w:hAnsi="Symbol" w:hint="default"/>
      </w:rPr>
    </w:lvl>
    <w:lvl w:ilvl="7" w:tplc="40CC5086" w:tentative="1">
      <w:start w:val="1"/>
      <w:numFmt w:val="bullet"/>
      <w:lvlText w:val="o"/>
      <w:lvlJc w:val="left"/>
      <w:pPr>
        <w:tabs>
          <w:tab w:val="num" w:pos="5760"/>
        </w:tabs>
        <w:ind w:left="5760" w:hanging="360"/>
      </w:pPr>
      <w:rPr>
        <w:rFonts w:ascii="Courier New" w:hAnsi="Courier New" w:cs="Consolas" w:hint="default"/>
      </w:rPr>
    </w:lvl>
    <w:lvl w:ilvl="8" w:tplc="923CB502" w:tentative="1">
      <w:start w:val="1"/>
      <w:numFmt w:val="bullet"/>
      <w:lvlText w:val=""/>
      <w:lvlJc w:val="left"/>
      <w:pPr>
        <w:tabs>
          <w:tab w:val="num" w:pos="6480"/>
        </w:tabs>
        <w:ind w:left="6480" w:hanging="360"/>
      </w:pPr>
      <w:rPr>
        <w:rFonts w:ascii="Wingdings" w:hAnsi="Wingdings" w:hint="default"/>
      </w:rPr>
    </w:lvl>
  </w:abstractNum>
  <w:abstractNum w:abstractNumId="32">
    <w:nsid w:val="37980EB6"/>
    <w:multiLevelType w:val="hybridMultilevel"/>
    <w:tmpl w:val="43C2DA88"/>
    <w:lvl w:ilvl="0" w:tplc="3A8EEBBE">
      <w:start w:val="1"/>
      <w:numFmt w:val="decimal"/>
      <w:pStyle w:val="IPPNormalCloseSpace"/>
      <w:lvlText w:val="%1."/>
      <w:lvlJc w:val="left"/>
      <w:pPr>
        <w:tabs>
          <w:tab w:val="num" w:pos="720"/>
        </w:tabs>
        <w:ind w:left="720" w:hanging="360"/>
      </w:pPr>
    </w:lvl>
    <w:lvl w:ilvl="1" w:tplc="62885C90" w:tentative="1">
      <w:start w:val="1"/>
      <w:numFmt w:val="lowerLetter"/>
      <w:lvlText w:val="%2."/>
      <w:lvlJc w:val="left"/>
      <w:pPr>
        <w:tabs>
          <w:tab w:val="num" w:pos="1440"/>
        </w:tabs>
        <w:ind w:left="1440" w:hanging="360"/>
      </w:pPr>
    </w:lvl>
    <w:lvl w:ilvl="2" w:tplc="78D638B6" w:tentative="1">
      <w:start w:val="1"/>
      <w:numFmt w:val="lowerRoman"/>
      <w:lvlText w:val="%3."/>
      <w:lvlJc w:val="right"/>
      <w:pPr>
        <w:tabs>
          <w:tab w:val="num" w:pos="2160"/>
        </w:tabs>
        <w:ind w:left="2160" w:hanging="180"/>
      </w:pPr>
    </w:lvl>
    <w:lvl w:ilvl="3" w:tplc="13A04FFA" w:tentative="1">
      <w:start w:val="1"/>
      <w:numFmt w:val="decimal"/>
      <w:lvlText w:val="%4."/>
      <w:lvlJc w:val="left"/>
      <w:pPr>
        <w:tabs>
          <w:tab w:val="num" w:pos="2880"/>
        </w:tabs>
        <w:ind w:left="2880" w:hanging="360"/>
      </w:pPr>
    </w:lvl>
    <w:lvl w:ilvl="4" w:tplc="88D48E46" w:tentative="1">
      <w:start w:val="1"/>
      <w:numFmt w:val="lowerLetter"/>
      <w:lvlText w:val="%5."/>
      <w:lvlJc w:val="left"/>
      <w:pPr>
        <w:tabs>
          <w:tab w:val="num" w:pos="3600"/>
        </w:tabs>
        <w:ind w:left="3600" w:hanging="360"/>
      </w:pPr>
    </w:lvl>
    <w:lvl w:ilvl="5" w:tplc="B930E5A4" w:tentative="1">
      <w:start w:val="1"/>
      <w:numFmt w:val="lowerRoman"/>
      <w:lvlText w:val="%6."/>
      <w:lvlJc w:val="right"/>
      <w:pPr>
        <w:tabs>
          <w:tab w:val="num" w:pos="4320"/>
        </w:tabs>
        <w:ind w:left="4320" w:hanging="180"/>
      </w:pPr>
    </w:lvl>
    <w:lvl w:ilvl="6" w:tplc="4120E2FE" w:tentative="1">
      <w:start w:val="1"/>
      <w:numFmt w:val="decimal"/>
      <w:lvlText w:val="%7."/>
      <w:lvlJc w:val="left"/>
      <w:pPr>
        <w:tabs>
          <w:tab w:val="num" w:pos="5040"/>
        </w:tabs>
        <w:ind w:left="5040" w:hanging="360"/>
      </w:pPr>
    </w:lvl>
    <w:lvl w:ilvl="7" w:tplc="CC009A92" w:tentative="1">
      <w:start w:val="1"/>
      <w:numFmt w:val="lowerLetter"/>
      <w:lvlText w:val="%8."/>
      <w:lvlJc w:val="left"/>
      <w:pPr>
        <w:tabs>
          <w:tab w:val="num" w:pos="5760"/>
        </w:tabs>
        <w:ind w:left="5760" w:hanging="360"/>
      </w:pPr>
    </w:lvl>
    <w:lvl w:ilvl="8" w:tplc="4642CD88" w:tentative="1">
      <w:start w:val="1"/>
      <w:numFmt w:val="lowerRoman"/>
      <w:lvlText w:val="%9."/>
      <w:lvlJc w:val="right"/>
      <w:pPr>
        <w:tabs>
          <w:tab w:val="num" w:pos="6480"/>
        </w:tabs>
        <w:ind w:left="6480" w:hanging="180"/>
      </w:pPr>
    </w:lvl>
  </w:abstractNum>
  <w:abstractNum w:abstractNumId="33">
    <w:nsid w:val="38B06FE7"/>
    <w:multiLevelType w:val="multilevel"/>
    <w:tmpl w:val="0A7A6A7E"/>
    <w:lvl w:ilvl="0">
      <w:start w:val="1"/>
      <w:numFmt w:val="decimal"/>
      <w:pStyle w:val="Alt2-LevelLegal1"/>
      <w:lvlText w:val="CHAPTER %1"/>
      <w:lvlJc w:val="left"/>
      <w:pPr>
        <w:tabs>
          <w:tab w:val="num" w:pos="1440"/>
        </w:tabs>
        <w:ind w:left="0" w:firstLine="0"/>
      </w:pPr>
      <w:rPr>
        <w:rFonts w:ascii="Times New Roman" w:hAnsi="Times New Roman" w:hint="default"/>
        <w:b/>
        <w:i w:val="0"/>
        <w:color w:val="000000"/>
        <w:sz w:val="28"/>
        <w:szCs w:val="28"/>
      </w:rPr>
    </w:lvl>
    <w:lvl w:ilvl="1">
      <w:start w:val="1"/>
      <w:numFmt w:val="decimal"/>
      <w:pStyle w:val="Alt2-LevelLegal2"/>
      <w:isLgl/>
      <w:lvlText w:val="%1.%2"/>
      <w:lvlJc w:val="left"/>
      <w:pPr>
        <w:tabs>
          <w:tab w:val="num" w:pos="720"/>
        </w:tabs>
        <w:ind w:left="720" w:hanging="720"/>
      </w:pPr>
      <w:rPr>
        <w:rFonts w:ascii="Times New Roman" w:hAnsi="Times New Roman" w:hint="default"/>
        <w:b/>
        <w:i w:val="0"/>
        <w:color w:val="000000"/>
        <w:sz w:val="22"/>
      </w:rPr>
    </w:lvl>
    <w:lvl w:ilvl="2">
      <w:start w:val="1"/>
      <w:numFmt w:val="decimal"/>
      <w:pStyle w:val="Alt2-LevelLegal3"/>
      <w:isLgl/>
      <w:lvlText w:val="%1.%2.%3"/>
      <w:lvlJc w:val="left"/>
      <w:pPr>
        <w:tabs>
          <w:tab w:val="num" w:pos="720"/>
        </w:tabs>
        <w:ind w:left="720" w:hanging="720"/>
      </w:pPr>
      <w:rPr>
        <w:rFonts w:ascii="Times New Roman" w:hAnsi="Times New Roman" w:hint="default"/>
        <w:b/>
        <w:i w:val="0"/>
        <w:color w:val="000000"/>
        <w:sz w:val="22"/>
      </w:rPr>
    </w:lvl>
    <w:lvl w:ilvl="3">
      <w:start w:val="1"/>
      <w:numFmt w:val="lowerLetter"/>
      <w:pStyle w:val="Alt2-LevelLegal4"/>
      <w:lvlText w:val="(%4)"/>
      <w:lvlJc w:val="left"/>
      <w:pPr>
        <w:tabs>
          <w:tab w:val="num" w:pos="1440"/>
        </w:tabs>
        <w:ind w:left="1440" w:hanging="720"/>
      </w:pPr>
      <w:rPr>
        <w:rFonts w:hint="default"/>
        <w:color w:val="000000"/>
      </w:rPr>
    </w:lvl>
    <w:lvl w:ilvl="4">
      <w:start w:val="1"/>
      <w:numFmt w:val="lowerRoman"/>
      <w:pStyle w:val="Alt2-LevelLegal5"/>
      <w:lvlText w:val="(%5)"/>
      <w:lvlJc w:val="left"/>
      <w:pPr>
        <w:tabs>
          <w:tab w:val="num" w:pos="2160"/>
        </w:tabs>
        <w:ind w:left="2160" w:hanging="720"/>
      </w:pPr>
      <w:rPr>
        <w:rFonts w:hint="default"/>
        <w:color w:val="000000"/>
      </w:rPr>
    </w:lvl>
    <w:lvl w:ilvl="5">
      <w:start w:val="1"/>
      <w:numFmt w:val="decimal"/>
      <w:pStyle w:val="Alt2-LevelLegal6"/>
      <w:lvlText w:val="%6."/>
      <w:lvlJc w:val="left"/>
      <w:pPr>
        <w:tabs>
          <w:tab w:val="num" w:pos="1440"/>
        </w:tabs>
        <w:ind w:left="1440" w:hanging="720"/>
      </w:pPr>
      <w:rPr>
        <w:rFonts w:hint="default"/>
        <w:color w:val="000000"/>
      </w:rPr>
    </w:lvl>
    <w:lvl w:ilvl="6">
      <w:start w:val="1"/>
      <w:numFmt w:val="upperLetter"/>
      <w:pStyle w:val="Alt2-LevelLegal7"/>
      <w:lvlText w:val="(%7)"/>
      <w:lvlJc w:val="left"/>
      <w:pPr>
        <w:tabs>
          <w:tab w:val="num" w:pos="3600"/>
        </w:tabs>
        <w:ind w:left="3600" w:hanging="720"/>
      </w:pPr>
      <w:rPr>
        <w:rFonts w:hint="default"/>
        <w:color w:val="00000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nsid w:val="39621EC4"/>
    <w:multiLevelType w:val="hybridMultilevel"/>
    <w:tmpl w:val="207C96F6"/>
    <w:lvl w:ilvl="0" w:tplc="BF629B0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3AC55B9C"/>
    <w:multiLevelType w:val="hybridMultilevel"/>
    <w:tmpl w:val="70BE8C52"/>
    <w:lvl w:ilvl="0" w:tplc="8D5A24AC">
      <w:start w:val="1"/>
      <w:numFmt w:val="decimal"/>
      <w:pStyle w:val="GEFChar"/>
      <w:lvlText w:val="%1."/>
      <w:lvlJc w:val="left"/>
      <w:pPr>
        <w:tabs>
          <w:tab w:val="num" w:pos="720"/>
        </w:tabs>
        <w:ind w:left="720" w:hanging="360"/>
      </w:pPr>
    </w:lvl>
    <w:lvl w:ilvl="1" w:tplc="68121BF6" w:tentative="1">
      <w:start w:val="1"/>
      <w:numFmt w:val="lowerLetter"/>
      <w:lvlText w:val="%2."/>
      <w:lvlJc w:val="left"/>
      <w:pPr>
        <w:tabs>
          <w:tab w:val="num" w:pos="1440"/>
        </w:tabs>
        <w:ind w:left="1440" w:hanging="360"/>
      </w:pPr>
    </w:lvl>
    <w:lvl w:ilvl="2" w:tplc="EC4A60C4" w:tentative="1">
      <w:start w:val="1"/>
      <w:numFmt w:val="lowerRoman"/>
      <w:lvlText w:val="%3."/>
      <w:lvlJc w:val="right"/>
      <w:pPr>
        <w:tabs>
          <w:tab w:val="num" w:pos="2160"/>
        </w:tabs>
        <w:ind w:left="2160" w:hanging="180"/>
      </w:pPr>
    </w:lvl>
    <w:lvl w:ilvl="3" w:tplc="96D4CBA0" w:tentative="1">
      <w:start w:val="1"/>
      <w:numFmt w:val="decimal"/>
      <w:lvlText w:val="%4."/>
      <w:lvlJc w:val="left"/>
      <w:pPr>
        <w:tabs>
          <w:tab w:val="num" w:pos="2880"/>
        </w:tabs>
        <w:ind w:left="2880" w:hanging="360"/>
      </w:pPr>
    </w:lvl>
    <w:lvl w:ilvl="4" w:tplc="632263AC" w:tentative="1">
      <w:start w:val="1"/>
      <w:numFmt w:val="lowerLetter"/>
      <w:lvlText w:val="%5."/>
      <w:lvlJc w:val="left"/>
      <w:pPr>
        <w:tabs>
          <w:tab w:val="num" w:pos="3600"/>
        </w:tabs>
        <w:ind w:left="3600" w:hanging="360"/>
      </w:pPr>
    </w:lvl>
    <w:lvl w:ilvl="5" w:tplc="323A3212" w:tentative="1">
      <w:start w:val="1"/>
      <w:numFmt w:val="lowerRoman"/>
      <w:lvlText w:val="%6."/>
      <w:lvlJc w:val="right"/>
      <w:pPr>
        <w:tabs>
          <w:tab w:val="num" w:pos="4320"/>
        </w:tabs>
        <w:ind w:left="4320" w:hanging="180"/>
      </w:pPr>
    </w:lvl>
    <w:lvl w:ilvl="6" w:tplc="2CE6F4E6" w:tentative="1">
      <w:start w:val="1"/>
      <w:numFmt w:val="decimal"/>
      <w:lvlText w:val="%7."/>
      <w:lvlJc w:val="left"/>
      <w:pPr>
        <w:tabs>
          <w:tab w:val="num" w:pos="5040"/>
        </w:tabs>
        <w:ind w:left="5040" w:hanging="360"/>
      </w:pPr>
    </w:lvl>
    <w:lvl w:ilvl="7" w:tplc="A6082C4C" w:tentative="1">
      <w:start w:val="1"/>
      <w:numFmt w:val="lowerLetter"/>
      <w:lvlText w:val="%8."/>
      <w:lvlJc w:val="left"/>
      <w:pPr>
        <w:tabs>
          <w:tab w:val="num" w:pos="5760"/>
        </w:tabs>
        <w:ind w:left="5760" w:hanging="360"/>
      </w:pPr>
    </w:lvl>
    <w:lvl w:ilvl="8" w:tplc="A6FCAFB6" w:tentative="1">
      <w:start w:val="1"/>
      <w:numFmt w:val="lowerRoman"/>
      <w:lvlText w:val="%9."/>
      <w:lvlJc w:val="right"/>
      <w:pPr>
        <w:tabs>
          <w:tab w:val="num" w:pos="6480"/>
        </w:tabs>
        <w:ind w:left="6480" w:hanging="180"/>
      </w:pPr>
    </w:lvl>
  </w:abstractNum>
  <w:abstractNum w:abstractNumId="36">
    <w:nsid w:val="3D216CCB"/>
    <w:multiLevelType w:val="hybridMultilevel"/>
    <w:tmpl w:val="B604362C"/>
    <w:lvl w:ilvl="0" w:tplc="AC3AA0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F513C17"/>
    <w:multiLevelType w:val="hybridMultilevel"/>
    <w:tmpl w:val="26A878CA"/>
    <w:lvl w:ilvl="0" w:tplc="69F8A8BC">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3F821D89"/>
    <w:multiLevelType w:val="hybridMultilevel"/>
    <w:tmpl w:val="4296CB94"/>
    <w:name w:val="AltLvl2ListTemplate"/>
    <w:lvl w:ilvl="0" w:tplc="5C3E2BBE">
      <w:start w:val="1"/>
      <w:numFmt w:val="bullet"/>
      <w:pStyle w:val="ListParagraph1"/>
      <w:lvlText w:val=""/>
      <w:lvlJc w:val="left"/>
      <w:pPr>
        <w:ind w:left="720" w:hanging="360"/>
      </w:pPr>
      <w:rPr>
        <w:rFonts w:ascii="Symbol" w:hAnsi="Symbol" w:hint="default"/>
      </w:rPr>
    </w:lvl>
    <w:lvl w:ilvl="1" w:tplc="78363A18" w:tentative="1">
      <w:start w:val="1"/>
      <w:numFmt w:val="bullet"/>
      <w:lvlText w:val="o"/>
      <w:lvlJc w:val="left"/>
      <w:pPr>
        <w:ind w:left="1440" w:hanging="360"/>
      </w:pPr>
      <w:rPr>
        <w:rFonts w:ascii="Courier New" w:hAnsi="Courier New" w:hint="default"/>
      </w:rPr>
    </w:lvl>
    <w:lvl w:ilvl="2" w:tplc="39468530" w:tentative="1">
      <w:start w:val="1"/>
      <w:numFmt w:val="bullet"/>
      <w:lvlText w:val=""/>
      <w:lvlJc w:val="left"/>
      <w:pPr>
        <w:ind w:left="2160" w:hanging="360"/>
      </w:pPr>
      <w:rPr>
        <w:rFonts w:ascii="Wingdings" w:hAnsi="Wingdings" w:hint="default"/>
      </w:rPr>
    </w:lvl>
    <w:lvl w:ilvl="3" w:tplc="21F639EE" w:tentative="1">
      <w:start w:val="1"/>
      <w:numFmt w:val="bullet"/>
      <w:lvlText w:val=""/>
      <w:lvlJc w:val="left"/>
      <w:pPr>
        <w:ind w:left="2880" w:hanging="360"/>
      </w:pPr>
      <w:rPr>
        <w:rFonts w:ascii="Symbol" w:hAnsi="Symbol" w:hint="default"/>
      </w:rPr>
    </w:lvl>
    <w:lvl w:ilvl="4" w:tplc="E04E98DA" w:tentative="1">
      <w:start w:val="1"/>
      <w:numFmt w:val="bullet"/>
      <w:lvlText w:val="o"/>
      <w:lvlJc w:val="left"/>
      <w:pPr>
        <w:ind w:left="3600" w:hanging="360"/>
      </w:pPr>
      <w:rPr>
        <w:rFonts w:ascii="Courier New" w:hAnsi="Courier New" w:hint="default"/>
      </w:rPr>
    </w:lvl>
    <w:lvl w:ilvl="5" w:tplc="55A61C4C" w:tentative="1">
      <w:start w:val="1"/>
      <w:numFmt w:val="bullet"/>
      <w:lvlText w:val=""/>
      <w:lvlJc w:val="left"/>
      <w:pPr>
        <w:ind w:left="4320" w:hanging="360"/>
      </w:pPr>
      <w:rPr>
        <w:rFonts w:ascii="Wingdings" w:hAnsi="Wingdings" w:hint="default"/>
      </w:rPr>
    </w:lvl>
    <w:lvl w:ilvl="6" w:tplc="FCE0A7A0" w:tentative="1">
      <w:start w:val="1"/>
      <w:numFmt w:val="bullet"/>
      <w:lvlText w:val=""/>
      <w:lvlJc w:val="left"/>
      <w:pPr>
        <w:ind w:left="5040" w:hanging="360"/>
      </w:pPr>
      <w:rPr>
        <w:rFonts w:ascii="Symbol" w:hAnsi="Symbol" w:hint="default"/>
      </w:rPr>
    </w:lvl>
    <w:lvl w:ilvl="7" w:tplc="4BC2D52A" w:tentative="1">
      <w:start w:val="1"/>
      <w:numFmt w:val="bullet"/>
      <w:lvlText w:val="o"/>
      <w:lvlJc w:val="left"/>
      <w:pPr>
        <w:ind w:left="5760" w:hanging="360"/>
      </w:pPr>
      <w:rPr>
        <w:rFonts w:ascii="Courier New" w:hAnsi="Courier New" w:hint="default"/>
      </w:rPr>
    </w:lvl>
    <w:lvl w:ilvl="8" w:tplc="391EB116" w:tentative="1">
      <w:start w:val="1"/>
      <w:numFmt w:val="bullet"/>
      <w:lvlText w:val=""/>
      <w:lvlJc w:val="left"/>
      <w:pPr>
        <w:ind w:left="6480" w:hanging="360"/>
      </w:pPr>
      <w:rPr>
        <w:rFonts w:ascii="Wingdings" w:hAnsi="Wingdings" w:hint="default"/>
      </w:rPr>
    </w:lvl>
  </w:abstractNum>
  <w:abstractNum w:abstractNumId="39">
    <w:nsid w:val="41330EAC"/>
    <w:multiLevelType w:val="multilevel"/>
    <w:tmpl w:val="0A92EF3C"/>
    <w:lvl w:ilvl="0">
      <w:start w:val="1"/>
      <w:numFmt w:val="bullet"/>
      <w:pStyle w:val="AR4Listbullet1"/>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nsid w:val="44B51EE2"/>
    <w:multiLevelType w:val="hybridMultilevel"/>
    <w:tmpl w:val="622A5970"/>
    <w:lvl w:ilvl="0" w:tplc="10090001">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nsid w:val="46E50A78"/>
    <w:multiLevelType w:val="hybridMultilevel"/>
    <w:tmpl w:val="B4B07384"/>
    <w:lvl w:ilvl="0" w:tplc="510A4844">
      <w:start w:val="1"/>
      <w:numFmt w:val="bullet"/>
      <w:pStyle w:val="CM3"/>
      <w:lvlText w:val=""/>
      <w:lvlJc w:val="left"/>
      <w:pPr>
        <w:tabs>
          <w:tab w:val="num" w:pos="720"/>
        </w:tabs>
        <w:ind w:left="720" w:hanging="360"/>
      </w:pPr>
      <w:rPr>
        <w:rFonts w:ascii="Symbol" w:hAnsi="Symbol" w:hint="default"/>
      </w:rPr>
    </w:lvl>
    <w:lvl w:ilvl="1" w:tplc="ADB0C450" w:tentative="1">
      <w:start w:val="1"/>
      <w:numFmt w:val="bullet"/>
      <w:lvlText w:val="o"/>
      <w:lvlJc w:val="left"/>
      <w:pPr>
        <w:tabs>
          <w:tab w:val="num" w:pos="1440"/>
        </w:tabs>
        <w:ind w:left="1440" w:hanging="360"/>
      </w:pPr>
      <w:rPr>
        <w:rFonts w:ascii="Courier New" w:hAnsi="Courier New" w:cs="Consolas" w:hint="default"/>
      </w:rPr>
    </w:lvl>
    <w:lvl w:ilvl="2" w:tplc="A738BCF6" w:tentative="1">
      <w:start w:val="1"/>
      <w:numFmt w:val="bullet"/>
      <w:lvlText w:val=""/>
      <w:lvlJc w:val="left"/>
      <w:pPr>
        <w:tabs>
          <w:tab w:val="num" w:pos="2160"/>
        </w:tabs>
        <w:ind w:left="2160" w:hanging="360"/>
      </w:pPr>
      <w:rPr>
        <w:rFonts w:ascii="Wingdings" w:hAnsi="Wingdings" w:hint="default"/>
      </w:rPr>
    </w:lvl>
    <w:lvl w:ilvl="3" w:tplc="BE7C49E6" w:tentative="1">
      <w:start w:val="1"/>
      <w:numFmt w:val="bullet"/>
      <w:lvlText w:val=""/>
      <w:lvlJc w:val="left"/>
      <w:pPr>
        <w:tabs>
          <w:tab w:val="num" w:pos="2880"/>
        </w:tabs>
        <w:ind w:left="2880" w:hanging="360"/>
      </w:pPr>
      <w:rPr>
        <w:rFonts w:ascii="Symbol" w:hAnsi="Symbol" w:hint="default"/>
      </w:rPr>
    </w:lvl>
    <w:lvl w:ilvl="4" w:tplc="73342BE4" w:tentative="1">
      <w:start w:val="1"/>
      <w:numFmt w:val="bullet"/>
      <w:lvlText w:val="o"/>
      <w:lvlJc w:val="left"/>
      <w:pPr>
        <w:tabs>
          <w:tab w:val="num" w:pos="3600"/>
        </w:tabs>
        <w:ind w:left="3600" w:hanging="360"/>
      </w:pPr>
      <w:rPr>
        <w:rFonts w:ascii="Courier New" w:hAnsi="Courier New" w:cs="Consolas" w:hint="default"/>
      </w:rPr>
    </w:lvl>
    <w:lvl w:ilvl="5" w:tplc="21DC4B6E" w:tentative="1">
      <w:start w:val="1"/>
      <w:numFmt w:val="bullet"/>
      <w:lvlText w:val=""/>
      <w:lvlJc w:val="left"/>
      <w:pPr>
        <w:tabs>
          <w:tab w:val="num" w:pos="4320"/>
        </w:tabs>
        <w:ind w:left="4320" w:hanging="360"/>
      </w:pPr>
      <w:rPr>
        <w:rFonts w:ascii="Wingdings" w:hAnsi="Wingdings" w:hint="default"/>
      </w:rPr>
    </w:lvl>
    <w:lvl w:ilvl="6" w:tplc="350C58EE" w:tentative="1">
      <w:start w:val="1"/>
      <w:numFmt w:val="bullet"/>
      <w:lvlText w:val=""/>
      <w:lvlJc w:val="left"/>
      <w:pPr>
        <w:tabs>
          <w:tab w:val="num" w:pos="5040"/>
        </w:tabs>
        <w:ind w:left="5040" w:hanging="360"/>
      </w:pPr>
      <w:rPr>
        <w:rFonts w:ascii="Symbol" w:hAnsi="Symbol" w:hint="default"/>
      </w:rPr>
    </w:lvl>
    <w:lvl w:ilvl="7" w:tplc="39E203C6" w:tentative="1">
      <w:start w:val="1"/>
      <w:numFmt w:val="bullet"/>
      <w:lvlText w:val="o"/>
      <w:lvlJc w:val="left"/>
      <w:pPr>
        <w:tabs>
          <w:tab w:val="num" w:pos="5760"/>
        </w:tabs>
        <w:ind w:left="5760" w:hanging="360"/>
      </w:pPr>
      <w:rPr>
        <w:rFonts w:ascii="Courier New" w:hAnsi="Courier New" w:cs="Consolas" w:hint="default"/>
      </w:rPr>
    </w:lvl>
    <w:lvl w:ilvl="8" w:tplc="FE84D040" w:tentative="1">
      <w:start w:val="1"/>
      <w:numFmt w:val="bullet"/>
      <w:lvlText w:val=""/>
      <w:lvlJc w:val="left"/>
      <w:pPr>
        <w:tabs>
          <w:tab w:val="num" w:pos="6480"/>
        </w:tabs>
        <w:ind w:left="6480" w:hanging="360"/>
      </w:pPr>
      <w:rPr>
        <w:rFonts w:ascii="Wingdings" w:hAnsi="Wingdings" w:hint="default"/>
      </w:rPr>
    </w:lvl>
  </w:abstractNum>
  <w:abstractNum w:abstractNumId="42">
    <w:nsid w:val="4B1E7BCB"/>
    <w:multiLevelType w:val="hybridMultilevel"/>
    <w:tmpl w:val="2ECCB4D8"/>
    <w:lvl w:ilvl="0" w:tplc="933AA438">
      <w:start w:val="1"/>
      <w:numFmt w:val="bullet"/>
      <w:pStyle w:val="DashListLev3"/>
      <w:lvlText w:val="-"/>
      <w:lvlJc w:val="left"/>
      <w:pPr>
        <w:tabs>
          <w:tab w:val="num" w:pos="1080"/>
        </w:tabs>
        <w:ind w:left="1080" w:hanging="360"/>
      </w:pPr>
      <w:rPr>
        <w:rFonts w:ascii="Times New Roman" w:eastAsia="Times New Roman" w:hAnsi="Times New Roman" w:cs="Times New Roman" w:hint="default"/>
      </w:rPr>
    </w:lvl>
    <w:lvl w:ilvl="1" w:tplc="A19669D6" w:tentative="1">
      <w:start w:val="1"/>
      <w:numFmt w:val="bullet"/>
      <w:lvlText w:val="o"/>
      <w:lvlJc w:val="left"/>
      <w:pPr>
        <w:tabs>
          <w:tab w:val="num" w:pos="1800"/>
        </w:tabs>
        <w:ind w:left="1800" w:hanging="360"/>
      </w:pPr>
      <w:rPr>
        <w:rFonts w:ascii="Courier New" w:hAnsi="Courier New" w:cs="Arial" w:hint="default"/>
      </w:rPr>
    </w:lvl>
    <w:lvl w:ilvl="2" w:tplc="962A583A" w:tentative="1">
      <w:start w:val="1"/>
      <w:numFmt w:val="bullet"/>
      <w:lvlText w:val=""/>
      <w:lvlJc w:val="left"/>
      <w:pPr>
        <w:tabs>
          <w:tab w:val="num" w:pos="2520"/>
        </w:tabs>
        <w:ind w:left="2520" w:hanging="360"/>
      </w:pPr>
      <w:rPr>
        <w:rFonts w:ascii="Wingdings" w:hAnsi="Wingdings" w:hint="default"/>
      </w:rPr>
    </w:lvl>
    <w:lvl w:ilvl="3" w:tplc="0B3EBCF8" w:tentative="1">
      <w:start w:val="1"/>
      <w:numFmt w:val="bullet"/>
      <w:lvlText w:val=""/>
      <w:lvlJc w:val="left"/>
      <w:pPr>
        <w:tabs>
          <w:tab w:val="num" w:pos="3240"/>
        </w:tabs>
        <w:ind w:left="3240" w:hanging="360"/>
      </w:pPr>
      <w:rPr>
        <w:rFonts w:ascii="Symbol" w:hAnsi="Symbol" w:hint="default"/>
      </w:rPr>
    </w:lvl>
    <w:lvl w:ilvl="4" w:tplc="1714CF22" w:tentative="1">
      <w:start w:val="1"/>
      <w:numFmt w:val="bullet"/>
      <w:lvlText w:val="o"/>
      <w:lvlJc w:val="left"/>
      <w:pPr>
        <w:tabs>
          <w:tab w:val="num" w:pos="3960"/>
        </w:tabs>
        <w:ind w:left="3960" w:hanging="360"/>
      </w:pPr>
      <w:rPr>
        <w:rFonts w:ascii="Courier New" w:hAnsi="Courier New" w:cs="Arial" w:hint="default"/>
      </w:rPr>
    </w:lvl>
    <w:lvl w:ilvl="5" w:tplc="D6864FF4" w:tentative="1">
      <w:start w:val="1"/>
      <w:numFmt w:val="bullet"/>
      <w:lvlText w:val=""/>
      <w:lvlJc w:val="left"/>
      <w:pPr>
        <w:tabs>
          <w:tab w:val="num" w:pos="4680"/>
        </w:tabs>
        <w:ind w:left="4680" w:hanging="360"/>
      </w:pPr>
      <w:rPr>
        <w:rFonts w:ascii="Wingdings" w:hAnsi="Wingdings" w:hint="default"/>
      </w:rPr>
    </w:lvl>
    <w:lvl w:ilvl="6" w:tplc="AB82342E" w:tentative="1">
      <w:start w:val="1"/>
      <w:numFmt w:val="bullet"/>
      <w:lvlText w:val=""/>
      <w:lvlJc w:val="left"/>
      <w:pPr>
        <w:tabs>
          <w:tab w:val="num" w:pos="5400"/>
        </w:tabs>
        <w:ind w:left="5400" w:hanging="360"/>
      </w:pPr>
      <w:rPr>
        <w:rFonts w:ascii="Symbol" w:hAnsi="Symbol" w:hint="default"/>
      </w:rPr>
    </w:lvl>
    <w:lvl w:ilvl="7" w:tplc="14067868" w:tentative="1">
      <w:start w:val="1"/>
      <w:numFmt w:val="bullet"/>
      <w:lvlText w:val="o"/>
      <w:lvlJc w:val="left"/>
      <w:pPr>
        <w:tabs>
          <w:tab w:val="num" w:pos="6120"/>
        </w:tabs>
        <w:ind w:left="6120" w:hanging="360"/>
      </w:pPr>
      <w:rPr>
        <w:rFonts w:ascii="Courier New" w:hAnsi="Courier New" w:cs="Arial" w:hint="default"/>
      </w:rPr>
    </w:lvl>
    <w:lvl w:ilvl="8" w:tplc="C338E22E" w:tentative="1">
      <w:start w:val="1"/>
      <w:numFmt w:val="bullet"/>
      <w:lvlText w:val=""/>
      <w:lvlJc w:val="left"/>
      <w:pPr>
        <w:tabs>
          <w:tab w:val="num" w:pos="6840"/>
        </w:tabs>
        <w:ind w:left="6840" w:hanging="360"/>
      </w:pPr>
      <w:rPr>
        <w:rFonts w:ascii="Wingdings" w:hAnsi="Wingdings" w:hint="default"/>
      </w:rPr>
    </w:lvl>
  </w:abstractNum>
  <w:abstractNum w:abstractNumId="43">
    <w:nsid w:val="4D8F2504"/>
    <w:multiLevelType w:val="hybridMultilevel"/>
    <w:tmpl w:val="9224EA12"/>
    <w:lvl w:ilvl="0" w:tplc="0C09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4DE74F18"/>
    <w:multiLevelType w:val="hybridMultilevel"/>
    <w:tmpl w:val="27D8F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E166811"/>
    <w:multiLevelType w:val="hybridMultilevel"/>
    <w:tmpl w:val="78E4687C"/>
    <w:lvl w:ilvl="0" w:tplc="2A2A1BC6">
      <w:start w:val="2"/>
      <w:numFmt w:val="lowerLetter"/>
      <w:pStyle w:val="IPPAnnexHeadAppendix"/>
      <w:lvlText w:val="(%1)"/>
      <w:lvlJc w:val="left"/>
      <w:pPr>
        <w:tabs>
          <w:tab w:val="num" w:pos="1080"/>
        </w:tabs>
        <w:ind w:left="1080" w:hanging="720"/>
      </w:pPr>
      <w:rPr>
        <w:rFonts w:hint="default"/>
      </w:rPr>
    </w:lvl>
    <w:lvl w:ilvl="1" w:tplc="BEBCB278" w:tentative="1">
      <w:start w:val="1"/>
      <w:numFmt w:val="lowerLetter"/>
      <w:lvlText w:val="%2."/>
      <w:lvlJc w:val="left"/>
      <w:pPr>
        <w:tabs>
          <w:tab w:val="num" w:pos="1440"/>
        </w:tabs>
        <w:ind w:left="1440" w:hanging="360"/>
      </w:pPr>
    </w:lvl>
    <w:lvl w:ilvl="2" w:tplc="22B83E10" w:tentative="1">
      <w:start w:val="1"/>
      <w:numFmt w:val="lowerRoman"/>
      <w:lvlText w:val="%3."/>
      <w:lvlJc w:val="right"/>
      <w:pPr>
        <w:tabs>
          <w:tab w:val="num" w:pos="2160"/>
        </w:tabs>
        <w:ind w:left="2160" w:hanging="180"/>
      </w:pPr>
    </w:lvl>
    <w:lvl w:ilvl="3" w:tplc="76A2A9C2" w:tentative="1">
      <w:start w:val="1"/>
      <w:numFmt w:val="decimal"/>
      <w:lvlText w:val="%4."/>
      <w:lvlJc w:val="left"/>
      <w:pPr>
        <w:tabs>
          <w:tab w:val="num" w:pos="2880"/>
        </w:tabs>
        <w:ind w:left="2880" w:hanging="360"/>
      </w:pPr>
    </w:lvl>
    <w:lvl w:ilvl="4" w:tplc="FBF6C78C" w:tentative="1">
      <w:start w:val="1"/>
      <w:numFmt w:val="lowerLetter"/>
      <w:lvlText w:val="%5."/>
      <w:lvlJc w:val="left"/>
      <w:pPr>
        <w:tabs>
          <w:tab w:val="num" w:pos="3600"/>
        </w:tabs>
        <w:ind w:left="3600" w:hanging="360"/>
      </w:pPr>
    </w:lvl>
    <w:lvl w:ilvl="5" w:tplc="E23A710C" w:tentative="1">
      <w:start w:val="1"/>
      <w:numFmt w:val="lowerRoman"/>
      <w:lvlText w:val="%6."/>
      <w:lvlJc w:val="right"/>
      <w:pPr>
        <w:tabs>
          <w:tab w:val="num" w:pos="4320"/>
        </w:tabs>
        <w:ind w:left="4320" w:hanging="180"/>
      </w:pPr>
    </w:lvl>
    <w:lvl w:ilvl="6" w:tplc="615A0DEC" w:tentative="1">
      <w:start w:val="1"/>
      <w:numFmt w:val="decimal"/>
      <w:lvlText w:val="%7."/>
      <w:lvlJc w:val="left"/>
      <w:pPr>
        <w:tabs>
          <w:tab w:val="num" w:pos="5040"/>
        </w:tabs>
        <w:ind w:left="5040" w:hanging="360"/>
      </w:pPr>
    </w:lvl>
    <w:lvl w:ilvl="7" w:tplc="9D8ED22C" w:tentative="1">
      <w:start w:val="1"/>
      <w:numFmt w:val="lowerLetter"/>
      <w:lvlText w:val="%8."/>
      <w:lvlJc w:val="left"/>
      <w:pPr>
        <w:tabs>
          <w:tab w:val="num" w:pos="5760"/>
        </w:tabs>
        <w:ind w:left="5760" w:hanging="360"/>
      </w:pPr>
    </w:lvl>
    <w:lvl w:ilvl="8" w:tplc="990C0C12" w:tentative="1">
      <w:start w:val="1"/>
      <w:numFmt w:val="lowerRoman"/>
      <w:lvlText w:val="%9."/>
      <w:lvlJc w:val="right"/>
      <w:pPr>
        <w:tabs>
          <w:tab w:val="num" w:pos="6480"/>
        </w:tabs>
        <w:ind w:left="6480" w:hanging="180"/>
      </w:pPr>
    </w:lvl>
  </w:abstractNum>
  <w:abstractNum w:abstractNumId="46">
    <w:nsid w:val="4EBD6056"/>
    <w:multiLevelType w:val="singleLevel"/>
    <w:tmpl w:val="22D82B4C"/>
    <w:lvl w:ilvl="0">
      <w:start w:val="1"/>
      <w:numFmt w:val="lowerRoman"/>
      <w:pStyle w:val="Paralevel3"/>
      <w:lvlText w:val="(%1)"/>
      <w:lvlJc w:val="left"/>
      <w:pPr>
        <w:tabs>
          <w:tab w:val="num" w:pos="2892"/>
        </w:tabs>
        <w:ind w:left="2892" w:hanging="579"/>
      </w:pPr>
      <w:rPr>
        <w:rFonts w:hint="default"/>
      </w:rPr>
    </w:lvl>
  </w:abstractNum>
  <w:abstractNum w:abstractNumId="47">
    <w:nsid w:val="5185221F"/>
    <w:multiLevelType w:val="hybridMultilevel"/>
    <w:tmpl w:val="798A3E0A"/>
    <w:lvl w:ilvl="0" w:tplc="00000001">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51F3281C"/>
    <w:multiLevelType w:val="multilevel"/>
    <w:tmpl w:val="CFFC9744"/>
    <w:lvl w:ilvl="0">
      <w:start w:val="1"/>
      <w:numFmt w:val="decimal"/>
      <w:pStyle w:val="CM33"/>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56D9100B"/>
    <w:multiLevelType w:val="multilevel"/>
    <w:tmpl w:val="7834EB9A"/>
    <w:lvl w:ilvl="0">
      <w:start w:val="1"/>
      <w:numFmt w:val="lowerLetter"/>
      <w:pStyle w:val="CH4"/>
      <w:lvlText w:val="(%1)"/>
      <w:lvlJc w:val="left"/>
      <w:pPr>
        <w:tabs>
          <w:tab w:val="num" w:pos="0"/>
        </w:tabs>
        <w:ind w:left="578" w:firstLine="0"/>
      </w:pPr>
      <w:rPr>
        <w:rFonts w:ascii="Times New Roman" w:hAnsi="Times New Roman" w:hint="default"/>
        <w:b/>
        <w:i w:val="0"/>
        <w:sz w:val="20"/>
        <w:szCs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0">
    <w:nsid w:val="576466B0"/>
    <w:multiLevelType w:val="singleLevel"/>
    <w:tmpl w:val="04090001"/>
    <w:lvl w:ilvl="0">
      <w:start w:val="1"/>
      <w:numFmt w:val="bullet"/>
      <w:pStyle w:val="Smallbullet"/>
      <w:lvlText w:val=""/>
      <w:lvlJc w:val="left"/>
      <w:pPr>
        <w:tabs>
          <w:tab w:val="num" w:pos="360"/>
        </w:tabs>
        <w:ind w:left="360" w:hanging="360"/>
      </w:pPr>
      <w:rPr>
        <w:rFonts w:ascii="Symbol" w:hAnsi="Symbol" w:hint="default"/>
      </w:rPr>
    </w:lvl>
  </w:abstractNum>
  <w:abstractNum w:abstractNumId="51">
    <w:nsid w:val="58C5440B"/>
    <w:multiLevelType w:val="hybridMultilevel"/>
    <w:tmpl w:val="1B42352C"/>
    <w:lvl w:ilvl="0" w:tplc="18CA3E2A">
      <w:start w:val="1"/>
      <w:numFmt w:val="lowerRoman"/>
      <w:pStyle w:val="IPPLetterList"/>
      <w:lvlText w:val="%1."/>
      <w:lvlJc w:val="right"/>
      <w:pPr>
        <w:tabs>
          <w:tab w:val="num" w:pos="120"/>
        </w:tabs>
        <w:ind w:left="120" w:hanging="180"/>
      </w:pPr>
      <w:rPr>
        <w:rFonts w:hint="default"/>
      </w:rPr>
    </w:lvl>
    <w:lvl w:ilvl="1" w:tplc="330E0B74" w:tentative="1">
      <w:start w:val="1"/>
      <w:numFmt w:val="lowerLetter"/>
      <w:lvlText w:val="%2."/>
      <w:lvlJc w:val="left"/>
      <w:pPr>
        <w:tabs>
          <w:tab w:val="num" w:pos="840"/>
        </w:tabs>
        <w:ind w:left="840" w:hanging="360"/>
      </w:pPr>
    </w:lvl>
    <w:lvl w:ilvl="2" w:tplc="9AE834D4" w:tentative="1">
      <w:start w:val="1"/>
      <w:numFmt w:val="lowerRoman"/>
      <w:lvlText w:val="%3."/>
      <w:lvlJc w:val="right"/>
      <w:pPr>
        <w:tabs>
          <w:tab w:val="num" w:pos="1560"/>
        </w:tabs>
        <w:ind w:left="1560" w:hanging="180"/>
      </w:pPr>
    </w:lvl>
    <w:lvl w:ilvl="3" w:tplc="FB3608D2" w:tentative="1">
      <w:start w:val="1"/>
      <w:numFmt w:val="decimal"/>
      <w:lvlText w:val="%4."/>
      <w:lvlJc w:val="left"/>
      <w:pPr>
        <w:tabs>
          <w:tab w:val="num" w:pos="2280"/>
        </w:tabs>
        <w:ind w:left="2280" w:hanging="360"/>
      </w:pPr>
    </w:lvl>
    <w:lvl w:ilvl="4" w:tplc="B59CC228" w:tentative="1">
      <w:start w:val="1"/>
      <w:numFmt w:val="lowerLetter"/>
      <w:lvlText w:val="%5."/>
      <w:lvlJc w:val="left"/>
      <w:pPr>
        <w:tabs>
          <w:tab w:val="num" w:pos="3000"/>
        </w:tabs>
        <w:ind w:left="3000" w:hanging="360"/>
      </w:pPr>
    </w:lvl>
    <w:lvl w:ilvl="5" w:tplc="1974BD16" w:tentative="1">
      <w:start w:val="1"/>
      <w:numFmt w:val="lowerRoman"/>
      <w:lvlText w:val="%6."/>
      <w:lvlJc w:val="right"/>
      <w:pPr>
        <w:tabs>
          <w:tab w:val="num" w:pos="3720"/>
        </w:tabs>
        <w:ind w:left="3720" w:hanging="180"/>
      </w:pPr>
    </w:lvl>
    <w:lvl w:ilvl="6" w:tplc="AF3AC2D0" w:tentative="1">
      <w:start w:val="1"/>
      <w:numFmt w:val="decimal"/>
      <w:lvlText w:val="%7."/>
      <w:lvlJc w:val="left"/>
      <w:pPr>
        <w:tabs>
          <w:tab w:val="num" w:pos="4440"/>
        </w:tabs>
        <w:ind w:left="4440" w:hanging="360"/>
      </w:pPr>
    </w:lvl>
    <w:lvl w:ilvl="7" w:tplc="26120416" w:tentative="1">
      <w:start w:val="1"/>
      <w:numFmt w:val="lowerLetter"/>
      <w:lvlText w:val="%8."/>
      <w:lvlJc w:val="left"/>
      <w:pPr>
        <w:tabs>
          <w:tab w:val="num" w:pos="5160"/>
        </w:tabs>
        <w:ind w:left="5160" w:hanging="360"/>
      </w:pPr>
    </w:lvl>
    <w:lvl w:ilvl="8" w:tplc="4222A73E" w:tentative="1">
      <w:start w:val="1"/>
      <w:numFmt w:val="lowerRoman"/>
      <w:lvlText w:val="%9."/>
      <w:lvlJc w:val="right"/>
      <w:pPr>
        <w:tabs>
          <w:tab w:val="num" w:pos="5880"/>
        </w:tabs>
        <w:ind w:left="5880" w:hanging="180"/>
      </w:pPr>
    </w:lvl>
  </w:abstractNum>
  <w:abstractNum w:abstractNumId="52">
    <w:nsid w:val="597D5FBF"/>
    <w:multiLevelType w:val="hybridMultilevel"/>
    <w:tmpl w:val="4DAADB14"/>
    <w:lvl w:ilvl="0" w:tplc="FD44A6A4">
      <w:start w:val="2006"/>
      <w:numFmt w:val="bullet"/>
      <w:pStyle w:val="DashListLev2"/>
      <w:lvlText w:val="-"/>
      <w:lvlJc w:val="left"/>
      <w:pPr>
        <w:tabs>
          <w:tab w:val="num" w:pos="1080"/>
        </w:tabs>
        <w:ind w:left="1080" w:hanging="360"/>
      </w:pPr>
      <w:rPr>
        <w:rFonts w:ascii="Times New Roman" w:eastAsia="Times New Roman" w:hAnsi="Times New Roman" w:cs="Times New Roman" w:hint="default"/>
      </w:rPr>
    </w:lvl>
    <w:lvl w:ilvl="1" w:tplc="84DA32D6" w:tentative="1">
      <w:start w:val="1"/>
      <w:numFmt w:val="bullet"/>
      <w:lvlText w:val="o"/>
      <w:lvlJc w:val="left"/>
      <w:pPr>
        <w:tabs>
          <w:tab w:val="num" w:pos="1800"/>
        </w:tabs>
        <w:ind w:left="1800" w:hanging="360"/>
      </w:pPr>
      <w:rPr>
        <w:rFonts w:ascii="Courier New" w:hAnsi="Courier New" w:cs="Arial" w:hint="default"/>
      </w:rPr>
    </w:lvl>
    <w:lvl w:ilvl="2" w:tplc="945E661C" w:tentative="1">
      <w:start w:val="1"/>
      <w:numFmt w:val="bullet"/>
      <w:lvlText w:val=""/>
      <w:lvlJc w:val="left"/>
      <w:pPr>
        <w:tabs>
          <w:tab w:val="num" w:pos="2520"/>
        </w:tabs>
        <w:ind w:left="2520" w:hanging="360"/>
      </w:pPr>
      <w:rPr>
        <w:rFonts w:ascii="Wingdings" w:hAnsi="Wingdings" w:hint="default"/>
      </w:rPr>
    </w:lvl>
    <w:lvl w:ilvl="3" w:tplc="D6C84350" w:tentative="1">
      <w:start w:val="1"/>
      <w:numFmt w:val="bullet"/>
      <w:lvlText w:val=""/>
      <w:lvlJc w:val="left"/>
      <w:pPr>
        <w:tabs>
          <w:tab w:val="num" w:pos="3240"/>
        </w:tabs>
        <w:ind w:left="3240" w:hanging="360"/>
      </w:pPr>
      <w:rPr>
        <w:rFonts w:ascii="Symbol" w:hAnsi="Symbol" w:hint="default"/>
      </w:rPr>
    </w:lvl>
    <w:lvl w:ilvl="4" w:tplc="D2B2B734" w:tentative="1">
      <w:start w:val="1"/>
      <w:numFmt w:val="bullet"/>
      <w:lvlText w:val="o"/>
      <w:lvlJc w:val="left"/>
      <w:pPr>
        <w:tabs>
          <w:tab w:val="num" w:pos="3960"/>
        </w:tabs>
        <w:ind w:left="3960" w:hanging="360"/>
      </w:pPr>
      <w:rPr>
        <w:rFonts w:ascii="Courier New" w:hAnsi="Courier New" w:cs="Arial" w:hint="default"/>
      </w:rPr>
    </w:lvl>
    <w:lvl w:ilvl="5" w:tplc="E42C028A" w:tentative="1">
      <w:start w:val="1"/>
      <w:numFmt w:val="bullet"/>
      <w:lvlText w:val=""/>
      <w:lvlJc w:val="left"/>
      <w:pPr>
        <w:tabs>
          <w:tab w:val="num" w:pos="4680"/>
        </w:tabs>
        <w:ind w:left="4680" w:hanging="360"/>
      </w:pPr>
      <w:rPr>
        <w:rFonts w:ascii="Wingdings" w:hAnsi="Wingdings" w:hint="default"/>
      </w:rPr>
    </w:lvl>
    <w:lvl w:ilvl="6" w:tplc="A1BACDD2" w:tentative="1">
      <w:start w:val="1"/>
      <w:numFmt w:val="bullet"/>
      <w:lvlText w:val=""/>
      <w:lvlJc w:val="left"/>
      <w:pPr>
        <w:tabs>
          <w:tab w:val="num" w:pos="5400"/>
        </w:tabs>
        <w:ind w:left="5400" w:hanging="360"/>
      </w:pPr>
      <w:rPr>
        <w:rFonts w:ascii="Symbol" w:hAnsi="Symbol" w:hint="default"/>
      </w:rPr>
    </w:lvl>
    <w:lvl w:ilvl="7" w:tplc="883AA312" w:tentative="1">
      <w:start w:val="1"/>
      <w:numFmt w:val="bullet"/>
      <w:lvlText w:val="o"/>
      <w:lvlJc w:val="left"/>
      <w:pPr>
        <w:tabs>
          <w:tab w:val="num" w:pos="6120"/>
        </w:tabs>
        <w:ind w:left="6120" w:hanging="360"/>
      </w:pPr>
      <w:rPr>
        <w:rFonts w:ascii="Courier New" w:hAnsi="Courier New" w:cs="Arial" w:hint="default"/>
      </w:rPr>
    </w:lvl>
    <w:lvl w:ilvl="8" w:tplc="76FAF8F6" w:tentative="1">
      <w:start w:val="1"/>
      <w:numFmt w:val="bullet"/>
      <w:lvlText w:val=""/>
      <w:lvlJc w:val="left"/>
      <w:pPr>
        <w:tabs>
          <w:tab w:val="num" w:pos="6840"/>
        </w:tabs>
        <w:ind w:left="6840" w:hanging="360"/>
      </w:pPr>
      <w:rPr>
        <w:rFonts w:ascii="Wingdings" w:hAnsi="Wingdings" w:hint="default"/>
      </w:rPr>
    </w:lvl>
  </w:abstractNum>
  <w:abstractNum w:abstractNumId="53">
    <w:nsid w:val="5B28641D"/>
    <w:multiLevelType w:val="multilevel"/>
    <w:tmpl w:val="C504C638"/>
    <w:lvl w:ilvl="0">
      <w:start w:val="1"/>
      <w:numFmt w:val="bullet"/>
      <w:pStyle w:val="RandListLev1"/>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54">
    <w:nsid w:val="5B8D7EDF"/>
    <w:multiLevelType w:val="hybridMultilevel"/>
    <w:tmpl w:val="F976A6C2"/>
    <w:lvl w:ilvl="0" w:tplc="681ECAC2">
      <w:start w:val="1"/>
      <w:numFmt w:val="bullet"/>
      <w:pStyle w:val="IPPNumberedListLast"/>
      <w:lvlText w:val=""/>
      <w:lvlJc w:val="left"/>
      <w:pPr>
        <w:tabs>
          <w:tab w:val="num" w:pos="765"/>
        </w:tabs>
        <w:ind w:left="765" w:hanging="360"/>
      </w:pPr>
      <w:rPr>
        <w:rFonts w:ascii="Wingdings" w:hAnsi="Wingdings" w:hint="default"/>
      </w:rPr>
    </w:lvl>
    <w:lvl w:ilvl="1" w:tplc="FD487CA0" w:tentative="1">
      <w:start w:val="1"/>
      <w:numFmt w:val="bullet"/>
      <w:lvlText w:val="o"/>
      <w:lvlJc w:val="left"/>
      <w:pPr>
        <w:tabs>
          <w:tab w:val="num" w:pos="1485"/>
        </w:tabs>
        <w:ind w:left="1485" w:hanging="360"/>
      </w:pPr>
      <w:rPr>
        <w:rFonts w:ascii="Courier New" w:hAnsi="Courier New" w:cs="MS Gothic" w:hint="default"/>
      </w:rPr>
    </w:lvl>
    <w:lvl w:ilvl="2" w:tplc="655E490A" w:tentative="1">
      <w:start w:val="1"/>
      <w:numFmt w:val="bullet"/>
      <w:lvlText w:val=""/>
      <w:lvlJc w:val="left"/>
      <w:pPr>
        <w:tabs>
          <w:tab w:val="num" w:pos="2205"/>
        </w:tabs>
        <w:ind w:left="2205" w:hanging="360"/>
      </w:pPr>
      <w:rPr>
        <w:rFonts w:ascii="Wingdings" w:hAnsi="Wingdings" w:hint="default"/>
      </w:rPr>
    </w:lvl>
    <w:lvl w:ilvl="3" w:tplc="8C8E9480" w:tentative="1">
      <w:start w:val="1"/>
      <w:numFmt w:val="bullet"/>
      <w:lvlText w:val=""/>
      <w:lvlJc w:val="left"/>
      <w:pPr>
        <w:tabs>
          <w:tab w:val="num" w:pos="2925"/>
        </w:tabs>
        <w:ind w:left="2925" w:hanging="360"/>
      </w:pPr>
      <w:rPr>
        <w:rFonts w:ascii="Symbol" w:hAnsi="Symbol" w:hint="default"/>
      </w:rPr>
    </w:lvl>
    <w:lvl w:ilvl="4" w:tplc="70C6F768" w:tentative="1">
      <w:start w:val="1"/>
      <w:numFmt w:val="bullet"/>
      <w:lvlText w:val="o"/>
      <w:lvlJc w:val="left"/>
      <w:pPr>
        <w:tabs>
          <w:tab w:val="num" w:pos="3645"/>
        </w:tabs>
        <w:ind w:left="3645" w:hanging="360"/>
      </w:pPr>
      <w:rPr>
        <w:rFonts w:ascii="Courier New" w:hAnsi="Courier New" w:cs="MS Gothic" w:hint="default"/>
      </w:rPr>
    </w:lvl>
    <w:lvl w:ilvl="5" w:tplc="ED7E8A32" w:tentative="1">
      <w:start w:val="1"/>
      <w:numFmt w:val="bullet"/>
      <w:lvlText w:val=""/>
      <w:lvlJc w:val="left"/>
      <w:pPr>
        <w:tabs>
          <w:tab w:val="num" w:pos="4365"/>
        </w:tabs>
        <w:ind w:left="4365" w:hanging="360"/>
      </w:pPr>
      <w:rPr>
        <w:rFonts w:ascii="Wingdings" w:hAnsi="Wingdings" w:hint="default"/>
      </w:rPr>
    </w:lvl>
    <w:lvl w:ilvl="6" w:tplc="19E018E8" w:tentative="1">
      <w:start w:val="1"/>
      <w:numFmt w:val="bullet"/>
      <w:lvlText w:val=""/>
      <w:lvlJc w:val="left"/>
      <w:pPr>
        <w:tabs>
          <w:tab w:val="num" w:pos="5085"/>
        </w:tabs>
        <w:ind w:left="5085" w:hanging="360"/>
      </w:pPr>
      <w:rPr>
        <w:rFonts w:ascii="Symbol" w:hAnsi="Symbol" w:hint="default"/>
      </w:rPr>
    </w:lvl>
    <w:lvl w:ilvl="7" w:tplc="FE523592" w:tentative="1">
      <w:start w:val="1"/>
      <w:numFmt w:val="bullet"/>
      <w:lvlText w:val="o"/>
      <w:lvlJc w:val="left"/>
      <w:pPr>
        <w:tabs>
          <w:tab w:val="num" w:pos="5805"/>
        </w:tabs>
        <w:ind w:left="5805" w:hanging="360"/>
      </w:pPr>
      <w:rPr>
        <w:rFonts w:ascii="Courier New" w:hAnsi="Courier New" w:cs="MS Gothic" w:hint="default"/>
      </w:rPr>
    </w:lvl>
    <w:lvl w:ilvl="8" w:tplc="8C006F8C" w:tentative="1">
      <w:start w:val="1"/>
      <w:numFmt w:val="bullet"/>
      <w:lvlText w:val=""/>
      <w:lvlJc w:val="left"/>
      <w:pPr>
        <w:tabs>
          <w:tab w:val="num" w:pos="6525"/>
        </w:tabs>
        <w:ind w:left="6525" w:hanging="360"/>
      </w:pPr>
      <w:rPr>
        <w:rFonts w:ascii="Wingdings" w:hAnsi="Wingdings" w:hint="default"/>
      </w:rPr>
    </w:lvl>
  </w:abstractNum>
  <w:abstractNum w:abstractNumId="55">
    <w:nsid w:val="5C2E1B6B"/>
    <w:multiLevelType w:val="hybridMultilevel"/>
    <w:tmpl w:val="7422D6FC"/>
    <w:lvl w:ilvl="0" w:tplc="08090001">
      <w:start w:val="1"/>
      <w:numFmt w:val="bullet"/>
      <w:lvlText w:val=""/>
      <w:lvlJc w:val="left"/>
      <w:pPr>
        <w:ind w:left="720" w:hanging="360"/>
      </w:pPr>
      <w:rPr>
        <w:rFonts w:ascii="Symbol" w:hAnsi="Symbol" w:hint="default"/>
      </w:rPr>
    </w:lvl>
    <w:lvl w:ilvl="1" w:tplc="FD88F806">
      <w:numFmt w:val="bullet"/>
      <w:lvlText w:val="•"/>
      <w:lvlJc w:val="left"/>
      <w:pPr>
        <w:ind w:left="1440" w:hanging="36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5E70440A"/>
    <w:multiLevelType w:val="hybridMultilevel"/>
    <w:tmpl w:val="034E3442"/>
    <w:lvl w:ilvl="0" w:tplc="1BC49250">
      <w:start w:val="1"/>
      <w:numFmt w:val="decimal"/>
      <w:pStyle w:val="IPPNormal"/>
      <w:lvlText w:val="%1."/>
      <w:lvlJc w:val="left"/>
      <w:pPr>
        <w:tabs>
          <w:tab w:val="num" w:pos="720"/>
        </w:tabs>
        <w:ind w:left="720" w:hanging="360"/>
      </w:pPr>
    </w:lvl>
    <w:lvl w:ilvl="1" w:tplc="94E0F534" w:tentative="1">
      <w:start w:val="1"/>
      <w:numFmt w:val="lowerLetter"/>
      <w:lvlText w:val="%2."/>
      <w:lvlJc w:val="left"/>
      <w:pPr>
        <w:tabs>
          <w:tab w:val="num" w:pos="1440"/>
        </w:tabs>
        <w:ind w:left="1440" w:hanging="360"/>
      </w:pPr>
    </w:lvl>
    <w:lvl w:ilvl="2" w:tplc="871807C6" w:tentative="1">
      <w:start w:val="1"/>
      <w:numFmt w:val="lowerRoman"/>
      <w:lvlText w:val="%3."/>
      <w:lvlJc w:val="right"/>
      <w:pPr>
        <w:tabs>
          <w:tab w:val="num" w:pos="2160"/>
        </w:tabs>
        <w:ind w:left="2160" w:hanging="180"/>
      </w:pPr>
    </w:lvl>
    <w:lvl w:ilvl="3" w:tplc="AA2E4ABA" w:tentative="1">
      <w:start w:val="1"/>
      <w:numFmt w:val="decimal"/>
      <w:lvlText w:val="%4."/>
      <w:lvlJc w:val="left"/>
      <w:pPr>
        <w:tabs>
          <w:tab w:val="num" w:pos="2880"/>
        </w:tabs>
        <w:ind w:left="2880" w:hanging="360"/>
      </w:pPr>
    </w:lvl>
    <w:lvl w:ilvl="4" w:tplc="3CB65DD4" w:tentative="1">
      <w:start w:val="1"/>
      <w:numFmt w:val="lowerLetter"/>
      <w:lvlText w:val="%5."/>
      <w:lvlJc w:val="left"/>
      <w:pPr>
        <w:tabs>
          <w:tab w:val="num" w:pos="3600"/>
        </w:tabs>
        <w:ind w:left="3600" w:hanging="360"/>
      </w:pPr>
    </w:lvl>
    <w:lvl w:ilvl="5" w:tplc="E158B12A" w:tentative="1">
      <w:start w:val="1"/>
      <w:numFmt w:val="lowerRoman"/>
      <w:lvlText w:val="%6."/>
      <w:lvlJc w:val="right"/>
      <w:pPr>
        <w:tabs>
          <w:tab w:val="num" w:pos="4320"/>
        </w:tabs>
        <w:ind w:left="4320" w:hanging="180"/>
      </w:pPr>
    </w:lvl>
    <w:lvl w:ilvl="6" w:tplc="223260AE" w:tentative="1">
      <w:start w:val="1"/>
      <w:numFmt w:val="decimal"/>
      <w:lvlText w:val="%7."/>
      <w:lvlJc w:val="left"/>
      <w:pPr>
        <w:tabs>
          <w:tab w:val="num" w:pos="5040"/>
        </w:tabs>
        <w:ind w:left="5040" w:hanging="360"/>
      </w:pPr>
    </w:lvl>
    <w:lvl w:ilvl="7" w:tplc="911E922E" w:tentative="1">
      <w:start w:val="1"/>
      <w:numFmt w:val="lowerLetter"/>
      <w:lvlText w:val="%8."/>
      <w:lvlJc w:val="left"/>
      <w:pPr>
        <w:tabs>
          <w:tab w:val="num" w:pos="5760"/>
        </w:tabs>
        <w:ind w:left="5760" w:hanging="360"/>
      </w:pPr>
    </w:lvl>
    <w:lvl w:ilvl="8" w:tplc="831C4494" w:tentative="1">
      <w:start w:val="1"/>
      <w:numFmt w:val="lowerRoman"/>
      <w:lvlText w:val="%9."/>
      <w:lvlJc w:val="right"/>
      <w:pPr>
        <w:tabs>
          <w:tab w:val="num" w:pos="6480"/>
        </w:tabs>
        <w:ind w:left="6480" w:hanging="180"/>
      </w:pPr>
    </w:lvl>
  </w:abstractNum>
  <w:abstractNum w:abstractNumId="57">
    <w:nsid w:val="605B5305"/>
    <w:multiLevelType w:val="hybridMultilevel"/>
    <w:tmpl w:val="5394D204"/>
    <w:lvl w:ilvl="0" w:tplc="5E66DE9E">
      <w:start w:val="1"/>
      <w:numFmt w:val="decimal"/>
      <w:pStyle w:val="Paranumbered"/>
      <w:lvlText w:val="%1."/>
      <w:lvlJc w:val="left"/>
      <w:pPr>
        <w:tabs>
          <w:tab w:val="num" w:pos="720"/>
        </w:tabs>
        <w:ind w:left="720" w:hanging="720"/>
      </w:pPr>
      <w:rPr>
        <w:rFonts w:hint="default"/>
      </w:rPr>
    </w:lvl>
    <w:lvl w:ilvl="1" w:tplc="18AA76F4">
      <w:start w:val="1"/>
      <w:numFmt w:val="lowerLetter"/>
      <w:lvlText w:val="%2."/>
      <w:lvlJc w:val="left"/>
      <w:pPr>
        <w:tabs>
          <w:tab w:val="num" w:pos="1440"/>
        </w:tabs>
        <w:ind w:left="1440" w:hanging="360"/>
      </w:pPr>
    </w:lvl>
    <w:lvl w:ilvl="2" w:tplc="CDC21372">
      <w:start w:val="1"/>
      <w:numFmt w:val="lowerRoman"/>
      <w:lvlText w:val="%3."/>
      <w:lvlJc w:val="right"/>
      <w:pPr>
        <w:tabs>
          <w:tab w:val="num" w:pos="2160"/>
        </w:tabs>
        <w:ind w:left="2160" w:hanging="180"/>
      </w:pPr>
    </w:lvl>
    <w:lvl w:ilvl="3" w:tplc="79262EEA">
      <w:start w:val="1"/>
      <w:numFmt w:val="decimal"/>
      <w:lvlText w:val="%4."/>
      <w:lvlJc w:val="left"/>
      <w:pPr>
        <w:tabs>
          <w:tab w:val="num" w:pos="2880"/>
        </w:tabs>
        <w:ind w:left="2880" w:hanging="360"/>
      </w:pPr>
    </w:lvl>
    <w:lvl w:ilvl="4" w:tplc="1D48B888">
      <w:start w:val="1"/>
      <w:numFmt w:val="lowerLetter"/>
      <w:lvlText w:val="%5."/>
      <w:lvlJc w:val="left"/>
      <w:pPr>
        <w:tabs>
          <w:tab w:val="num" w:pos="3600"/>
        </w:tabs>
        <w:ind w:left="3600" w:hanging="360"/>
      </w:pPr>
    </w:lvl>
    <w:lvl w:ilvl="5" w:tplc="BE30C18E">
      <w:start w:val="1"/>
      <w:numFmt w:val="lowerRoman"/>
      <w:lvlText w:val="%6."/>
      <w:lvlJc w:val="right"/>
      <w:pPr>
        <w:tabs>
          <w:tab w:val="num" w:pos="4320"/>
        </w:tabs>
        <w:ind w:left="4320" w:hanging="180"/>
      </w:pPr>
    </w:lvl>
    <w:lvl w:ilvl="6" w:tplc="EEFE24EA">
      <w:start w:val="1"/>
      <w:numFmt w:val="decimal"/>
      <w:lvlText w:val="%7."/>
      <w:lvlJc w:val="left"/>
      <w:pPr>
        <w:tabs>
          <w:tab w:val="num" w:pos="5040"/>
        </w:tabs>
        <w:ind w:left="5040" w:hanging="360"/>
      </w:pPr>
    </w:lvl>
    <w:lvl w:ilvl="7" w:tplc="8E909338">
      <w:start w:val="1"/>
      <w:numFmt w:val="lowerLetter"/>
      <w:lvlText w:val="%8."/>
      <w:lvlJc w:val="left"/>
      <w:pPr>
        <w:tabs>
          <w:tab w:val="num" w:pos="5760"/>
        </w:tabs>
        <w:ind w:left="5760" w:hanging="360"/>
      </w:pPr>
    </w:lvl>
    <w:lvl w:ilvl="8" w:tplc="664E46A0">
      <w:start w:val="1"/>
      <w:numFmt w:val="lowerRoman"/>
      <w:lvlText w:val="%9."/>
      <w:lvlJc w:val="right"/>
      <w:pPr>
        <w:tabs>
          <w:tab w:val="num" w:pos="6480"/>
        </w:tabs>
        <w:ind w:left="6480" w:hanging="180"/>
      </w:pPr>
    </w:lvl>
  </w:abstractNum>
  <w:abstractNum w:abstractNumId="58">
    <w:nsid w:val="606E19AA"/>
    <w:multiLevelType w:val="hybridMultilevel"/>
    <w:tmpl w:val="6AACAAA0"/>
    <w:lvl w:ilvl="0" w:tplc="CD90B98C">
      <w:start w:val="1"/>
      <w:numFmt w:val="bullet"/>
      <w:pStyle w:val="Bulletdash"/>
      <w:lvlText w:val=""/>
      <w:lvlJc w:val="left"/>
      <w:pPr>
        <w:ind w:left="618" w:hanging="360"/>
      </w:pPr>
      <w:rPr>
        <w:rFonts w:ascii="Symbol" w:hAnsi="Symbol" w:hint="default"/>
      </w:rPr>
    </w:lvl>
    <w:lvl w:ilvl="1" w:tplc="B5A04B06" w:tentative="1">
      <w:start w:val="1"/>
      <w:numFmt w:val="bullet"/>
      <w:lvlText w:val="o"/>
      <w:lvlJc w:val="left"/>
      <w:pPr>
        <w:ind w:left="1338" w:hanging="360"/>
      </w:pPr>
      <w:rPr>
        <w:rFonts w:ascii="Courier New" w:hAnsi="Courier New" w:cs="Consolas" w:hint="default"/>
      </w:rPr>
    </w:lvl>
    <w:lvl w:ilvl="2" w:tplc="9DE86EB2" w:tentative="1">
      <w:start w:val="1"/>
      <w:numFmt w:val="bullet"/>
      <w:lvlText w:val=""/>
      <w:lvlJc w:val="left"/>
      <w:pPr>
        <w:ind w:left="2058" w:hanging="360"/>
      </w:pPr>
      <w:rPr>
        <w:rFonts w:ascii="Wingdings" w:hAnsi="Wingdings" w:hint="default"/>
      </w:rPr>
    </w:lvl>
    <w:lvl w:ilvl="3" w:tplc="1EA28136" w:tentative="1">
      <w:start w:val="1"/>
      <w:numFmt w:val="bullet"/>
      <w:lvlText w:val=""/>
      <w:lvlJc w:val="left"/>
      <w:pPr>
        <w:ind w:left="2778" w:hanging="360"/>
      </w:pPr>
      <w:rPr>
        <w:rFonts w:ascii="Symbol" w:hAnsi="Symbol" w:hint="default"/>
      </w:rPr>
    </w:lvl>
    <w:lvl w:ilvl="4" w:tplc="7F905118" w:tentative="1">
      <w:start w:val="1"/>
      <w:numFmt w:val="bullet"/>
      <w:lvlText w:val="o"/>
      <w:lvlJc w:val="left"/>
      <w:pPr>
        <w:ind w:left="3498" w:hanging="360"/>
      </w:pPr>
      <w:rPr>
        <w:rFonts w:ascii="Courier New" w:hAnsi="Courier New" w:cs="Consolas" w:hint="default"/>
      </w:rPr>
    </w:lvl>
    <w:lvl w:ilvl="5" w:tplc="66E25F2E" w:tentative="1">
      <w:start w:val="1"/>
      <w:numFmt w:val="bullet"/>
      <w:lvlText w:val=""/>
      <w:lvlJc w:val="left"/>
      <w:pPr>
        <w:ind w:left="4218" w:hanging="360"/>
      </w:pPr>
      <w:rPr>
        <w:rFonts w:ascii="Wingdings" w:hAnsi="Wingdings" w:hint="default"/>
      </w:rPr>
    </w:lvl>
    <w:lvl w:ilvl="6" w:tplc="DB8E8F84" w:tentative="1">
      <w:start w:val="1"/>
      <w:numFmt w:val="bullet"/>
      <w:lvlText w:val=""/>
      <w:lvlJc w:val="left"/>
      <w:pPr>
        <w:ind w:left="4938" w:hanging="360"/>
      </w:pPr>
      <w:rPr>
        <w:rFonts w:ascii="Symbol" w:hAnsi="Symbol" w:hint="default"/>
      </w:rPr>
    </w:lvl>
    <w:lvl w:ilvl="7" w:tplc="47A61CB2" w:tentative="1">
      <w:start w:val="1"/>
      <w:numFmt w:val="bullet"/>
      <w:lvlText w:val="o"/>
      <w:lvlJc w:val="left"/>
      <w:pPr>
        <w:ind w:left="5658" w:hanging="360"/>
      </w:pPr>
      <w:rPr>
        <w:rFonts w:ascii="Courier New" w:hAnsi="Courier New" w:cs="Consolas" w:hint="default"/>
      </w:rPr>
    </w:lvl>
    <w:lvl w:ilvl="8" w:tplc="4FBE97A4" w:tentative="1">
      <w:start w:val="1"/>
      <w:numFmt w:val="bullet"/>
      <w:lvlText w:val=""/>
      <w:lvlJc w:val="left"/>
      <w:pPr>
        <w:ind w:left="6378" w:hanging="360"/>
      </w:pPr>
      <w:rPr>
        <w:rFonts w:ascii="Wingdings" w:hAnsi="Wingdings" w:hint="default"/>
      </w:rPr>
    </w:lvl>
  </w:abstractNum>
  <w:abstractNum w:abstractNumId="59">
    <w:nsid w:val="61AE1ECE"/>
    <w:multiLevelType w:val="hybridMultilevel"/>
    <w:tmpl w:val="D522F93E"/>
    <w:lvl w:ilvl="0" w:tplc="7932EDE0">
      <w:start w:val="15"/>
      <w:numFmt w:val="decimal"/>
      <w:pStyle w:val="IPPLetterListIndent"/>
      <w:lvlText w:val="%1."/>
      <w:lvlJc w:val="left"/>
      <w:pPr>
        <w:tabs>
          <w:tab w:val="num" w:pos="990"/>
        </w:tabs>
        <w:ind w:left="990" w:hanging="360"/>
      </w:pPr>
      <w:rPr>
        <w:rFonts w:hint="default"/>
      </w:rPr>
    </w:lvl>
    <w:lvl w:ilvl="1" w:tplc="6DB657F2" w:tentative="1">
      <w:start w:val="1"/>
      <w:numFmt w:val="lowerLetter"/>
      <w:lvlText w:val="%2."/>
      <w:lvlJc w:val="left"/>
      <w:pPr>
        <w:tabs>
          <w:tab w:val="num" w:pos="1710"/>
        </w:tabs>
        <w:ind w:left="1710" w:hanging="360"/>
      </w:pPr>
    </w:lvl>
    <w:lvl w:ilvl="2" w:tplc="53D2334A" w:tentative="1">
      <w:start w:val="1"/>
      <w:numFmt w:val="lowerRoman"/>
      <w:lvlText w:val="%3."/>
      <w:lvlJc w:val="right"/>
      <w:pPr>
        <w:tabs>
          <w:tab w:val="num" w:pos="2430"/>
        </w:tabs>
        <w:ind w:left="2430" w:hanging="180"/>
      </w:pPr>
    </w:lvl>
    <w:lvl w:ilvl="3" w:tplc="01F43DE8" w:tentative="1">
      <w:start w:val="1"/>
      <w:numFmt w:val="decimal"/>
      <w:lvlText w:val="%4."/>
      <w:lvlJc w:val="left"/>
      <w:pPr>
        <w:tabs>
          <w:tab w:val="num" w:pos="3150"/>
        </w:tabs>
        <w:ind w:left="3150" w:hanging="360"/>
      </w:pPr>
    </w:lvl>
    <w:lvl w:ilvl="4" w:tplc="4184DA78" w:tentative="1">
      <w:start w:val="1"/>
      <w:numFmt w:val="lowerLetter"/>
      <w:lvlText w:val="%5."/>
      <w:lvlJc w:val="left"/>
      <w:pPr>
        <w:tabs>
          <w:tab w:val="num" w:pos="3870"/>
        </w:tabs>
        <w:ind w:left="3870" w:hanging="360"/>
      </w:pPr>
    </w:lvl>
    <w:lvl w:ilvl="5" w:tplc="ABFA36F6" w:tentative="1">
      <w:start w:val="1"/>
      <w:numFmt w:val="lowerRoman"/>
      <w:lvlText w:val="%6."/>
      <w:lvlJc w:val="right"/>
      <w:pPr>
        <w:tabs>
          <w:tab w:val="num" w:pos="4590"/>
        </w:tabs>
        <w:ind w:left="4590" w:hanging="180"/>
      </w:pPr>
    </w:lvl>
    <w:lvl w:ilvl="6" w:tplc="FCF256CE" w:tentative="1">
      <w:start w:val="1"/>
      <w:numFmt w:val="decimal"/>
      <w:lvlText w:val="%7."/>
      <w:lvlJc w:val="left"/>
      <w:pPr>
        <w:tabs>
          <w:tab w:val="num" w:pos="5310"/>
        </w:tabs>
        <w:ind w:left="5310" w:hanging="360"/>
      </w:pPr>
    </w:lvl>
    <w:lvl w:ilvl="7" w:tplc="7F682FB8" w:tentative="1">
      <w:start w:val="1"/>
      <w:numFmt w:val="lowerLetter"/>
      <w:lvlText w:val="%8."/>
      <w:lvlJc w:val="left"/>
      <w:pPr>
        <w:tabs>
          <w:tab w:val="num" w:pos="6030"/>
        </w:tabs>
        <w:ind w:left="6030" w:hanging="360"/>
      </w:pPr>
    </w:lvl>
    <w:lvl w:ilvl="8" w:tplc="2BA6E802" w:tentative="1">
      <w:start w:val="1"/>
      <w:numFmt w:val="lowerRoman"/>
      <w:lvlText w:val="%9."/>
      <w:lvlJc w:val="right"/>
      <w:pPr>
        <w:tabs>
          <w:tab w:val="num" w:pos="6750"/>
        </w:tabs>
        <w:ind w:left="6750" w:hanging="180"/>
      </w:pPr>
    </w:lvl>
  </w:abstractNum>
  <w:abstractNum w:abstractNumId="60">
    <w:nsid w:val="62506547"/>
    <w:multiLevelType w:val="hybridMultilevel"/>
    <w:tmpl w:val="4C56F27A"/>
    <w:lvl w:ilvl="0" w:tplc="496E5C94">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1">
    <w:nsid w:val="6415563A"/>
    <w:multiLevelType w:val="hybridMultilevel"/>
    <w:tmpl w:val="55E6B992"/>
    <w:lvl w:ilvl="0" w:tplc="00000001">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658A2624"/>
    <w:multiLevelType w:val="hybridMultilevel"/>
    <w:tmpl w:val="C5E8DBFA"/>
    <w:lvl w:ilvl="0" w:tplc="16B225DA">
      <w:start w:val="1"/>
      <w:numFmt w:val="bullet"/>
      <w:pStyle w:val="Style"/>
      <w:lvlText w:val=""/>
      <w:lvlJc w:val="left"/>
      <w:pPr>
        <w:tabs>
          <w:tab w:val="num" w:pos="720"/>
        </w:tabs>
        <w:ind w:left="720" w:hanging="360"/>
      </w:pPr>
      <w:rPr>
        <w:rFonts w:ascii="Symbol" w:hAnsi="Symbol" w:hint="default"/>
      </w:rPr>
    </w:lvl>
    <w:lvl w:ilvl="1" w:tplc="5E464262">
      <w:start w:val="1"/>
      <w:numFmt w:val="bullet"/>
      <w:lvlText w:val="o"/>
      <w:lvlJc w:val="left"/>
      <w:pPr>
        <w:tabs>
          <w:tab w:val="num" w:pos="1440"/>
        </w:tabs>
        <w:ind w:left="1440" w:hanging="360"/>
      </w:pPr>
      <w:rPr>
        <w:rFonts w:ascii="Courier New" w:hAnsi="Courier New" w:cs="Consolas" w:hint="default"/>
      </w:rPr>
    </w:lvl>
    <w:lvl w:ilvl="2" w:tplc="26EC6F76" w:tentative="1">
      <w:start w:val="1"/>
      <w:numFmt w:val="bullet"/>
      <w:lvlText w:val=""/>
      <w:lvlJc w:val="left"/>
      <w:pPr>
        <w:tabs>
          <w:tab w:val="num" w:pos="2160"/>
        </w:tabs>
        <w:ind w:left="2160" w:hanging="360"/>
      </w:pPr>
      <w:rPr>
        <w:rFonts w:ascii="Wingdings" w:hAnsi="Wingdings" w:hint="default"/>
      </w:rPr>
    </w:lvl>
    <w:lvl w:ilvl="3" w:tplc="5EF0A7B2" w:tentative="1">
      <w:start w:val="1"/>
      <w:numFmt w:val="bullet"/>
      <w:lvlText w:val=""/>
      <w:lvlJc w:val="left"/>
      <w:pPr>
        <w:tabs>
          <w:tab w:val="num" w:pos="2880"/>
        </w:tabs>
        <w:ind w:left="2880" w:hanging="360"/>
      </w:pPr>
      <w:rPr>
        <w:rFonts w:ascii="Symbol" w:hAnsi="Symbol" w:hint="default"/>
      </w:rPr>
    </w:lvl>
    <w:lvl w:ilvl="4" w:tplc="068C84BC" w:tentative="1">
      <w:start w:val="1"/>
      <w:numFmt w:val="bullet"/>
      <w:lvlText w:val="o"/>
      <w:lvlJc w:val="left"/>
      <w:pPr>
        <w:tabs>
          <w:tab w:val="num" w:pos="3600"/>
        </w:tabs>
        <w:ind w:left="3600" w:hanging="360"/>
      </w:pPr>
      <w:rPr>
        <w:rFonts w:ascii="Courier New" w:hAnsi="Courier New" w:cs="Consolas" w:hint="default"/>
      </w:rPr>
    </w:lvl>
    <w:lvl w:ilvl="5" w:tplc="8FF8A9E8" w:tentative="1">
      <w:start w:val="1"/>
      <w:numFmt w:val="bullet"/>
      <w:lvlText w:val=""/>
      <w:lvlJc w:val="left"/>
      <w:pPr>
        <w:tabs>
          <w:tab w:val="num" w:pos="4320"/>
        </w:tabs>
        <w:ind w:left="4320" w:hanging="360"/>
      </w:pPr>
      <w:rPr>
        <w:rFonts w:ascii="Wingdings" w:hAnsi="Wingdings" w:hint="default"/>
      </w:rPr>
    </w:lvl>
    <w:lvl w:ilvl="6" w:tplc="D3CCE5E2" w:tentative="1">
      <w:start w:val="1"/>
      <w:numFmt w:val="bullet"/>
      <w:lvlText w:val=""/>
      <w:lvlJc w:val="left"/>
      <w:pPr>
        <w:tabs>
          <w:tab w:val="num" w:pos="5040"/>
        </w:tabs>
        <w:ind w:left="5040" w:hanging="360"/>
      </w:pPr>
      <w:rPr>
        <w:rFonts w:ascii="Symbol" w:hAnsi="Symbol" w:hint="default"/>
      </w:rPr>
    </w:lvl>
    <w:lvl w:ilvl="7" w:tplc="AF9A4E3C" w:tentative="1">
      <w:start w:val="1"/>
      <w:numFmt w:val="bullet"/>
      <w:lvlText w:val="o"/>
      <w:lvlJc w:val="left"/>
      <w:pPr>
        <w:tabs>
          <w:tab w:val="num" w:pos="5760"/>
        </w:tabs>
        <w:ind w:left="5760" w:hanging="360"/>
      </w:pPr>
      <w:rPr>
        <w:rFonts w:ascii="Courier New" w:hAnsi="Courier New" w:cs="Consolas" w:hint="default"/>
      </w:rPr>
    </w:lvl>
    <w:lvl w:ilvl="8" w:tplc="D5968010" w:tentative="1">
      <w:start w:val="1"/>
      <w:numFmt w:val="bullet"/>
      <w:lvlText w:val=""/>
      <w:lvlJc w:val="left"/>
      <w:pPr>
        <w:tabs>
          <w:tab w:val="num" w:pos="6480"/>
        </w:tabs>
        <w:ind w:left="6480" w:hanging="360"/>
      </w:pPr>
      <w:rPr>
        <w:rFonts w:ascii="Wingdings" w:hAnsi="Wingdings" w:hint="default"/>
      </w:rPr>
    </w:lvl>
  </w:abstractNum>
  <w:abstractNum w:abstractNumId="63">
    <w:nsid w:val="6D6507BD"/>
    <w:multiLevelType w:val="hybridMultilevel"/>
    <w:tmpl w:val="3EBABF54"/>
    <w:lvl w:ilvl="0" w:tplc="3FBA5326">
      <w:start w:val="1"/>
      <w:numFmt w:val="bullet"/>
      <w:pStyle w:val="IPPAnnexHead"/>
      <w:lvlText w:val=""/>
      <w:lvlJc w:val="left"/>
      <w:pPr>
        <w:tabs>
          <w:tab w:val="num" w:pos="720"/>
        </w:tabs>
        <w:ind w:left="720" w:hanging="360"/>
      </w:pPr>
      <w:rPr>
        <w:rFonts w:ascii="Symbol" w:hAnsi="Symbol" w:hint="default"/>
      </w:rPr>
    </w:lvl>
    <w:lvl w:ilvl="1" w:tplc="3C7EFD9C" w:tentative="1">
      <w:start w:val="1"/>
      <w:numFmt w:val="bullet"/>
      <w:lvlText w:val="o"/>
      <w:lvlJc w:val="left"/>
      <w:pPr>
        <w:tabs>
          <w:tab w:val="num" w:pos="1440"/>
        </w:tabs>
        <w:ind w:left="1440" w:hanging="360"/>
      </w:pPr>
      <w:rPr>
        <w:rFonts w:ascii="Courier New" w:hAnsi="Courier New" w:cs="Consolas" w:hint="default"/>
      </w:rPr>
    </w:lvl>
    <w:lvl w:ilvl="2" w:tplc="17604286" w:tentative="1">
      <w:start w:val="1"/>
      <w:numFmt w:val="bullet"/>
      <w:lvlText w:val=""/>
      <w:lvlJc w:val="left"/>
      <w:pPr>
        <w:tabs>
          <w:tab w:val="num" w:pos="2160"/>
        </w:tabs>
        <w:ind w:left="2160" w:hanging="360"/>
      </w:pPr>
      <w:rPr>
        <w:rFonts w:ascii="Wingdings" w:hAnsi="Wingdings" w:hint="default"/>
      </w:rPr>
    </w:lvl>
    <w:lvl w:ilvl="3" w:tplc="80C0D0C2" w:tentative="1">
      <w:start w:val="1"/>
      <w:numFmt w:val="bullet"/>
      <w:lvlText w:val=""/>
      <w:lvlJc w:val="left"/>
      <w:pPr>
        <w:tabs>
          <w:tab w:val="num" w:pos="2880"/>
        </w:tabs>
        <w:ind w:left="2880" w:hanging="360"/>
      </w:pPr>
      <w:rPr>
        <w:rFonts w:ascii="Symbol" w:hAnsi="Symbol" w:hint="default"/>
      </w:rPr>
    </w:lvl>
    <w:lvl w:ilvl="4" w:tplc="5262D67E" w:tentative="1">
      <w:start w:val="1"/>
      <w:numFmt w:val="bullet"/>
      <w:lvlText w:val="o"/>
      <w:lvlJc w:val="left"/>
      <w:pPr>
        <w:tabs>
          <w:tab w:val="num" w:pos="3600"/>
        </w:tabs>
        <w:ind w:left="3600" w:hanging="360"/>
      </w:pPr>
      <w:rPr>
        <w:rFonts w:ascii="Courier New" w:hAnsi="Courier New" w:cs="Consolas" w:hint="default"/>
      </w:rPr>
    </w:lvl>
    <w:lvl w:ilvl="5" w:tplc="2BF82DF2" w:tentative="1">
      <w:start w:val="1"/>
      <w:numFmt w:val="bullet"/>
      <w:lvlText w:val=""/>
      <w:lvlJc w:val="left"/>
      <w:pPr>
        <w:tabs>
          <w:tab w:val="num" w:pos="4320"/>
        </w:tabs>
        <w:ind w:left="4320" w:hanging="360"/>
      </w:pPr>
      <w:rPr>
        <w:rFonts w:ascii="Wingdings" w:hAnsi="Wingdings" w:hint="default"/>
      </w:rPr>
    </w:lvl>
    <w:lvl w:ilvl="6" w:tplc="E3C24FD0" w:tentative="1">
      <w:start w:val="1"/>
      <w:numFmt w:val="bullet"/>
      <w:lvlText w:val=""/>
      <w:lvlJc w:val="left"/>
      <w:pPr>
        <w:tabs>
          <w:tab w:val="num" w:pos="5040"/>
        </w:tabs>
        <w:ind w:left="5040" w:hanging="360"/>
      </w:pPr>
      <w:rPr>
        <w:rFonts w:ascii="Symbol" w:hAnsi="Symbol" w:hint="default"/>
      </w:rPr>
    </w:lvl>
    <w:lvl w:ilvl="7" w:tplc="6F964FB6" w:tentative="1">
      <w:start w:val="1"/>
      <w:numFmt w:val="bullet"/>
      <w:lvlText w:val="o"/>
      <w:lvlJc w:val="left"/>
      <w:pPr>
        <w:tabs>
          <w:tab w:val="num" w:pos="5760"/>
        </w:tabs>
        <w:ind w:left="5760" w:hanging="360"/>
      </w:pPr>
      <w:rPr>
        <w:rFonts w:ascii="Courier New" w:hAnsi="Courier New" w:cs="Consolas" w:hint="default"/>
      </w:rPr>
    </w:lvl>
    <w:lvl w:ilvl="8" w:tplc="7D3C0544" w:tentative="1">
      <w:start w:val="1"/>
      <w:numFmt w:val="bullet"/>
      <w:lvlText w:val=""/>
      <w:lvlJc w:val="left"/>
      <w:pPr>
        <w:tabs>
          <w:tab w:val="num" w:pos="6480"/>
        </w:tabs>
        <w:ind w:left="6480" w:hanging="360"/>
      </w:pPr>
      <w:rPr>
        <w:rFonts w:ascii="Wingdings" w:hAnsi="Wingdings" w:hint="default"/>
      </w:rPr>
    </w:lvl>
  </w:abstractNum>
  <w:abstractNum w:abstractNumId="64">
    <w:nsid w:val="727F3C72"/>
    <w:multiLevelType w:val="hybridMultilevel"/>
    <w:tmpl w:val="77B60982"/>
    <w:lvl w:ilvl="0" w:tplc="B81CB32C">
      <w:start w:val="1"/>
      <w:numFmt w:val="decimal"/>
      <w:pStyle w:val="BoxRandList1"/>
      <w:lvlText w:val="%1."/>
      <w:lvlJc w:val="left"/>
      <w:pPr>
        <w:tabs>
          <w:tab w:val="num" w:pos="1278"/>
        </w:tabs>
        <w:ind w:left="1278" w:hanging="360"/>
      </w:pPr>
      <w:rPr>
        <w:rFonts w:hint="default"/>
      </w:rPr>
    </w:lvl>
    <w:lvl w:ilvl="1" w:tplc="1494B8DA" w:tentative="1">
      <w:start w:val="1"/>
      <w:numFmt w:val="aiueoFullWidth"/>
      <w:lvlText w:val="(%2)"/>
      <w:lvlJc w:val="left"/>
      <w:pPr>
        <w:tabs>
          <w:tab w:val="num" w:pos="1758"/>
        </w:tabs>
        <w:ind w:left="1758" w:hanging="420"/>
      </w:pPr>
    </w:lvl>
    <w:lvl w:ilvl="2" w:tplc="018CC1A4" w:tentative="1">
      <w:start w:val="1"/>
      <w:numFmt w:val="decimalEnclosedCircle"/>
      <w:lvlText w:val="%3"/>
      <w:lvlJc w:val="left"/>
      <w:pPr>
        <w:tabs>
          <w:tab w:val="num" w:pos="2178"/>
        </w:tabs>
        <w:ind w:left="2178" w:hanging="420"/>
      </w:pPr>
    </w:lvl>
    <w:lvl w:ilvl="3" w:tplc="38CEBDF8" w:tentative="1">
      <w:start w:val="1"/>
      <w:numFmt w:val="decimal"/>
      <w:lvlText w:val="%4."/>
      <w:lvlJc w:val="left"/>
      <w:pPr>
        <w:tabs>
          <w:tab w:val="num" w:pos="2598"/>
        </w:tabs>
        <w:ind w:left="2598" w:hanging="420"/>
      </w:pPr>
    </w:lvl>
    <w:lvl w:ilvl="4" w:tplc="7FDE0116" w:tentative="1">
      <w:start w:val="1"/>
      <w:numFmt w:val="aiueoFullWidth"/>
      <w:lvlText w:val="(%5)"/>
      <w:lvlJc w:val="left"/>
      <w:pPr>
        <w:tabs>
          <w:tab w:val="num" w:pos="3018"/>
        </w:tabs>
        <w:ind w:left="3018" w:hanging="420"/>
      </w:pPr>
    </w:lvl>
    <w:lvl w:ilvl="5" w:tplc="DFCE99B0" w:tentative="1">
      <w:start w:val="1"/>
      <w:numFmt w:val="decimalEnclosedCircle"/>
      <w:lvlText w:val="%6"/>
      <w:lvlJc w:val="left"/>
      <w:pPr>
        <w:tabs>
          <w:tab w:val="num" w:pos="3438"/>
        </w:tabs>
        <w:ind w:left="3438" w:hanging="420"/>
      </w:pPr>
    </w:lvl>
    <w:lvl w:ilvl="6" w:tplc="6E6EDCBC" w:tentative="1">
      <w:start w:val="1"/>
      <w:numFmt w:val="decimal"/>
      <w:lvlText w:val="%7."/>
      <w:lvlJc w:val="left"/>
      <w:pPr>
        <w:tabs>
          <w:tab w:val="num" w:pos="3858"/>
        </w:tabs>
        <w:ind w:left="3858" w:hanging="420"/>
      </w:pPr>
    </w:lvl>
    <w:lvl w:ilvl="7" w:tplc="D40EB880" w:tentative="1">
      <w:start w:val="1"/>
      <w:numFmt w:val="aiueoFullWidth"/>
      <w:lvlText w:val="(%8)"/>
      <w:lvlJc w:val="left"/>
      <w:pPr>
        <w:tabs>
          <w:tab w:val="num" w:pos="4278"/>
        </w:tabs>
        <w:ind w:left="4278" w:hanging="420"/>
      </w:pPr>
    </w:lvl>
    <w:lvl w:ilvl="8" w:tplc="B024EF66" w:tentative="1">
      <w:start w:val="1"/>
      <w:numFmt w:val="decimalEnclosedCircle"/>
      <w:lvlText w:val="%9"/>
      <w:lvlJc w:val="left"/>
      <w:pPr>
        <w:tabs>
          <w:tab w:val="num" w:pos="4698"/>
        </w:tabs>
        <w:ind w:left="4698" w:hanging="420"/>
      </w:pPr>
    </w:lvl>
  </w:abstractNum>
  <w:abstractNum w:abstractNumId="65">
    <w:nsid w:val="749306FA"/>
    <w:multiLevelType w:val="multilevel"/>
    <w:tmpl w:val="25B63E1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rFonts w:ascii="Times New Roman" w:hAnsi="Times New Roman" w:cs="Times New Roman" w:hint="default"/>
        <w:sz w:val="22"/>
        <w:szCs w:val="22"/>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66">
    <w:nsid w:val="7815141D"/>
    <w:multiLevelType w:val="hybridMultilevel"/>
    <w:tmpl w:val="51FECCC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7">
    <w:nsid w:val="7A333BF9"/>
    <w:multiLevelType w:val="hybridMultilevel"/>
    <w:tmpl w:val="8C201A34"/>
    <w:lvl w:ilvl="0" w:tplc="BBEE3C4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nsid w:val="7BD149F3"/>
    <w:multiLevelType w:val="hybridMultilevel"/>
    <w:tmpl w:val="51CEBB5E"/>
    <w:lvl w:ilvl="0" w:tplc="74181FB4">
      <w:start w:val="1"/>
      <w:numFmt w:val="bullet"/>
      <w:pStyle w:val="IPPNumberedListArial"/>
      <w:lvlText w:val=""/>
      <w:lvlJc w:val="left"/>
      <w:pPr>
        <w:tabs>
          <w:tab w:val="num" w:pos="360"/>
        </w:tabs>
        <w:ind w:left="360" w:hanging="360"/>
      </w:pPr>
      <w:rPr>
        <w:rFonts w:ascii="Symbol" w:hAnsi="Symbol" w:hint="default"/>
        <w:color w:val="auto"/>
      </w:rPr>
    </w:lvl>
    <w:lvl w:ilvl="1" w:tplc="8F10EEF4" w:tentative="1">
      <w:start w:val="1"/>
      <w:numFmt w:val="bullet"/>
      <w:lvlText w:val="o"/>
      <w:lvlJc w:val="left"/>
      <w:pPr>
        <w:tabs>
          <w:tab w:val="num" w:pos="1080"/>
        </w:tabs>
        <w:ind w:left="1080" w:hanging="360"/>
      </w:pPr>
      <w:rPr>
        <w:rFonts w:ascii="Courier New" w:hAnsi="Courier New" w:cs="Consolas" w:hint="default"/>
      </w:rPr>
    </w:lvl>
    <w:lvl w:ilvl="2" w:tplc="C208229A" w:tentative="1">
      <w:start w:val="1"/>
      <w:numFmt w:val="bullet"/>
      <w:lvlText w:val=""/>
      <w:lvlJc w:val="left"/>
      <w:pPr>
        <w:tabs>
          <w:tab w:val="num" w:pos="1800"/>
        </w:tabs>
        <w:ind w:left="1800" w:hanging="360"/>
      </w:pPr>
      <w:rPr>
        <w:rFonts w:ascii="Wingdings" w:hAnsi="Wingdings" w:hint="default"/>
      </w:rPr>
    </w:lvl>
    <w:lvl w:ilvl="3" w:tplc="EEF27C18" w:tentative="1">
      <w:start w:val="1"/>
      <w:numFmt w:val="bullet"/>
      <w:lvlText w:val=""/>
      <w:lvlJc w:val="left"/>
      <w:pPr>
        <w:tabs>
          <w:tab w:val="num" w:pos="2520"/>
        </w:tabs>
        <w:ind w:left="2520" w:hanging="360"/>
      </w:pPr>
      <w:rPr>
        <w:rFonts w:ascii="Symbol" w:hAnsi="Symbol" w:hint="default"/>
      </w:rPr>
    </w:lvl>
    <w:lvl w:ilvl="4" w:tplc="4B8E1B22" w:tentative="1">
      <w:start w:val="1"/>
      <w:numFmt w:val="bullet"/>
      <w:lvlText w:val="o"/>
      <w:lvlJc w:val="left"/>
      <w:pPr>
        <w:tabs>
          <w:tab w:val="num" w:pos="3240"/>
        </w:tabs>
        <w:ind w:left="3240" w:hanging="360"/>
      </w:pPr>
      <w:rPr>
        <w:rFonts w:ascii="Courier New" w:hAnsi="Courier New" w:cs="Consolas" w:hint="default"/>
      </w:rPr>
    </w:lvl>
    <w:lvl w:ilvl="5" w:tplc="271CA3A0" w:tentative="1">
      <w:start w:val="1"/>
      <w:numFmt w:val="bullet"/>
      <w:lvlText w:val=""/>
      <w:lvlJc w:val="left"/>
      <w:pPr>
        <w:tabs>
          <w:tab w:val="num" w:pos="3960"/>
        </w:tabs>
        <w:ind w:left="3960" w:hanging="360"/>
      </w:pPr>
      <w:rPr>
        <w:rFonts w:ascii="Wingdings" w:hAnsi="Wingdings" w:hint="default"/>
      </w:rPr>
    </w:lvl>
    <w:lvl w:ilvl="6" w:tplc="D3C02C0A" w:tentative="1">
      <w:start w:val="1"/>
      <w:numFmt w:val="bullet"/>
      <w:lvlText w:val=""/>
      <w:lvlJc w:val="left"/>
      <w:pPr>
        <w:tabs>
          <w:tab w:val="num" w:pos="4680"/>
        </w:tabs>
        <w:ind w:left="4680" w:hanging="360"/>
      </w:pPr>
      <w:rPr>
        <w:rFonts w:ascii="Symbol" w:hAnsi="Symbol" w:hint="default"/>
      </w:rPr>
    </w:lvl>
    <w:lvl w:ilvl="7" w:tplc="FC96A254" w:tentative="1">
      <w:start w:val="1"/>
      <w:numFmt w:val="bullet"/>
      <w:lvlText w:val="o"/>
      <w:lvlJc w:val="left"/>
      <w:pPr>
        <w:tabs>
          <w:tab w:val="num" w:pos="5400"/>
        </w:tabs>
        <w:ind w:left="5400" w:hanging="360"/>
      </w:pPr>
      <w:rPr>
        <w:rFonts w:ascii="Courier New" w:hAnsi="Courier New" w:cs="Consolas" w:hint="default"/>
      </w:rPr>
    </w:lvl>
    <w:lvl w:ilvl="8" w:tplc="1E88ADD4" w:tentative="1">
      <w:start w:val="1"/>
      <w:numFmt w:val="bullet"/>
      <w:lvlText w:val=""/>
      <w:lvlJc w:val="left"/>
      <w:pPr>
        <w:tabs>
          <w:tab w:val="num" w:pos="6120"/>
        </w:tabs>
        <w:ind w:left="6120" w:hanging="360"/>
      </w:pPr>
      <w:rPr>
        <w:rFonts w:ascii="Wingdings" w:hAnsi="Wingdings" w:hint="default"/>
      </w:rPr>
    </w:lvl>
  </w:abstractNum>
  <w:abstractNum w:abstractNumId="69">
    <w:nsid w:val="7CAA628E"/>
    <w:multiLevelType w:val="hybridMultilevel"/>
    <w:tmpl w:val="36EA3B62"/>
    <w:lvl w:ilvl="0" w:tplc="9D22A2B4">
      <w:start w:val="1"/>
      <w:numFmt w:val="bullet"/>
      <w:pStyle w:val="DashListLev4"/>
      <w:lvlText w:val=""/>
      <w:lvlJc w:val="left"/>
      <w:pPr>
        <w:tabs>
          <w:tab w:val="num" w:pos="720"/>
        </w:tabs>
        <w:ind w:left="720" w:hanging="360"/>
      </w:pPr>
      <w:rPr>
        <w:rFonts w:ascii="Symbol" w:hAnsi="Symbol" w:hint="default"/>
      </w:rPr>
    </w:lvl>
    <w:lvl w:ilvl="1" w:tplc="49721496" w:tentative="1">
      <w:start w:val="1"/>
      <w:numFmt w:val="bullet"/>
      <w:lvlText w:val="o"/>
      <w:lvlJc w:val="left"/>
      <w:pPr>
        <w:tabs>
          <w:tab w:val="num" w:pos="1440"/>
        </w:tabs>
        <w:ind w:left="1440" w:hanging="360"/>
      </w:pPr>
      <w:rPr>
        <w:rFonts w:ascii="Courier New" w:hAnsi="Courier New" w:cs="Consolas" w:hint="default"/>
      </w:rPr>
    </w:lvl>
    <w:lvl w:ilvl="2" w:tplc="049E9CF0" w:tentative="1">
      <w:start w:val="1"/>
      <w:numFmt w:val="bullet"/>
      <w:lvlText w:val=""/>
      <w:lvlJc w:val="left"/>
      <w:pPr>
        <w:tabs>
          <w:tab w:val="num" w:pos="2160"/>
        </w:tabs>
        <w:ind w:left="2160" w:hanging="360"/>
      </w:pPr>
      <w:rPr>
        <w:rFonts w:ascii="Wingdings" w:hAnsi="Wingdings" w:hint="default"/>
      </w:rPr>
    </w:lvl>
    <w:lvl w:ilvl="3" w:tplc="1F0EB0A4" w:tentative="1">
      <w:start w:val="1"/>
      <w:numFmt w:val="bullet"/>
      <w:lvlText w:val=""/>
      <w:lvlJc w:val="left"/>
      <w:pPr>
        <w:tabs>
          <w:tab w:val="num" w:pos="2880"/>
        </w:tabs>
        <w:ind w:left="2880" w:hanging="360"/>
      </w:pPr>
      <w:rPr>
        <w:rFonts w:ascii="Symbol" w:hAnsi="Symbol" w:hint="default"/>
      </w:rPr>
    </w:lvl>
    <w:lvl w:ilvl="4" w:tplc="2D184B3E" w:tentative="1">
      <w:start w:val="1"/>
      <w:numFmt w:val="bullet"/>
      <w:lvlText w:val="o"/>
      <w:lvlJc w:val="left"/>
      <w:pPr>
        <w:tabs>
          <w:tab w:val="num" w:pos="3600"/>
        </w:tabs>
        <w:ind w:left="3600" w:hanging="360"/>
      </w:pPr>
      <w:rPr>
        <w:rFonts w:ascii="Courier New" w:hAnsi="Courier New" w:cs="Consolas" w:hint="default"/>
      </w:rPr>
    </w:lvl>
    <w:lvl w:ilvl="5" w:tplc="1AB2A380" w:tentative="1">
      <w:start w:val="1"/>
      <w:numFmt w:val="bullet"/>
      <w:lvlText w:val=""/>
      <w:lvlJc w:val="left"/>
      <w:pPr>
        <w:tabs>
          <w:tab w:val="num" w:pos="4320"/>
        </w:tabs>
        <w:ind w:left="4320" w:hanging="360"/>
      </w:pPr>
      <w:rPr>
        <w:rFonts w:ascii="Wingdings" w:hAnsi="Wingdings" w:hint="default"/>
      </w:rPr>
    </w:lvl>
    <w:lvl w:ilvl="6" w:tplc="F4E82FFE" w:tentative="1">
      <w:start w:val="1"/>
      <w:numFmt w:val="bullet"/>
      <w:lvlText w:val=""/>
      <w:lvlJc w:val="left"/>
      <w:pPr>
        <w:tabs>
          <w:tab w:val="num" w:pos="5040"/>
        </w:tabs>
        <w:ind w:left="5040" w:hanging="360"/>
      </w:pPr>
      <w:rPr>
        <w:rFonts w:ascii="Symbol" w:hAnsi="Symbol" w:hint="default"/>
      </w:rPr>
    </w:lvl>
    <w:lvl w:ilvl="7" w:tplc="7E90F43A" w:tentative="1">
      <w:start w:val="1"/>
      <w:numFmt w:val="bullet"/>
      <w:lvlText w:val="o"/>
      <w:lvlJc w:val="left"/>
      <w:pPr>
        <w:tabs>
          <w:tab w:val="num" w:pos="5760"/>
        </w:tabs>
        <w:ind w:left="5760" w:hanging="360"/>
      </w:pPr>
      <w:rPr>
        <w:rFonts w:ascii="Courier New" w:hAnsi="Courier New" w:cs="Consolas" w:hint="default"/>
      </w:rPr>
    </w:lvl>
    <w:lvl w:ilvl="8" w:tplc="E1D675C6"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3"/>
  </w:num>
  <w:num w:numId="3">
    <w:abstractNumId w:val="0"/>
  </w:num>
  <w:num w:numId="4">
    <w:abstractNumId w:val="39"/>
  </w:num>
  <w:num w:numId="5">
    <w:abstractNumId w:val="49"/>
  </w:num>
  <w:num w:numId="6">
    <w:abstractNumId w:val="65"/>
  </w:num>
  <w:num w:numId="7">
    <w:abstractNumId w:val="16"/>
  </w:num>
  <w:num w:numId="8">
    <w:abstractNumId w:val="50"/>
  </w:num>
  <w:num w:numId="9">
    <w:abstractNumId w:val="4"/>
  </w:num>
  <w:num w:numId="10">
    <w:abstractNumId w:val="18"/>
  </w:num>
  <w:num w:numId="11">
    <w:abstractNumId w:val="57"/>
  </w:num>
  <w:num w:numId="12">
    <w:abstractNumId w:val="53"/>
  </w:num>
  <w:num w:numId="13">
    <w:abstractNumId w:val="19"/>
  </w:num>
  <w:num w:numId="14">
    <w:abstractNumId w:val="27"/>
  </w:num>
  <w:num w:numId="15">
    <w:abstractNumId w:val="64"/>
  </w:num>
  <w:num w:numId="16">
    <w:abstractNumId w:val="42"/>
  </w:num>
  <w:num w:numId="17">
    <w:abstractNumId w:val="52"/>
  </w:num>
  <w:num w:numId="18">
    <w:abstractNumId w:val="38"/>
  </w:num>
  <w:num w:numId="19">
    <w:abstractNumId w:val="58"/>
  </w:num>
  <w:num w:numId="20">
    <w:abstractNumId w:val="12"/>
  </w:num>
  <w:num w:numId="21">
    <w:abstractNumId w:val="29"/>
  </w:num>
  <w:num w:numId="22">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num>
  <w:num w:numId="24">
    <w:abstractNumId w:val="51"/>
  </w:num>
  <w:num w:numId="25">
    <w:abstractNumId w:val="45"/>
  </w:num>
  <w:num w:numId="26">
    <w:abstractNumId w:val="46"/>
  </w:num>
  <w:num w:numId="27">
    <w:abstractNumId w:val="6"/>
  </w:num>
  <w:num w:numId="28">
    <w:abstractNumId w:val="59"/>
  </w:num>
  <w:num w:numId="29">
    <w:abstractNumId w:val="62"/>
  </w:num>
  <w:num w:numId="30">
    <w:abstractNumId w:val="17"/>
  </w:num>
  <w:num w:numId="31">
    <w:abstractNumId w:val="25"/>
  </w:num>
  <w:num w:numId="32">
    <w:abstractNumId w:val="41"/>
  </w:num>
  <w:num w:numId="33">
    <w:abstractNumId w:val="35"/>
  </w:num>
  <w:num w:numId="34">
    <w:abstractNumId w:val="26"/>
  </w:num>
  <w:num w:numId="35">
    <w:abstractNumId w:val="31"/>
  </w:num>
  <w:num w:numId="36">
    <w:abstractNumId w:val="11"/>
  </w:num>
  <w:num w:numId="37">
    <w:abstractNumId w:val="5"/>
  </w:num>
  <w:num w:numId="38">
    <w:abstractNumId w:val="69"/>
  </w:num>
  <w:num w:numId="39">
    <w:abstractNumId w:val="56"/>
  </w:num>
  <w:num w:numId="40">
    <w:abstractNumId w:val="32"/>
  </w:num>
  <w:num w:numId="41">
    <w:abstractNumId w:val="7"/>
  </w:num>
  <w:num w:numId="42">
    <w:abstractNumId w:val="63"/>
  </w:num>
  <w:num w:numId="43">
    <w:abstractNumId w:val="54"/>
  </w:num>
  <w:num w:numId="44">
    <w:abstractNumId w:val="20"/>
  </w:num>
  <w:num w:numId="45">
    <w:abstractNumId w:val="68"/>
  </w:num>
  <w:num w:numId="46">
    <w:abstractNumId w:val="21"/>
  </w:num>
  <w:num w:numId="47">
    <w:abstractNumId w:val="48"/>
  </w:num>
  <w:num w:numId="48">
    <w:abstractNumId w:val="36"/>
  </w:num>
  <w:num w:numId="49">
    <w:abstractNumId w:val="1"/>
  </w:num>
  <w:num w:numId="50">
    <w:abstractNumId w:val="22"/>
  </w:num>
  <w:num w:numId="51">
    <w:abstractNumId w:val="28"/>
  </w:num>
  <w:num w:numId="52">
    <w:abstractNumId w:val="13"/>
  </w:num>
  <w:num w:numId="53">
    <w:abstractNumId w:val="43"/>
  </w:num>
  <w:num w:numId="54">
    <w:abstractNumId w:val="61"/>
  </w:num>
  <w:num w:numId="55">
    <w:abstractNumId w:val="47"/>
  </w:num>
  <w:num w:numId="56">
    <w:abstractNumId w:val="15"/>
  </w:num>
  <w:num w:numId="57">
    <w:abstractNumId w:val="40"/>
  </w:num>
  <w:num w:numId="58">
    <w:abstractNumId w:val="66"/>
  </w:num>
  <w:num w:numId="59">
    <w:abstractNumId w:val="30"/>
  </w:num>
  <w:num w:numId="60">
    <w:abstractNumId w:val="60"/>
  </w:num>
  <w:num w:numId="61">
    <w:abstractNumId w:val="55"/>
  </w:num>
  <w:num w:numId="62">
    <w:abstractNumId w:val="34"/>
  </w:num>
  <w:num w:numId="63">
    <w:abstractNumId w:val="10"/>
  </w:num>
  <w:num w:numId="64">
    <w:abstractNumId w:val="67"/>
  </w:num>
  <w:num w:numId="65">
    <w:abstractNumId w:val="8"/>
  </w:num>
  <w:num w:numId="66">
    <w:abstractNumId w:val="9"/>
  </w:num>
  <w:num w:numId="67">
    <w:abstractNumId w:val="44"/>
  </w:num>
  <w:num w:numId="68">
    <w:abstractNumId w:val="14"/>
  </w:num>
  <w:num w:numId="69">
    <w:abstractNumId w:val="3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6"/>
  <w:mirrorMargins/>
  <w:activeWritingStyle w:appName="MSWord" w:lang="en-AU" w:vendorID="64" w:dllVersion="0" w:nlCheck="1" w:checkStyle="1"/>
  <w:activeWritingStyle w:appName="MSWord" w:lang="en-GB" w:vendorID="64" w:dllVersion="0" w:nlCheck="1" w:checkStyle="1"/>
  <w:activeWritingStyle w:appName="MSWord" w:lang="en-US" w:vendorID="64" w:dllVersion="0" w:nlCheck="1" w:checkStyle="1"/>
  <w:activeWritingStyle w:appName="MSWord" w:lang="de-DE" w:vendorID="64" w:dllVersion="0" w:nlCheck="1" w:checkStyle="0"/>
  <w:activeWritingStyle w:appName="MSWord" w:lang="es-E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AU" w:vendorID="64" w:dllVersion="4096" w:nlCheck="1" w:checkStyle="0"/>
  <w:activeWritingStyle w:appName="MSWord" w:lang="en-GB" w:vendorID="64" w:dllVersion="131078" w:nlCheck="1" w:checkStyle="1"/>
  <w:activeWritingStyle w:appName="MSWord" w:lang="en-AU" w:vendorID="64" w:dllVersion="131078" w:nlCheck="1" w:checkStyle="1"/>
  <w:activeWritingStyle w:appName="MSWord" w:lang="en-US" w:vendorID="64" w:dllVersion="131078" w:nlCheck="1" w:checkStyle="1"/>
  <w:activeWritingStyle w:appName="MSWord" w:lang="en-GB" w:vendorID="6" w:dllVersion="2" w:checkStyle="1"/>
  <w:activeWritingStyle w:appName="MSWord" w:lang="en-GB" w:vendorID="5" w:dllVersion="2" w:checkStyle="1"/>
  <w:activeWritingStyle w:appName="MSWord" w:lang="en-GB" w:vendorID="8" w:dllVersion="513" w:checkStyle="1"/>
  <w:activeWritingStyle w:appName="MSWord" w:lang="en-US" w:vendorID="8" w:dllVersion="513" w:checkStyle="1"/>
  <w:activeWritingStyle w:appName="MSWord" w:lang="en-AU" w:vendorID="8" w:dllVersion="513" w:checkStyle="1"/>
  <w:activeWritingStyle w:appName="MSWord" w:lang="nl-NL" w:vendorID="1" w:dllVersion="512" w:checkStyle="1"/>
  <w:activeWritingStyle w:appName="MSWord" w:lang="en-NZ" w:vendorID="8" w:dllVersion="513" w:checkStyle="1"/>
  <w:activeWritingStyle w:appName="MSWord" w:lang="en-CA" w:vendorID="8" w:dllVersion="513" w:checkStyle="1"/>
  <w:activeWritingStyle w:appName="MSWord" w:lang="en-029" w:vendorID="8" w:dllVersion="513" w:checkStyle="1"/>
  <w:activeWritingStyle w:appName="MSWord" w:lang="en-ZA" w:vendorID="8" w:dllVersion="513" w:checkStyle="1"/>
  <w:activeWritingStyle w:appName="MSWord" w:lang="it-IT" w:vendorID="3" w:dllVersion="517" w:checkStyle="1"/>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1"/>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967"/>
    <w:rsid w:val="000002D2"/>
    <w:rsid w:val="00000B92"/>
    <w:rsid w:val="0000233D"/>
    <w:rsid w:val="00003F99"/>
    <w:rsid w:val="00004CE4"/>
    <w:rsid w:val="00004D48"/>
    <w:rsid w:val="000055CF"/>
    <w:rsid w:val="00005739"/>
    <w:rsid w:val="000061A3"/>
    <w:rsid w:val="0000664E"/>
    <w:rsid w:val="0000783E"/>
    <w:rsid w:val="0000789E"/>
    <w:rsid w:val="00007A93"/>
    <w:rsid w:val="00010163"/>
    <w:rsid w:val="0001082B"/>
    <w:rsid w:val="00010E37"/>
    <w:rsid w:val="00011693"/>
    <w:rsid w:val="0001208A"/>
    <w:rsid w:val="000121EB"/>
    <w:rsid w:val="00014D1B"/>
    <w:rsid w:val="00015FF3"/>
    <w:rsid w:val="00016331"/>
    <w:rsid w:val="00016775"/>
    <w:rsid w:val="000212C8"/>
    <w:rsid w:val="00021656"/>
    <w:rsid w:val="00022D01"/>
    <w:rsid w:val="00023E06"/>
    <w:rsid w:val="00023EF6"/>
    <w:rsid w:val="0002461B"/>
    <w:rsid w:val="00024BDD"/>
    <w:rsid w:val="000253FC"/>
    <w:rsid w:val="00026E28"/>
    <w:rsid w:val="00026E60"/>
    <w:rsid w:val="0002780C"/>
    <w:rsid w:val="00027EEE"/>
    <w:rsid w:val="00030BF7"/>
    <w:rsid w:val="000317F7"/>
    <w:rsid w:val="00031BAC"/>
    <w:rsid w:val="0003333A"/>
    <w:rsid w:val="00034252"/>
    <w:rsid w:val="00035756"/>
    <w:rsid w:val="00042902"/>
    <w:rsid w:val="0004337A"/>
    <w:rsid w:val="00043BF0"/>
    <w:rsid w:val="00045AB8"/>
    <w:rsid w:val="0004750D"/>
    <w:rsid w:val="00047E9C"/>
    <w:rsid w:val="00050238"/>
    <w:rsid w:val="00050268"/>
    <w:rsid w:val="000518AF"/>
    <w:rsid w:val="000523FA"/>
    <w:rsid w:val="000533A9"/>
    <w:rsid w:val="00053765"/>
    <w:rsid w:val="00054011"/>
    <w:rsid w:val="0005441C"/>
    <w:rsid w:val="000575C6"/>
    <w:rsid w:val="00057FEE"/>
    <w:rsid w:val="00060042"/>
    <w:rsid w:val="00061CB1"/>
    <w:rsid w:val="0006302E"/>
    <w:rsid w:val="00064527"/>
    <w:rsid w:val="00064F81"/>
    <w:rsid w:val="00065FC7"/>
    <w:rsid w:val="00066464"/>
    <w:rsid w:val="000708BA"/>
    <w:rsid w:val="0007145E"/>
    <w:rsid w:val="00071E26"/>
    <w:rsid w:val="000740FC"/>
    <w:rsid w:val="00075F6F"/>
    <w:rsid w:val="00076ABB"/>
    <w:rsid w:val="0008091F"/>
    <w:rsid w:val="00082CF7"/>
    <w:rsid w:val="0008359A"/>
    <w:rsid w:val="0008419D"/>
    <w:rsid w:val="000844A6"/>
    <w:rsid w:val="00084DD9"/>
    <w:rsid w:val="00085261"/>
    <w:rsid w:val="000853E4"/>
    <w:rsid w:val="00085DF9"/>
    <w:rsid w:val="00086DBA"/>
    <w:rsid w:val="000871BA"/>
    <w:rsid w:val="00091DDE"/>
    <w:rsid w:val="000932E9"/>
    <w:rsid w:val="00093E6D"/>
    <w:rsid w:val="00094033"/>
    <w:rsid w:val="0009516B"/>
    <w:rsid w:val="000969AC"/>
    <w:rsid w:val="00096A83"/>
    <w:rsid w:val="000A009B"/>
    <w:rsid w:val="000A0BF7"/>
    <w:rsid w:val="000A0CDC"/>
    <w:rsid w:val="000A2EE1"/>
    <w:rsid w:val="000A3005"/>
    <w:rsid w:val="000A35BA"/>
    <w:rsid w:val="000A4204"/>
    <w:rsid w:val="000A43E4"/>
    <w:rsid w:val="000A7099"/>
    <w:rsid w:val="000A7D91"/>
    <w:rsid w:val="000B112E"/>
    <w:rsid w:val="000B1BF3"/>
    <w:rsid w:val="000B293E"/>
    <w:rsid w:val="000B3491"/>
    <w:rsid w:val="000B3584"/>
    <w:rsid w:val="000B41DB"/>
    <w:rsid w:val="000B53B1"/>
    <w:rsid w:val="000B72D1"/>
    <w:rsid w:val="000B7D4E"/>
    <w:rsid w:val="000C1A06"/>
    <w:rsid w:val="000C1A64"/>
    <w:rsid w:val="000C5EF7"/>
    <w:rsid w:val="000C7EFA"/>
    <w:rsid w:val="000D0ADC"/>
    <w:rsid w:val="000D2BC4"/>
    <w:rsid w:val="000D5CF7"/>
    <w:rsid w:val="000D6BA0"/>
    <w:rsid w:val="000D769F"/>
    <w:rsid w:val="000E065C"/>
    <w:rsid w:val="000E24C9"/>
    <w:rsid w:val="000E30DA"/>
    <w:rsid w:val="000E4577"/>
    <w:rsid w:val="000E4579"/>
    <w:rsid w:val="000E4991"/>
    <w:rsid w:val="00101106"/>
    <w:rsid w:val="001016FF"/>
    <w:rsid w:val="0010207A"/>
    <w:rsid w:val="001032C4"/>
    <w:rsid w:val="0011140B"/>
    <w:rsid w:val="001124F5"/>
    <w:rsid w:val="00113452"/>
    <w:rsid w:val="00115DB4"/>
    <w:rsid w:val="00120B30"/>
    <w:rsid w:val="001212F5"/>
    <w:rsid w:val="00122997"/>
    <w:rsid w:val="001233FC"/>
    <w:rsid w:val="00123849"/>
    <w:rsid w:val="00125246"/>
    <w:rsid w:val="00126E23"/>
    <w:rsid w:val="00127867"/>
    <w:rsid w:val="001314D9"/>
    <w:rsid w:val="00131524"/>
    <w:rsid w:val="0013188C"/>
    <w:rsid w:val="00131A0D"/>
    <w:rsid w:val="00132C6A"/>
    <w:rsid w:val="00134278"/>
    <w:rsid w:val="0013442A"/>
    <w:rsid w:val="001348D5"/>
    <w:rsid w:val="0013548D"/>
    <w:rsid w:val="00135F4F"/>
    <w:rsid w:val="00141261"/>
    <w:rsid w:val="00141C90"/>
    <w:rsid w:val="00141FA3"/>
    <w:rsid w:val="0014510E"/>
    <w:rsid w:val="00145B60"/>
    <w:rsid w:val="001463E5"/>
    <w:rsid w:val="00146EB1"/>
    <w:rsid w:val="0014760B"/>
    <w:rsid w:val="0014776A"/>
    <w:rsid w:val="00151175"/>
    <w:rsid w:val="001522DF"/>
    <w:rsid w:val="0015746F"/>
    <w:rsid w:val="001657A1"/>
    <w:rsid w:val="00165E88"/>
    <w:rsid w:val="00166B94"/>
    <w:rsid w:val="00167F7D"/>
    <w:rsid w:val="00170225"/>
    <w:rsid w:val="0017234E"/>
    <w:rsid w:val="00175317"/>
    <w:rsid w:val="0017592E"/>
    <w:rsid w:val="00177452"/>
    <w:rsid w:val="001815FF"/>
    <w:rsid w:val="00183904"/>
    <w:rsid w:val="00190777"/>
    <w:rsid w:val="0019167D"/>
    <w:rsid w:val="001922D3"/>
    <w:rsid w:val="00192CD6"/>
    <w:rsid w:val="00192F96"/>
    <w:rsid w:val="001966C9"/>
    <w:rsid w:val="001A03FB"/>
    <w:rsid w:val="001A0AC4"/>
    <w:rsid w:val="001A2000"/>
    <w:rsid w:val="001A2FDF"/>
    <w:rsid w:val="001A3FA1"/>
    <w:rsid w:val="001A42A0"/>
    <w:rsid w:val="001A4FC6"/>
    <w:rsid w:val="001A501A"/>
    <w:rsid w:val="001A7577"/>
    <w:rsid w:val="001B213B"/>
    <w:rsid w:val="001B2EA3"/>
    <w:rsid w:val="001B4918"/>
    <w:rsid w:val="001B7DE2"/>
    <w:rsid w:val="001C1CF5"/>
    <w:rsid w:val="001C1E97"/>
    <w:rsid w:val="001C4E7C"/>
    <w:rsid w:val="001C5DF0"/>
    <w:rsid w:val="001C5E46"/>
    <w:rsid w:val="001D19F1"/>
    <w:rsid w:val="001D2563"/>
    <w:rsid w:val="001D3775"/>
    <w:rsid w:val="001D517C"/>
    <w:rsid w:val="001D5A81"/>
    <w:rsid w:val="001D66F5"/>
    <w:rsid w:val="001D74A9"/>
    <w:rsid w:val="001E0A7C"/>
    <w:rsid w:val="001E0ED6"/>
    <w:rsid w:val="001E2B4D"/>
    <w:rsid w:val="001E2E6D"/>
    <w:rsid w:val="001E4C71"/>
    <w:rsid w:val="001E5746"/>
    <w:rsid w:val="001E6351"/>
    <w:rsid w:val="001E78FA"/>
    <w:rsid w:val="001F0D0D"/>
    <w:rsid w:val="001F1773"/>
    <w:rsid w:val="001F1E0D"/>
    <w:rsid w:val="001F2861"/>
    <w:rsid w:val="001F5725"/>
    <w:rsid w:val="001F57EF"/>
    <w:rsid w:val="001F6C65"/>
    <w:rsid w:val="002016C5"/>
    <w:rsid w:val="00203163"/>
    <w:rsid w:val="00203E52"/>
    <w:rsid w:val="00204019"/>
    <w:rsid w:val="00204AA0"/>
    <w:rsid w:val="00206042"/>
    <w:rsid w:val="00207C55"/>
    <w:rsid w:val="00210C0E"/>
    <w:rsid w:val="002124D0"/>
    <w:rsid w:val="0021274D"/>
    <w:rsid w:val="00213847"/>
    <w:rsid w:val="00214CD9"/>
    <w:rsid w:val="00215425"/>
    <w:rsid w:val="002203A5"/>
    <w:rsid w:val="002203B0"/>
    <w:rsid w:val="002210A2"/>
    <w:rsid w:val="002216FF"/>
    <w:rsid w:val="002241F3"/>
    <w:rsid w:val="00224CC3"/>
    <w:rsid w:val="00230CEE"/>
    <w:rsid w:val="00232963"/>
    <w:rsid w:val="00232965"/>
    <w:rsid w:val="00233F35"/>
    <w:rsid w:val="00236B63"/>
    <w:rsid w:val="00237BFA"/>
    <w:rsid w:val="00240812"/>
    <w:rsid w:val="00240E37"/>
    <w:rsid w:val="0024285E"/>
    <w:rsid w:val="00242A89"/>
    <w:rsid w:val="002434ED"/>
    <w:rsid w:val="00243A3C"/>
    <w:rsid w:val="00245905"/>
    <w:rsid w:val="002465D1"/>
    <w:rsid w:val="00246894"/>
    <w:rsid w:val="0025201D"/>
    <w:rsid w:val="00253B56"/>
    <w:rsid w:val="00253E28"/>
    <w:rsid w:val="00255612"/>
    <w:rsid w:val="00255995"/>
    <w:rsid w:val="00256A43"/>
    <w:rsid w:val="00256C26"/>
    <w:rsid w:val="002578F4"/>
    <w:rsid w:val="00260C5C"/>
    <w:rsid w:val="00260E9A"/>
    <w:rsid w:val="00260EC0"/>
    <w:rsid w:val="00261153"/>
    <w:rsid w:val="00263134"/>
    <w:rsid w:val="002635F7"/>
    <w:rsid w:val="00264C69"/>
    <w:rsid w:val="00267155"/>
    <w:rsid w:val="00267711"/>
    <w:rsid w:val="002678F8"/>
    <w:rsid w:val="00270BB9"/>
    <w:rsid w:val="00271786"/>
    <w:rsid w:val="002719F2"/>
    <w:rsid w:val="00271CAA"/>
    <w:rsid w:val="00274196"/>
    <w:rsid w:val="002741FC"/>
    <w:rsid w:val="00274783"/>
    <w:rsid w:val="00274E53"/>
    <w:rsid w:val="00275CBE"/>
    <w:rsid w:val="00276C46"/>
    <w:rsid w:val="00277343"/>
    <w:rsid w:val="002777B2"/>
    <w:rsid w:val="00281DB7"/>
    <w:rsid w:val="00284AC1"/>
    <w:rsid w:val="00285232"/>
    <w:rsid w:val="002878D4"/>
    <w:rsid w:val="002918F7"/>
    <w:rsid w:val="00293BDC"/>
    <w:rsid w:val="00293F93"/>
    <w:rsid w:val="00294C55"/>
    <w:rsid w:val="00296CD3"/>
    <w:rsid w:val="00296E8F"/>
    <w:rsid w:val="002A39FF"/>
    <w:rsid w:val="002A4A87"/>
    <w:rsid w:val="002A4E6F"/>
    <w:rsid w:val="002A5AD3"/>
    <w:rsid w:val="002B03EF"/>
    <w:rsid w:val="002B0B0E"/>
    <w:rsid w:val="002B12AC"/>
    <w:rsid w:val="002B195F"/>
    <w:rsid w:val="002B4DA6"/>
    <w:rsid w:val="002B6D37"/>
    <w:rsid w:val="002B718A"/>
    <w:rsid w:val="002B7818"/>
    <w:rsid w:val="002C08D0"/>
    <w:rsid w:val="002C2401"/>
    <w:rsid w:val="002C2B86"/>
    <w:rsid w:val="002C2C8B"/>
    <w:rsid w:val="002C41E4"/>
    <w:rsid w:val="002D0451"/>
    <w:rsid w:val="002D0B94"/>
    <w:rsid w:val="002D15FF"/>
    <w:rsid w:val="002D1FC6"/>
    <w:rsid w:val="002D212F"/>
    <w:rsid w:val="002D25A8"/>
    <w:rsid w:val="002D5490"/>
    <w:rsid w:val="002E0FE0"/>
    <w:rsid w:val="002E4BDD"/>
    <w:rsid w:val="002E4DD6"/>
    <w:rsid w:val="002E6D43"/>
    <w:rsid w:val="002F2114"/>
    <w:rsid w:val="002F2119"/>
    <w:rsid w:val="002F28DC"/>
    <w:rsid w:val="002F34BD"/>
    <w:rsid w:val="002F3E1D"/>
    <w:rsid w:val="002F40FF"/>
    <w:rsid w:val="002F6326"/>
    <w:rsid w:val="002F65A9"/>
    <w:rsid w:val="002F74D0"/>
    <w:rsid w:val="003001B1"/>
    <w:rsid w:val="00300D32"/>
    <w:rsid w:val="003010FA"/>
    <w:rsid w:val="0030141E"/>
    <w:rsid w:val="00301F5A"/>
    <w:rsid w:val="00302856"/>
    <w:rsid w:val="0030429A"/>
    <w:rsid w:val="00307EE1"/>
    <w:rsid w:val="00312589"/>
    <w:rsid w:val="00313318"/>
    <w:rsid w:val="0031425E"/>
    <w:rsid w:val="00314538"/>
    <w:rsid w:val="00314D41"/>
    <w:rsid w:val="00315DF7"/>
    <w:rsid w:val="00320456"/>
    <w:rsid w:val="003208DC"/>
    <w:rsid w:val="00320AD9"/>
    <w:rsid w:val="0032111D"/>
    <w:rsid w:val="00321992"/>
    <w:rsid w:val="00321E9C"/>
    <w:rsid w:val="00323E9F"/>
    <w:rsid w:val="00324CA3"/>
    <w:rsid w:val="00326F62"/>
    <w:rsid w:val="00331499"/>
    <w:rsid w:val="00332594"/>
    <w:rsid w:val="00335D5A"/>
    <w:rsid w:val="003374F4"/>
    <w:rsid w:val="0033796A"/>
    <w:rsid w:val="00337D0C"/>
    <w:rsid w:val="00337FAE"/>
    <w:rsid w:val="0034075E"/>
    <w:rsid w:val="00341904"/>
    <w:rsid w:val="00341EDC"/>
    <w:rsid w:val="00342157"/>
    <w:rsid w:val="00343A2F"/>
    <w:rsid w:val="00343FA0"/>
    <w:rsid w:val="00345E9B"/>
    <w:rsid w:val="00346168"/>
    <w:rsid w:val="0034688E"/>
    <w:rsid w:val="00347B0A"/>
    <w:rsid w:val="00350B22"/>
    <w:rsid w:val="00351235"/>
    <w:rsid w:val="003514D8"/>
    <w:rsid w:val="0035159B"/>
    <w:rsid w:val="00351651"/>
    <w:rsid w:val="00351B1C"/>
    <w:rsid w:val="00353210"/>
    <w:rsid w:val="0035387E"/>
    <w:rsid w:val="003552E6"/>
    <w:rsid w:val="00355437"/>
    <w:rsid w:val="00356254"/>
    <w:rsid w:val="00356C4A"/>
    <w:rsid w:val="003571AA"/>
    <w:rsid w:val="00357734"/>
    <w:rsid w:val="00357AA5"/>
    <w:rsid w:val="00360CF9"/>
    <w:rsid w:val="00361CC7"/>
    <w:rsid w:val="0036230A"/>
    <w:rsid w:val="003640FA"/>
    <w:rsid w:val="0036416F"/>
    <w:rsid w:val="003649EB"/>
    <w:rsid w:val="00366BC6"/>
    <w:rsid w:val="00367412"/>
    <w:rsid w:val="003717E1"/>
    <w:rsid w:val="003723F5"/>
    <w:rsid w:val="00373B8F"/>
    <w:rsid w:val="003743C7"/>
    <w:rsid w:val="00377CC6"/>
    <w:rsid w:val="003807C3"/>
    <w:rsid w:val="00382983"/>
    <w:rsid w:val="00383B7D"/>
    <w:rsid w:val="00385263"/>
    <w:rsid w:val="00386920"/>
    <w:rsid w:val="00386E07"/>
    <w:rsid w:val="00387313"/>
    <w:rsid w:val="00387C94"/>
    <w:rsid w:val="00390A12"/>
    <w:rsid w:val="00391219"/>
    <w:rsid w:val="00393F63"/>
    <w:rsid w:val="00394A7A"/>
    <w:rsid w:val="003952DF"/>
    <w:rsid w:val="003954A6"/>
    <w:rsid w:val="00396B46"/>
    <w:rsid w:val="003A02B3"/>
    <w:rsid w:val="003A23FD"/>
    <w:rsid w:val="003A5589"/>
    <w:rsid w:val="003A5B2F"/>
    <w:rsid w:val="003A706C"/>
    <w:rsid w:val="003B0866"/>
    <w:rsid w:val="003B1BF7"/>
    <w:rsid w:val="003B3AC1"/>
    <w:rsid w:val="003C04AF"/>
    <w:rsid w:val="003C253D"/>
    <w:rsid w:val="003D3418"/>
    <w:rsid w:val="003D49BB"/>
    <w:rsid w:val="003D506B"/>
    <w:rsid w:val="003D7476"/>
    <w:rsid w:val="003E01F5"/>
    <w:rsid w:val="003E1921"/>
    <w:rsid w:val="003E3C12"/>
    <w:rsid w:val="003E3ECB"/>
    <w:rsid w:val="003E428B"/>
    <w:rsid w:val="003E4893"/>
    <w:rsid w:val="003E7046"/>
    <w:rsid w:val="003E7AD1"/>
    <w:rsid w:val="003F0331"/>
    <w:rsid w:val="003F1AF4"/>
    <w:rsid w:val="003F20B7"/>
    <w:rsid w:val="003F378F"/>
    <w:rsid w:val="003F6D1E"/>
    <w:rsid w:val="00400B3F"/>
    <w:rsid w:val="00401323"/>
    <w:rsid w:val="0040537B"/>
    <w:rsid w:val="00406A32"/>
    <w:rsid w:val="0041001E"/>
    <w:rsid w:val="0041354E"/>
    <w:rsid w:val="00413892"/>
    <w:rsid w:val="00413BE5"/>
    <w:rsid w:val="00413E4A"/>
    <w:rsid w:val="00417CD0"/>
    <w:rsid w:val="00420558"/>
    <w:rsid w:val="004209D4"/>
    <w:rsid w:val="00420C18"/>
    <w:rsid w:val="00421F83"/>
    <w:rsid w:val="00422A93"/>
    <w:rsid w:val="00423030"/>
    <w:rsid w:val="004271A6"/>
    <w:rsid w:val="00427FD8"/>
    <w:rsid w:val="00430F70"/>
    <w:rsid w:val="0043100A"/>
    <w:rsid w:val="0043108A"/>
    <w:rsid w:val="00431119"/>
    <w:rsid w:val="004317D0"/>
    <w:rsid w:val="00431D5B"/>
    <w:rsid w:val="004323D7"/>
    <w:rsid w:val="004334B7"/>
    <w:rsid w:val="00435064"/>
    <w:rsid w:val="00436143"/>
    <w:rsid w:val="00440ECF"/>
    <w:rsid w:val="00440F61"/>
    <w:rsid w:val="00441815"/>
    <w:rsid w:val="00442952"/>
    <w:rsid w:val="0044318F"/>
    <w:rsid w:val="00443B20"/>
    <w:rsid w:val="004463D8"/>
    <w:rsid w:val="00446D33"/>
    <w:rsid w:val="00452299"/>
    <w:rsid w:val="0045350D"/>
    <w:rsid w:val="00453DA9"/>
    <w:rsid w:val="00455471"/>
    <w:rsid w:val="00455D31"/>
    <w:rsid w:val="00460565"/>
    <w:rsid w:val="0046206E"/>
    <w:rsid w:val="00463762"/>
    <w:rsid w:val="004654D3"/>
    <w:rsid w:val="00465937"/>
    <w:rsid w:val="00465CAF"/>
    <w:rsid w:val="004704AD"/>
    <w:rsid w:val="00473645"/>
    <w:rsid w:val="00475004"/>
    <w:rsid w:val="00475A5D"/>
    <w:rsid w:val="004763F8"/>
    <w:rsid w:val="0048044D"/>
    <w:rsid w:val="00481FCE"/>
    <w:rsid w:val="0048481F"/>
    <w:rsid w:val="00485569"/>
    <w:rsid w:val="00485BEF"/>
    <w:rsid w:val="00486355"/>
    <w:rsid w:val="00490312"/>
    <w:rsid w:val="00490DFA"/>
    <w:rsid w:val="0049286E"/>
    <w:rsid w:val="00492FE0"/>
    <w:rsid w:val="00494A75"/>
    <w:rsid w:val="00494CC5"/>
    <w:rsid w:val="00494DC4"/>
    <w:rsid w:val="00495E3D"/>
    <w:rsid w:val="00495F82"/>
    <w:rsid w:val="0049656F"/>
    <w:rsid w:val="00496909"/>
    <w:rsid w:val="00497DDE"/>
    <w:rsid w:val="00497F61"/>
    <w:rsid w:val="004A0F3C"/>
    <w:rsid w:val="004A0FC5"/>
    <w:rsid w:val="004A281E"/>
    <w:rsid w:val="004A3050"/>
    <w:rsid w:val="004A3A81"/>
    <w:rsid w:val="004A7E6E"/>
    <w:rsid w:val="004B058C"/>
    <w:rsid w:val="004B0ED1"/>
    <w:rsid w:val="004B10C9"/>
    <w:rsid w:val="004B2ACC"/>
    <w:rsid w:val="004B356F"/>
    <w:rsid w:val="004B38AF"/>
    <w:rsid w:val="004B452E"/>
    <w:rsid w:val="004B466D"/>
    <w:rsid w:val="004B46CA"/>
    <w:rsid w:val="004B5430"/>
    <w:rsid w:val="004B5592"/>
    <w:rsid w:val="004C0AD5"/>
    <w:rsid w:val="004C4440"/>
    <w:rsid w:val="004C4B88"/>
    <w:rsid w:val="004C5C20"/>
    <w:rsid w:val="004C6824"/>
    <w:rsid w:val="004C71DF"/>
    <w:rsid w:val="004C7463"/>
    <w:rsid w:val="004C7C03"/>
    <w:rsid w:val="004D0EC1"/>
    <w:rsid w:val="004D142F"/>
    <w:rsid w:val="004D159B"/>
    <w:rsid w:val="004D1972"/>
    <w:rsid w:val="004D2431"/>
    <w:rsid w:val="004D2D1B"/>
    <w:rsid w:val="004D415D"/>
    <w:rsid w:val="004D56BA"/>
    <w:rsid w:val="004D571E"/>
    <w:rsid w:val="004D6002"/>
    <w:rsid w:val="004D6B5B"/>
    <w:rsid w:val="004D7168"/>
    <w:rsid w:val="004D716D"/>
    <w:rsid w:val="004E2B8C"/>
    <w:rsid w:val="004E330D"/>
    <w:rsid w:val="004E3C1B"/>
    <w:rsid w:val="004E6EC2"/>
    <w:rsid w:val="004E74D7"/>
    <w:rsid w:val="004E7AC5"/>
    <w:rsid w:val="004E7F60"/>
    <w:rsid w:val="004F10BF"/>
    <w:rsid w:val="004F3842"/>
    <w:rsid w:val="004F597A"/>
    <w:rsid w:val="004F5D89"/>
    <w:rsid w:val="004F7205"/>
    <w:rsid w:val="004F7C0F"/>
    <w:rsid w:val="00500372"/>
    <w:rsid w:val="0050218E"/>
    <w:rsid w:val="0050225C"/>
    <w:rsid w:val="00502410"/>
    <w:rsid w:val="00502484"/>
    <w:rsid w:val="005039EC"/>
    <w:rsid w:val="00503BDD"/>
    <w:rsid w:val="00503D2D"/>
    <w:rsid w:val="00504D6C"/>
    <w:rsid w:val="00505EFB"/>
    <w:rsid w:val="00506F55"/>
    <w:rsid w:val="005077BF"/>
    <w:rsid w:val="00510045"/>
    <w:rsid w:val="0051215F"/>
    <w:rsid w:val="00513402"/>
    <w:rsid w:val="005136DF"/>
    <w:rsid w:val="00514300"/>
    <w:rsid w:val="00520D77"/>
    <w:rsid w:val="00523E05"/>
    <w:rsid w:val="005255A4"/>
    <w:rsid w:val="00526B70"/>
    <w:rsid w:val="00532B26"/>
    <w:rsid w:val="00533CC3"/>
    <w:rsid w:val="00537A3B"/>
    <w:rsid w:val="005401E6"/>
    <w:rsid w:val="005403D7"/>
    <w:rsid w:val="0054050F"/>
    <w:rsid w:val="0054146B"/>
    <w:rsid w:val="00543851"/>
    <w:rsid w:val="00545DFA"/>
    <w:rsid w:val="005467DE"/>
    <w:rsid w:val="00547D5B"/>
    <w:rsid w:val="00550533"/>
    <w:rsid w:val="0055155D"/>
    <w:rsid w:val="00553175"/>
    <w:rsid w:val="00553A6F"/>
    <w:rsid w:val="00555C8F"/>
    <w:rsid w:val="0055686B"/>
    <w:rsid w:val="00562864"/>
    <w:rsid w:val="005631AF"/>
    <w:rsid w:val="005649F7"/>
    <w:rsid w:val="00564E4A"/>
    <w:rsid w:val="005676A4"/>
    <w:rsid w:val="0057009F"/>
    <w:rsid w:val="00570D24"/>
    <w:rsid w:val="00573A84"/>
    <w:rsid w:val="00580343"/>
    <w:rsid w:val="00580FD6"/>
    <w:rsid w:val="00582A26"/>
    <w:rsid w:val="00582FAD"/>
    <w:rsid w:val="005834DD"/>
    <w:rsid w:val="00584E0D"/>
    <w:rsid w:val="00587AAA"/>
    <w:rsid w:val="00587D2E"/>
    <w:rsid w:val="00590A0A"/>
    <w:rsid w:val="005917EC"/>
    <w:rsid w:val="005918C1"/>
    <w:rsid w:val="00591AA8"/>
    <w:rsid w:val="005951D7"/>
    <w:rsid w:val="00595610"/>
    <w:rsid w:val="0059722B"/>
    <w:rsid w:val="0059744F"/>
    <w:rsid w:val="005A0C8B"/>
    <w:rsid w:val="005A19DD"/>
    <w:rsid w:val="005A1CED"/>
    <w:rsid w:val="005A1E49"/>
    <w:rsid w:val="005A24C1"/>
    <w:rsid w:val="005A3ED1"/>
    <w:rsid w:val="005A40B0"/>
    <w:rsid w:val="005A42C5"/>
    <w:rsid w:val="005A592D"/>
    <w:rsid w:val="005A652B"/>
    <w:rsid w:val="005A6F5A"/>
    <w:rsid w:val="005A7240"/>
    <w:rsid w:val="005A7BE0"/>
    <w:rsid w:val="005B0623"/>
    <w:rsid w:val="005B0DF4"/>
    <w:rsid w:val="005B1FC8"/>
    <w:rsid w:val="005B3236"/>
    <w:rsid w:val="005B3245"/>
    <w:rsid w:val="005B41C3"/>
    <w:rsid w:val="005B4255"/>
    <w:rsid w:val="005B6760"/>
    <w:rsid w:val="005B7B41"/>
    <w:rsid w:val="005C1ABF"/>
    <w:rsid w:val="005C22F5"/>
    <w:rsid w:val="005C454A"/>
    <w:rsid w:val="005C70A5"/>
    <w:rsid w:val="005C77D9"/>
    <w:rsid w:val="005C7EBF"/>
    <w:rsid w:val="005D03D7"/>
    <w:rsid w:val="005D20A9"/>
    <w:rsid w:val="005D2761"/>
    <w:rsid w:val="005D36B5"/>
    <w:rsid w:val="005D3E1D"/>
    <w:rsid w:val="005D4503"/>
    <w:rsid w:val="005D4F4E"/>
    <w:rsid w:val="005D6D19"/>
    <w:rsid w:val="005D7B20"/>
    <w:rsid w:val="005E23C3"/>
    <w:rsid w:val="005E44AE"/>
    <w:rsid w:val="005F12E0"/>
    <w:rsid w:val="005F41B9"/>
    <w:rsid w:val="005F5DCC"/>
    <w:rsid w:val="006005AE"/>
    <w:rsid w:val="0060093C"/>
    <w:rsid w:val="0060118F"/>
    <w:rsid w:val="006021CD"/>
    <w:rsid w:val="00602DDD"/>
    <w:rsid w:val="0060369B"/>
    <w:rsid w:val="0060397E"/>
    <w:rsid w:val="00604D11"/>
    <w:rsid w:val="006065DB"/>
    <w:rsid w:val="006077BC"/>
    <w:rsid w:val="00607819"/>
    <w:rsid w:val="00610FED"/>
    <w:rsid w:val="006110B0"/>
    <w:rsid w:val="00612A68"/>
    <w:rsid w:val="00613611"/>
    <w:rsid w:val="006136C8"/>
    <w:rsid w:val="00615CFC"/>
    <w:rsid w:val="00616625"/>
    <w:rsid w:val="0062091A"/>
    <w:rsid w:val="0062287A"/>
    <w:rsid w:val="00624041"/>
    <w:rsid w:val="0062585A"/>
    <w:rsid w:val="00626AC6"/>
    <w:rsid w:val="0063062A"/>
    <w:rsid w:val="00630CAD"/>
    <w:rsid w:val="00630CDC"/>
    <w:rsid w:val="0063418A"/>
    <w:rsid w:val="00635A6A"/>
    <w:rsid w:val="006366EC"/>
    <w:rsid w:val="00636FC4"/>
    <w:rsid w:val="0063750E"/>
    <w:rsid w:val="00640263"/>
    <w:rsid w:val="00640B50"/>
    <w:rsid w:val="00642375"/>
    <w:rsid w:val="00642379"/>
    <w:rsid w:val="00642C39"/>
    <w:rsid w:val="00644510"/>
    <w:rsid w:val="00645FDC"/>
    <w:rsid w:val="00646656"/>
    <w:rsid w:val="00646A70"/>
    <w:rsid w:val="00646C98"/>
    <w:rsid w:val="00647712"/>
    <w:rsid w:val="00650CEB"/>
    <w:rsid w:val="00651DFE"/>
    <w:rsid w:val="00652BC2"/>
    <w:rsid w:val="00653B89"/>
    <w:rsid w:val="006546DE"/>
    <w:rsid w:val="00656E7D"/>
    <w:rsid w:val="006579E0"/>
    <w:rsid w:val="006605CB"/>
    <w:rsid w:val="00662526"/>
    <w:rsid w:val="00662899"/>
    <w:rsid w:val="00663CDF"/>
    <w:rsid w:val="00663EA9"/>
    <w:rsid w:val="006642C3"/>
    <w:rsid w:val="00664765"/>
    <w:rsid w:val="006658DD"/>
    <w:rsid w:val="00665A8D"/>
    <w:rsid w:val="00666324"/>
    <w:rsid w:val="00671FC9"/>
    <w:rsid w:val="006804DF"/>
    <w:rsid w:val="00680D06"/>
    <w:rsid w:val="0068175C"/>
    <w:rsid w:val="00681D66"/>
    <w:rsid w:val="00684158"/>
    <w:rsid w:val="0068621B"/>
    <w:rsid w:val="006863DA"/>
    <w:rsid w:val="00687DCE"/>
    <w:rsid w:val="006900F7"/>
    <w:rsid w:val="00690395"/>
    <w:rsid w:val="00690431"/>
    <w:rsid w:val="006916EA"/>
    <w:rsid w:val="00692544"/>
    <w:rsid w:val="0069440F"/>
    <w:rsid w:val="006A02A3"/>
    <w:rsid w:val="006A110F"/>
    <w:rsid w:val="006A65C8"/>
    <w:rsid w:val="006A713F"/>
    <w:rsid w:val="006B0F72"/>
    <w:rsid w:val="006B186E"/>
    <w:rsid w:val="006B1E31"/>
    <w:rsid w:val="006B1E7E"/>
    <w:rsid w:val="006B3D47"/>
    <w:rsid w:val="006B52E0"/>
    <w:rsid w:val="006B65C1"/>
    <w:rsid w:val="006C1FCE"/>
    <w:rsid w:val="006C2C13"/>
    <w:rsid w:val="006C62E7"/>
    <w:rsid w:val="006C758A"/>
    <w:rsid w:val="006C793D"/>
    <w:rsid w:val="006C7B74"/>
    <w:rsid w:val="006D007B"/>
    <w:rsid w:val="006D0FEA"/>
    <w:rsid w:val="006D19B7"/>
    <w:rsid w:val="006D2741"/>
    <w:rsid w:val="006D3D0F"/>
    <w:rsid w:val="006D7DDA"/>
    <w:rsid w:val="006E08EE"/>
    <w:rsid w:val="006E13B3"/>
    <w:rsid w:val="006E394F"/>
    <w:rsid w:val="006E4E8B"/>
    <w:rsid w:val="006E5CD1"/>
    <w:rsid w:val="006E5F80"/>
    <w:rsid w:val="006F0BCF"/>
    <w:rsid w:val="006F1800"/>
    <w:rsid w:val="006F1F1D"/>
    <w:rsid w:val="006F33D8"/>
    <w:rsid w:val="006F5B91"/>
    <w:rsid w:val="006F6BA3"/>
    <w:rsid w:val="006F6E7A"/>
    <w:rsid w:val="006F7683"/>
    <w:rsid w:val="0070164A"/>
    <w:rsid w:val="00701DFB"/>
    <w:rsid w:val="00702336"/>
    <w:rsid w:val="00704944"/>
    <w:rsid w:val="00705C9D"/>
    <w:rsid w:val="0070607D"/>
    <w:rsid w:val="00706FC4"/>
    <w:rsid w:val="00713E4B"/>
    <w:rsid w:val="007168EA"/>
    <w:rsid w:val="00720A99"/>
    <w:rsid w:val="00720F07"/>
    <w:rsid w:val="00721356"/>
    <w:rsid w:val="00725450"/>
    <w:rsid w:val="00726AFC"/>
    <w:rsid w:val="00727F81"/>
    <w:rsid w:val="00731204"/>
    <w:rsid w:val="00731629"/>
    <w:rsid w:val="00731F78"/>
    <w:rsid w:val="00733CF4"/>
    <w:rsid w:val="007340E4"/>
    <w:rsid w:val="00735F94"/>
    <w:rsid w:val="00741C5D"/>
    <w:rsid w:val="00742774"/>
    <w:rsid w:val="00743817"/>
    <w:rsid w:val="00744AFE"/>
    <w:rsid w:val="00744BDA"/>
    <w:rsid w:val="0074507E"/>
    <w:rsid w:val="007450BD"/>
    <w:rsid w:val="00747F35"/>
    <w:rsid w:val="00750926"/>
    <w:rsid w:val="00751913"/>
    <w:rsid w:val="00752813"/>
    <w:rsid w:val="0075367B"/>
    <w:rsid w:val="0075738E"/>
    <w:rsid w:val="00757FF1"/>
    <w:rsid w:val="00760324"/>
    <w:rsid w:val="00762536"/>
    <w:rsid w:val="00762DFE"/>
    <w:rsid w:val="00764E6B"/>
    <w:rsid w:val="0076540F"/>
    <w:rsid w:val="00765ED6"/>
    <w:rsid w:val="00766033"/>
    <w:rsid w:val="007676D8"/>
    <w:rsid w:val="00767B1E"/>
    <w:rsid w:val="00774598"/>
    <w:rsid w:val="00774F43"/>
    <w:rsid w:val="00775B99"/>
    <w:rsid w:val="00776929"/>
    <w:rsid w:val="00780C5D"/>
    <w:rsid w:val="00780D4A"/>
    <w:rsid w:val="007814E6"/>
    <w:rsid w:val="00782938"/>
    <w:rsid w:val="00782994"/>
    <w:rsid w:val="00782F13"/>
    <w:rsid w:val="00783D3C"/>
    <w:rsid w:val="00784824"/>
    <w:rsid w:val="00785AAA"/>
    <w:rsid w:val="0078658C"/>
    <w:rsid w:val="00787EA1"/>
    <w:rsid w:val="00787F71"/>
    <w:rsid w:val="00790EF6"/>
    <w:rsid w:val="00793810"/>
    <w:rsid w:val="00796A8C"/>
    <w:rsid w:val="00796ABD"/>
    <w:rsid w:val="00796E39"/>
    <w:rsid w:val="0079781F"/>
    <w:rsid w:val="007A2694"/>
    <w:rsid w:val="007A703C"/>
    <w:rsid w:val="007B0435"/>
    <w:rsid w:val="007B16A0"/>
    <w:rsid w:val="007B30E2"/>
    <w:rsid w:val="007B5D5B"/>
    <w:rsid w:val="007B71CD"/>
    <w:rsid w:val="007B7DCB"/>
    <w:rsid w:val="007C0CF2"/>
    <w:rsid w:val="007C3005"/>
    <w:rsid w:val="007C3101"/>
    <w:rsid w:val="007C3131"/>
    <w:rsid w:val="007C5390"/>
    <w:rsid w:val="007C6704"/>
    <w:rsid w:val="007C7560"/>
    <w:rsid w:val="007C7BD6"/>
    <w:rsid w:val="007D045B"/>
    <w:rsid w:val="007D2053"/>
    <w:rsid w:val="007D6EC9"/>
    <w:rsid w:val="007D7370"/>
    <w:rsid w:val="007D7F62"/>
    <w:rsid w:val="007E51F4"/>
    <w:rsid w:val="007E5803"/>
    <w:rsid w:val="007F0D47"/>
    <w:rsid w:val="007F17BC"/>
    <w:rsid w:val="007F1FC7"/>
    <w:rsid w:val="007F2FA5"/>
    <w:rsid w:val="007F503E"/>
    <w:rsid w:val="007F78CB"/>
    <w:rsid w:val="00806A8C"/>
    <w:rsid w:val="00806E5A"/>
    <w:rsid w:val="0080712C"/>
    <w:rsid w:val="00807C7E"/>
    <w:rsid w:val="008100AC"/>
    <w:rsid w:val="00813C23"/>
    <w:rsid w:val="00813FD3"/>
    <w:rsid w:val="00814B16"/>
    <w:rsid w:val="008153B8"/>
    <w:rsid w:val="00815BE3"/>
    <w:rsid w:val="00815D88"/>
    <w:rsid w:val="00816A19"/>
    <w:rsid w:val="0082083A"/>
    <w:rsid w:val="008209F6"/>
    <w:rsid w:val="00821E67"/>
    <w:rsid w:val="00822054"/>
    <w:rsid w:val="00823AC8"/>
    <w:rsid w:val="00827EEC"/>
    <w:rsid w:val="008304E0"/>
    <w:rsid w:val="00830FBF"/>
    <w:rsid w:val="0083248D"/>
    <w:rsid w:val="00834995"/>
    <w:rsid w:val="00834D18"/>
    <w:rsid w:val="008350E2"/>
    <w:rsid w:val="008361B4"/>
    <w:rsid w:val="008363F2"/>
    <w:rsid w:val="00836A99"/>
    <w:rsid w:val="0083708E"/>
    <w:rsid w:val="00841011"/>
    <w:rsid w:val="00841BDE"/>
    <w:rsid w:val="00841D8E"/>
    <w:rsid w:val="00841DA8"/>
    <w:rsid w:val="008425C0"/>
    <w:rsid w:val="008466D3"/>
    <w:rsid w:val="008470A8"/>
    <w:rsid w:val="00847BD1"/>
    <w:rsid w:val="00851B0C"/>
    <w:rsid w:val="00851F74"/>
    <w:rsid w:val="008522C0"/>
    <w:rsid w:val="00852D6E"/>
    <w:rsid w:val="008530E3"/>
    <w:rsid w:val="00854F05"/>
    <w:rsid w:val="00856201"/>
    <w:rsid w:val="00857553"/>
    <w:rsid w:val="0086014F"/>
    <w:rsid w:val="00861938"/>
    <w:rsid w:val="00861D1E"/>
    <w:rsid w:val="00862BA7"/>
    <w:rsid w:val="00863544"/>
    <w:rsid w:val="00863C52"/>
    <w:rsid w:val="0086638D"/>
    <w:rsid w:val="00867906"/>
    <w:rsid w:val="00870180"/>
    <w:rsid w:val="00870E70"/>
    <w:rsid w:val="00871C44"/>
    <w:rsid w:val="008724E6"/>
    <w:rsid w:val="00874B1D"/>
    <w:rsid w:val="00875087"/>
    <w:rsid w:val="008754D6"/>
    <w:rsid w:val="00876EBB"/>
    <w:rsid w:val="00882312"/>
    <w:rsid w:val="00882988"/>
    <w:rsid w:val="0088370B"/>
    <w:rsid w:val="008846BF"/>
    <w:rsid w:val="00887F31"/>
    <w:rsid w:val="008909D3"/>
    <w:rsid w:val="008926F5"/>
    <w:rsid w:val="00892D99"/>
    <w:rsid w:val="00894D0B"/>
    <w:rsid w:val="00897387"/>
    <w:rsid w:val="008A207D"/>
    <w:rsid w:val="008A4BB2"/>
    <w:rsid w:val="008A683D"/>
    <w:rsid w:val="008B0886"/>
    <w:rsid w:val="008B24AB"/>
    <w:rsid w:val="008B3115"/>
    <w:rsid w:val="008B329D"/>
    <w:rsid w:val="008B49D5"/>
    <w:rsid w:val="008B4F17"/>
    <w:rsid w:val="008B7108"/>
    <w:rsid w:val="008C3782"/>
    <w:rsid w:val="008C3A0C"/>
    <w:rsid w:val="008C4408"/>
    <w:rsid w:val="008C68D5"/>
    <w:rsid w:val="008D06EA"/>
    <w:rsid w:val="008D3719"/>
    <w:rsid w:val="008D58B5"/>
    <w:rsid w:val="008D5CB1"/>
    <w:rsid w:val="008D6B84"/>
    <w:rsid w:val="008D7F20"/>
    <w:rsid w:val="008E155E"/>
    <w:rsid w:val="008E1961"/>
    <w:rsid w:val="008E2721"/>
    <w:rsid w:val="008E38F6"/>
    <w:rsid w:val="008E495E"/>
    <w:rsid w:val="008E495F"/>
    <w:rsid w:val="008E53FD"/>
    <w:rsid w:val="008E5BF3"/>
    <w:rsid w:val="008E622B"/>
    <w:rsid w:val="008F070E"/>
    <w:rsid w:val="008F1045"/>
    <w:rsid w:val="008F1795"/>
    <w:rsid w:val="008F4CB1"/>
    <w:rsid w:val="008F6193"/>
    <w:rsid w:val="008F7C43"/>
    <w:rsid w:val="008F7D94"/>
    <w:rsid w:val="00901B08"/>
    <w:rsid w:val="00903B63"/>
    <w:rsid w:val="0090695C"/>
    <w:rsid w:val="00910844"/>
    <w:rsid w:val="009109DD"/>
    <w:rsid w:val="00913031"/>
    <w:rsid w:val="00914F15"/>
    <w:rsid w:val="009157A9"/>
    <w:rsid w:val="009159BE"/>
    <w:rsid w:val="00916D84"/>
    <w:rsid w:val="009224F6"/>
    <w:rsid w:val="00924DC9"/>
    <w:rsid w:val="009273AE"/>
    <w:rsid w:val="0093093E"/>
    <w:rsid w:val="0093171A"/>
    <w:rsid w:val="009317CD"/>
    <w:rsid w:val="00934436"/>
    <w:rsid w:val="00935013"/>
    <w:rsid w:val="009375EE"/>
    <w:rsid w:val="009403A3"/>
    <w:rsid w:val="0094183F"/>
    <w:rsid w:val="0094262D"/>
    <w:rsid w:val="009427BE"/>
    <w:rsid w:val="00942D02"/>
    <w:rsid w:val="00942E2A"/>
    <w:rsid w:val="00943D38"/>
    <w:rsid w:val="00944190"/>
    <w:rsid w:val="00944592"/>
    <w:rsid w:val="00944DF2"/>
    <w:rsid w:val="009464EC"/>
    <w:rsid w:val="00946811"/>
    <w:rsid w:val="009501A1"/>
    <w:rsid w:val="0095076E"/>
    <w:rsid w:val="00953878"/>
    <w:rsid w:val="0095770A"/>
    <w:rsid w:val="00957F84"/>
    <w:rsid w:val="009600D4"/>
    <w:rsid w:val="009605D2"/>
    <w:rsid w:val="00960ADF"/>
    <w:rsid w:val="00960E85"/>
    <w:rsid w:val="00961265"/>
    <w:rsid w:val="009635D0"/>
    <w:rsid w:val="00966473"/>
    <w:rsid w:val="0096732C"/>
    <w:rsid w:val="00973861"/>
    <w:rsid w:val="0097400E"/>
    <w:rsid w:val="009746F3"/>
    <w:rsid w:val="00974762"/>
    <w:rsid w:val="00974994"/>
    <w:rsid w:val="00975F86"/>
    <w:rsid w:val="009774A8"/>
    <w:rsid w:val="00981CA1"/>
    <w:rsid w:val="009832D3"/>
    <w:rsid w:val="00983DA2"/>
    <w:rsid w:val="00983E8C"/>
    <w:rsid w:val="0098413B"/>
    <w:rsid w:val="00984D1C"/>
    <w:rsid w:val="0098504E"/>
    <w:rsid w:val="00990039"/>
    <w:rsid w:val="0099336B"/>
    <w:rsid w:val="00993D68"/>
    <w:rsid w:val="009943D7"/>
    <w:rsid w:val="009947B5"/>
    <w:rsid w:val="009963E3"/>
    <w:rsid w:val="00996AAF"/>
    <w:rsid w:val="00996DB2"/>
    <w:rsid w:val="009972AA"/>
    <w:rsid w:val="0099794D"/>
    <w:rsid w:val="009A0454"/>
    <w:rsid w:val="009A30CA"/>
    <w:rsid w:val="009A47CF"/>
    <w:rsid w:val="009A5BDD"/>
    <w:rsid w:val="009A61B8"/>
    <w:rsid w:val="009A632C"/>
    <w:rsid w:val="009A7156"/>
    <w:rsid w:val="009A793A"/>
    <w:rsid w:val="009B0083"/>
    <w:rsid w:val="009B08AE"/>
    <w:rsid w:val="009B0BBA"/>
    <w:rsid w:val="009B0E2E"/>
    <w:rsid w:val="009B1AD6"/>
    <w:rsid w:val="009B385B"/>
    <w:rsid w:val="009B3B1D"/>
    <w:rsid w:val="009B3CF6"/>
    <w:rsid w:val="009B498E"/>
    <w:rsid w:val="009B58E2"/>
    <w:rsid w:val="009B682E"/>
    <w:rsid w:val="009B7C7B"/>
    <w:rsid w:val="009C07AB"/>
    <w:rsid w:val="009C0D61"/>
    <w:rsid w:val="009C2311"/>
    <w:rsid w:val="009C2717"/>
    <w:rsid w:val="009C3F62"/>
    <w:rsid w:val="009C72E2"/>
    <w:rsid w:val="009C7E14"/>
    <w:rsid w:val="009D241E"/>
    <w:rsid w:val="009D3A88"/>
    <w:rsid w:val="009D3FCA"/>
    <w:rsid w:val="009D4079"/>
    <w:rsid w:val="009D6E18"/>
    <w:rsid w:val="009E24F5"/>
    <w:rsid w:val="009E267C"/>
    <w:rsid w:val="009E2BEE"/>
    <w:rsid w:val="009E3E2B"/>
    <w:rsid w:val="009E4AD4"/>
    <w:rsid w:val="009E555F"/>
    <w:rsid w:val="009E7355"/>
    <w:rsid w:val="009E7DED"/>
    <w:rsid w:val="009F0D50"/>
    <w:rsid w:val="009F102B"/>
    <w:rsid w:val="009F1F76"/>
    <w:rsid w:val="009F5C46"/>
    <w:rsid w:val="009F5DA2"/>
    <w:rsid w:val="009F7700"/>
    <w:rsid w:val="009F7A41"/>
    <w:rsid w:val="00A00129"/>
    <w:rsid w:val="00A02006"/>
    <w:rsid w:val="00A036A5"/>
    <w:rsid w:val="00A03D9E"/>
    <w:rsid w:val="00A04150"/>
    <w:rsid w:val="00A06EFC"/>
    <w:rsid w:val="00A07D31"/>
    <w:rsid w:val="00A07F63"/>
    <w:rsid w:val="00A12A40"/>
    <w:rsid w:val="00A140B1"/>
    <w:rsid w:val="00A151CF"/>
    <w:rsid w:val="00A1722A"/>
    <w:rsid w:val="00A1743E"/>
    <w:rsid w:val="00A175C9"/>
    <w:rsid w:val="00A17B6D"/>
    <w:rsid w:val="00A17FE6"/>
    <w:rsid w:val="00A20CDF"/>
    <w:rsid w:val="00A20F61"/>
    <w:rsid w:val="00A20FB3"/>
    <w:rsid w:val="00A23F3A"/>
    <w:rsid w:val="00A26F2C"/>
    <w:rsid w:val="00A27252"/>
    <w:rsid w:val="00A27572"/>
    <w:rsid w:val="00A277F2"/>
    <w:rsid w:val="00A27B6B"/>
    <w:rsid w:val="00A3229B"/>
    <w:rsid w:val="00A36B8D"/>
    <w:rsid w:val="00A41410"/>
    <w:rsid w:val="00A4158F"/>
    <w:rsid w:val="00A41683"/>
    <w:rsid w:val="00A42A47"/>
    <w:rsid w:val="00A42A5D"/>
    <w:rsid w:val="00A4342B"/>
    <w:rsid w:val="00A438EC"/>
    <w:rsid w:val="00A46EC5"/>
    <w:rsid w:val="00A47D9E"/>
    <w:rsid w:val="00A5022F"/>
    <w:rsid w:val="00A52CEA"/>
    <w:rsid w:val="00A54649"/>
    <w:rsid w:val="00A549E8"/>
    <w:rsid w:val="00A54DD4"/>
    <w:rsid w:val="00A56833"/>
    <w:rsid w:val="00A5732E"/>
    <w:rsid w:val="00A60067"/>
    <w:rsid w:val="00A61B9A"/>
    <w:rsid w:val="00A62F90"/>
    <w:rsid w:val="00A635AA"/>
    <w:rsid w:val="00A64273"/>
    <w:rsid w:val="00A64E06"/>
    <w:rsid w:val="00A66B22"/>
    <w:rsid w:val="00A66F2B"/>
    <w:rsid w:val="00A722E2"/>
    <w:rsid w:val="00A73007"/>
    <w:rsid w:val="00A737AB"/>
    <w:rsid w:val="00A753C9"/>
    <w:rsid w:val="00A80795"/>
    <w:rsid w:val="00A81889"/>
    <w:rsid w:val="00A81C39"/>
    <w:rsid w:val="00A82C74"/>
    <w:rsid w:val="00A8314E"/>
    <w:rsid w:val="00A8345B"/>
    <w:rsid w:val="00A8473F"/>
    <w:rsid w:val="00A86901"/>
    <w:rsid w:val="00A872CF"/>
    <w:rsid w:val="00A87A7E"/>
    <w:rsid w:val="00A9146B"/>
    <w:rsid w:val="00A92FC8"/>
    <w:rsid w:val="00A93767"/>
    <w:rsid w:val="00A94275"/>
    <w:rsid w:val="00A95C0E"/>
    <w:rsid w:val="00AA11BB"/>
    <w:rsid w:val="00AA1A8F"/>
    <w:rsid w:val="00AA4F62"/>
    <w:rsid w:val="00AA5C26"/>
    <w:rsid w:val="00AB5433"/>
    <w:rsid w:val="00AB5696"/>
    <w:rsid w:val="00AB56B1"/>
    <w:rsid w:val="00AB65FA"/>
    <w:rsid w:val="00AB6A3B"/>
    <w:rsid w:val="00AB6F01"/>
    <w:rsid w:val="00AC0FDC"/>
    <w:rsid w:val="00AC2E3C"/>
    <w:rsid w:val="00AC4C87"/>
    <w:rsid w:val="00AC7131"/>
    <w:rsid w:val="00AC793B"/>
    <w:rsid w:val="00AC79C3"/>
    <w:rsid w:val="00AD066E"/>
    <w:rsid w:val="00AD06A9"/>
    <w:rsid w:val="00AD0C58"/>
    <w:rsid w:val="00AD0C75"/>
    <w:rsid w:val="00AD33E5"/>
    <w:rsid w:val="00AD3DB7"/>
    <w:rsid w:val="00AD4AD9"/>
    <w:rsid w:val="00AD4B2A"/>
    <w:rsid w:val="00AD5E7E"/>
    <w:rsid w:val="00AD75BC"/>
    <w:rsid w:val="00AE2005"/>
    <w:rsid w:val="00AE326E"/>
    <w:rsid w:val="00AE43FB"/>
    <w:rsid w:val="00AE6448"/>
    <w:rsid w:val="00AE7C9D"/>
    <w:rsid w:val="00AF0390"/>
    <w:rsid w:val="00AF10B7"/>
    <w:rsid w:val="00AF4B87"/>
    <w:rsid w:val="00AF4D90"/>
    <w:rsid w:val="00B00967"/>
    <w:rsid w:val="00B030E0"/>
    <w:rsid w:val="00B0482F"/>
    <w:rsid w:val="00B067D4"/>
    <w:rsid w:val="00B06D4E"/>
    <w:rsid w:val="00B0737C"/>
    <w:rsid w:val="00B076CC"/>
    <w:rsid w:val="00B10A12"/>
    <w:rsid w:val="00B12346"/>
    <w:rsid w:val="00B124F3"/>
    <w:rsid w:val="00B14A90"/>
    <w:rsid w:val="00B1622B"/>
    <w:rsid w:val="00B2021F"/>
    <w:rsid w:val="00B20B20"/>
    <w:rsid w:val="00B21A79"/>
    <w:rsid w:val="00B22DB0"/>
    <w:rsid w:val="00B2547A"/>
    <w:rsid w:val="00B25ED1"/>
    <w:rsid w:val="00B26A48"/>
    <w:rsid w:val="00B273E3"/>
    <w:rsid w:val="00B32918"/>
    <w:rsid w:val="00B36B60"/>
    <w:rsid w:val="00B37AEE"/>
    <w:rsid w:val="00B37E5A"/>
    <w:rsid w:val="00B40182"/>
    <w:rsid w:val="00B40390"/>
    <w:rsid w:val="00B40426"/>
    <w:rsid w:val="00B41212"/>
    <w:rsid w:val="00B41DA0"/>
    <w:rsid w:val="00B41DF0"/>
    <w:rsid w:val="00B41F2B"/>
    <w:rsid w:val="00B42070"/>
    <w:rsid w:val="00B43E3E"/>
    <w:rsid w:val="00B44409"/>
    <w:rsid w:val="00B448E0"/>
    <w:rsid w:val="00B5074E"/>
    <w:rsid w:val="00B508CB"/>
    <w:rsid w:val="00B509A0"/>
    <w:rsid w:val="00B50BD8"/>
    <w:rsid w:val="00B535A0"/>
    <w:rsid w:val="00B53D9D"/>
    <w:rsid w:val="00B53E27"/>
    <w:rsid w:val="00B54A95"/>
    <w:rsid w:val="00B552BC"/>
    <w:rsid w:val="00B5697C"/>
    <w:rsid w:val="00B5783D"/>
    <w:rsid w:val="00B6106F"/>
    <w:rsid w:val="00B62810"/>
    <w:rsid w:val="00B63170"/>
    <w:rsid w:val="00B63827"/>
    <w:rsid w:val="00B63A71"/>
    <w:rsid w:val="00B6407A"/>
    <w:rsid w:val="00B64762"/>
    <w:rsid w:val="00B66966"/>
    <w:rsid w:val="00B673E1"/>
    <w:rsid w:val="00B67470"/>
    <w:rsid w:val="00B70A17"/>
    <w:rsid w:val="00B70D4D"/>
    <w:rsid w:val="00B73437"/>
    <w:rsid w:val="00B77294"/>
    <w:rsid w:val="00B80FE4"/>
    <w:rsid w:val="00B81731"/>
    <w:rsid w:val="00B85BAB"/>
    <w:rsid w:val="00B91F7F"/>
    <w:rsid w:val="00B920BB"/>
    <w:rsid w:val="00B92517"/>
    <w:rsid w:val="00B938C9"/>
    <w:rsid w:val="00B9499B"/>
    <w:rsid w:val="00B95895"/>
    <w:rsid w:val="00B97F86"/>
    <w:rsid w:val="00BA026D"/>
    <w:rsid w:val="00BA19F0"/>
    <w:rsid w:val="00BA2A6A"/>
    <w:rsid w:val="00BA2B00"/>
    <w:rsid w:val="00BA2F3A"/>
    <w:rsid w:val="00BA2FE2"/>
    <w:rsid w:val="00BA2FF0"/>
    <w:rsid w:val="00BA30CB"/>
    <w:rsid w:val="00BA4010"/>
    <w:rsid w:val="00BB1944"/>
    <w:rsid w:val="00BB1D04"/>
    <w:rsid w:val="00BB3660"/>
    <w:rsid w:val="00BB3EB4"/>
    <w:rsid w:val="00BB4B3A"/>
    <w:rsid w:val="00BB4D5B"/>
    <w:rsid w:val="00BB5801"/>
    <w:rsid w:val="00BB5ABE"/>
    <w:rsid w:val="00BC0062"/>
    <w:rsid w:val="00BC0847"/>
    <w:rsid w:val="00BC12BF"/>
    <w:rsid w:val="00BC1D91"/>
    <w:rsid w:val="00BC2571"/>
    <w:rsid w:val="00BC4C27"/>
    <w:rsid w:val="00BC4FC5"/>
    <w:rsid w:val="00BC5C67"/>
    <w:rsid w:val="00BD0313"/>
    <w:rsid w:val="00BD14DC"/>
    <w:rsid w:val="00BD3480"/>
    <w:rsid w:val="00BD3AC1"/>
    <w:rsid w:val="00BD3C31"/>
    <w:rsid w:val="00BD4591"/>
    <w:rsid w:val="00BD5B4A"/>
    <w:rsid w:val="00BD64D2"/>
    <w:rsid w:val="00BE10C6"/>
    <w:rsid w:val="00BE19B5"/>
    <w:rsid w:val="00BE2C43"/>
    <w:rsid w:val="00BE38D9"/>
    <w:rsid w:val="00BE43A8"/>
    <w:rsid w:val="00BE4BB0"/>
    <w:rsid w:val="00BE5ED3"/>
    <w:rsid w:val="00BF1A30"/>
    <w:rsid w:val="00BF2381"/>
    <w:rsid w:val="00BF3B2B"/>
    <w:rsid w:val="00BF5037"/>
    <w:rsid w:val="00BF5191"/>
    <w:rsid w:val="00BF5B5D"/>
    <w:rsid w:val="00BF7B7E"/>
    <w:rsid w:val="00C01E5C"/>
    <w:rsid w:val="00C02CD6"/>
    <w:rsid w:val="00C03D8F"/>
    <w:rsid w:val="00C049B5"/>
    <w:rsid w:val="00C04B5C"/>
    <w:rsid w:val="00C05539"/>
    <w:rsid w:val="00C1010C"/>
    <w:rsid w:val="00C10C17"/>
    <w:rsid w:val="00C12244"/>
    <w:rsid w:val="00C13777"/>
    <w:rsid w:val="00C14919"/>
    <w:rsid w:val="00C14E9E"/>
    <w:rsid w:val="00C1629F"/>
    <w:rsid w:val="00C16FD6"/>
    <w:rsid w:val="00C203E5"/>
    <w:rsid w:val="00C209E6"/>
    <w:rsid w:val="00C20CD0"/>
    <w:rsid w:val="00C21A0E"/>
    <w:rsid w:val="00C21BEF"/>
    <w:rsid w:val="00C26F27"/>
    <w:rsid w:val="00C271CA"/>
    <w:rsid w:val="00C27227"/>
    <w:rsid w:val="00C2759D"/>
    <w:rsid w:val="00C27A9F"/>
    <w:rsid w:val="00C31025"/>
    <w:rsid w:val="00C31D4B"/>
    <w:rsid w:val="00C33FF9"/>
    <w:rsid w:val="00C34530"/>
    <w:rsid w:val="00C357AC"/>
    <w:rsid w:val="00C40A7B"/>
    <w:rsid w:val="00C41552"/>
    <w:rsid w:val="00C4183D"/>
    <w:rsid w:val="00C4208D"/>
    <w:rsid w:val="00C4266A"/>
    <w:rsid w:val="00C43F07"/>
    <w:rsid w:val="00C4570D"/>
    <w:rsid w:val="00C464E4"/>
    <w:rsid w:val="00C47A55"/>
    <w:rsid w:val="00C47E0A"/>
    <w:rsid w:val="00C55283"/>
    <w:rsid w:val="00C55CA7"/>
    <w:rsid w:val="00C55FA0"/>
    <w:rsid w:val="00C6392F"/>
    <w:rsid w:val="00C6640C"/>
    <w:rsid w:val="00C6669E"/>
    <w:rsid w:val="00C66CFE"/>
    <w:rsid w:val="00C70692"/>
    <w:rsid w:val="00C726A5"/>
    <w:rsid w:val="00C73234"/>
    <w:rsid w:val="00C742AF"/>
    <w:rsid w:val="00C761B6"/>
    <w:rsid w:val="00C76D7A"/>
    <w:rsid w:val="00C81059"/>
    <w:rsid w:val="00C811CC"/>
    <w:rsid w:val="00C81599"/>
    <w:rsid w:val="00C825CC"/>
    <w:rsid w:val="00C8262F"/>
    <w:rsid w:val="00C8460F"/>
    <w:rsid w:val="00C876B6"/>
    <w:rsid w:val="00C915BD"/>
    <w:rsid w:val="00C9340D"/>
    <w:rsid w:val="00C948A7"/>
    <w:rsid w:val="00C94B4A"/>
    <w:rsid w:val="00C94FDB"/>
    <w:rsid w:val="00C950DE"/>
    <w:rsid w:val="00CA13BF"/>
    <w:rsid w:val="00CA169C"/>
    <w:rsid w:val="00CA4278"/>
    <w:rsid w:val="00CA5E9C"/>
    <w:rsid w:val="00CA5F28"/>
    <w:rsid w:val="00CA6026"/>
    <w:rsid w:val="00CA613F"/>
    <w:rsid w:val="00CA6145"/>
    <w:rsid w:val="00CA7520"/>
    <w:rsid w:val="00CA7923"/>
    <w:rsid w:val="00CB043D"/>
    <w:rsid w:val="00CB1CD6"/>
    <w:rsid w:val="00CB2442"/>
    <w:rsid w:val="00CB2FE2"/>
    <w:rsid w:val="00CB521A"/>
    <w:rsid w:val="00CB63AD"/>
    <w:rsid w:val="00CB64F5"/>
    <w:rsid w:val="00CB66F5"/>
    <w:rsid w:val="00CC035D"/>
    <w:rsid w:val="00CC0C72"/>
    <w:rsid w:val="00CC2093"/>
    <w:rsid w:val="00CC3BD4"/>
    <w:rsid w:val="00CC556A"/>
    <w:rsid w:val="00CC57D1"/>
    <w:rsid w:val="00CD2E2B"/>
    <w:rsid w:val="00CD37A2"/>
    <w:rsid w:val="00CD6185"/>
    <w:rsid w:val="00CD6F61"/>
    <w:rsid w:val="00CD7C35"/>
    <w:rsid w:val="00CE0366"/>
    <w:rsid w:val="00CE09D6"/>
    <w:rsid w:val="00CE1FFB"/>
    <w:rsid w:val="00CE272A"/>
    <w:rsid w:val="00CE338D"/>
    <w:rsid w:val="00CE595C"/>
    <w:rsid w:val="00CE632C"/>
    <w:rsid w:val="00CF018E"/>
    <w:rsid w:val="00CF01A0"/>
    <w:rsid w:val="00CF2DCF"/>
    <w:rsid w:val="00CF4FF2"/>
    <w:rsid w:val="00CF6AAA"/>
    <w:rsid w:val="00D0040D"/>
    <w:rsid w:val="00D0481C"/>
    <w:rsid w:val="00D048EE"/>
    <w:rsid w:val="00D04F6C"/>
    <w:rsid w:val="00D04FAC"/>
    <w:rsid w:val="00D06B19"/>
    <w:rsid w:val="00D137D9"/>
    <w:rsid w:val="00D1412D"/>
    <w:rsid w:val="00D14238"/>
    <w:rsid w:val="00D14FCE"/>
    <w:rsid w:val="00D15CC2"/>
    <w:rsid w:val="00D1669E"/>
    <w:rsid w:val="00D16D29"/>
    <w:rsid w:val="00D16F2B"/>
    <w:rsid w:val="00D21177"/>
    <w:rsid w:val="00D211EB"/>
    <w:rsid w:val="00D21E69"/>
    <w:rsid w:val="00D227DC"/>
    <w:rsid w:val="00D243B1"/>
    <w:rsid w:val="00D24482"/>
    <w:rsid w:val="00D250BC"/>
    <w:rsid w:val="00D2563A"/>
    <w:rsid w:val="00D3008A"/>
    <w:rsid w:val="00D3337C"/>
    <w:rsid w:val="00D35471"/>
    <w:rsid w:val="00D378B1"/>
    <w:rsid w:val="00D406B2"/>
    <w:rsid w:val="00D4097F"/>
    <w:rsid w:val="00D423F1"/>
    <w:rsid w:val="00D428D8"/>
    <w:rsid w:val="00D444B5"/>
    <w:rsid w:val="00D445FC"/>
    <w:rsid w:val="00D44C95"/>
    <w:rsid w:val="00D456E7"/>
    <w:rsid w:val="00D46544"/>
    <w:rsid w:val="00D468A0"/>
    <w:rsid w:val="00D46945"/>
    <w:rsid w:val="00D520B4"/>
    <w:rsid w:val="00D52820"/>
    <w:rsid w:val="00D5340C"/>
    <w:rsid w:val="00D54787"/>
    <w:rsid w:val="00D55228"/>
    <w:rsid w:val="00D56DCD"/>
    <w:rsid w:val="00D57018"/>
    <w:rsid w:val="00D578E5"/>
    <w:rsid w:val="00D610BD"/>
    <w:rsid w:val="00D6181C"/>
    <w:rsid w:val="00D62306"/>
    <w:rsid w:val="00D62EF2"/>
    <w:rsid w:val="00D64079"/>
    <w:rsid w:val="00D67529"/>
    <w:rsid w:val="00D675A4"/>
    <w:rsid w:val="00D67C45"/>
    <w:rsid w:val="00D70132"/>
    <w:rsid w:val="00D71D98"/>
    <w:rsid w:val="00D7239A"/>
    <w:rsid w:val="00D72773"/>
    <w:rsid w:val="00D732CA"/>
    <w:rsid w:val="00D73321"/>
    <w:rsid w:val="00D73CD1"/>
    <w:rsid w:val="00D744B2"/>
    <w:rsid w:val="00D75C0B"/>
    <w:rsid w:val="00D763B0"/>
    <w:rsid w:val="00D77F44"/>
    <w:rsid w:val="00D830ED"/>
    <w:rsid w:val="00D83641"/>
    <w:rsid w:val="00D84823"/>
    <w:rsid w:val="00D91E18"/>
    <w:rsid w:val="00D92087"/>
    <w:rsid w:val="00D93246"/>
    <w:rsid w:val="00D9429B"/>
    <w:rsid w:val="00D95100"/>
    <w:rsid w:val="00D95B43"/>
    <w:rsid w:val="00D96ACD"/>
    <w:rsid w:val="00D971B6"/>
    <w:rsid w:val="00D971C2"/>
    <w:rsid w:val="00D976C7"/>
    <w:rsid w:val="00DA0F78"/>
    <w:rsid w:val="00DA13B4"/>
    <w:rsid w:val="00DA18AA"/>
    <w:rsid w:val="00DA326A"/>
    <w:rsid w:val="00DA42C1"/>
    <w:rsid w:val="00DB05B6"/>
    <w:rsid w:val="00DB1117"/>
    <w:rsid w:val="00DB163F"/>
    <w:rsid w:val="00DB29EA"/>
    <w:rsid w:val="00DB47D7"/>
    <w:rsid w:val="00DB6D67"/>
    <w:rsid w:val="00DC18A6"/>
    <w:rsid w:val="00DC1D45"/>
    <w:rsid w:val="00DC7FF4"/>
    <w:rsid w:val="00DD1D9B"/>
    <w:rsid w:val="00DD26EF"/>
    <w:rsid w:val="00DD3284"/>
    <w:rsid w:val="00DD3EBA"/>
    <w:rsid w:val="00DD3F35"/>
    <w:rsid w:val="00DD54C9"/>
    <w:rsid w:val="00DD6234"/>
    <w:rsid w:val="00DD6BE4"/>
    <w:rsid w:val="00DD6C8B"/>
    <w:rsid w:val="00DD7190"/>
    <w:rsid w:val="00DD72BF"/>
    <w:rsid w:val="00DD7735"/>
    <w:rsid w:val="00DE0456"/>
    <w:rsid w:val="00DE0874"/>
    <w:rsid w:val="00DE1373"/>
    <w:rsid w:val="00DE1EB5"/>
    <w:rsid w:val="00DE227A"/>
    <w:rsid w:val="00DE2BAD"/>
    <w:rsid w:val="00DE618A"/>
    <w:rsid w:val="00DE7F49"/>
    <w:rsid w:val="00DF0632"/>
    <w:rsid w:val="00DF0B15"/>
    <w:rsid w:val="00DF2192"/>
    <w:rsid w:val="00DF3205"/>
    <w:rsid w:val="00DF4704"/>
    <w:rsid w:val="00DF5AAA"/>
    <w:rsid w:val="00DF62EA"/>
    <w:rsid w:val="00DF70DE"/>
    <w:rsid w:val="00E0209A"/>
    <w:rsid w:val="00E0339D"/>
    <w:rsid w:val="00E064A2"/>
    <w:rsid w:val="00E0764E"/>
    <w:rsid w:val="00E0770E"/>
    <w:rsid w:val="00E12EDE"/>
    <w:rsid w:val="00E158E1"/>
    <w:rsid w:val="00E15CCC"/>
    <w:rsid w:val="00E15FE9"/>
    <w:rsid w:val="00E16716"/>
    <w:rsid w:val="00E1697C"/>
    <w:rsid w:val="00E16B94"/>
    <w:rsid w:val="00E16CC8"/>
    <w:rsid w:val="00E215A1"/>
    <w:rsid w:val="00E232AF"/>
    <w:rsid w:val="00E27B72"/>
    <w:rsid w:val="00E30462"/>
    <w:rsid w:val="00E31656"/>
    <w:rsid w:val="00E3400C"/>
    <w:rsid w:val="00E34B1D"/>
    <w:rsid w:val="00E36F5A"/>
    <w:rsid w:val="00E3752A"/>
    <w:rsid w:val="00E40868"/>
    <w:rsid w:val="00E419E1"/>
    <w:rsid w:val="00E42B79"/>
    <w:rsid w:val="00E4327F"/>
    <w:rsid w:val="00E47E41"/>
    <w:rsid w:val="00E54195"/>
    <w:rsid w:val="00E5435F"/>
    <w:rsid w:val="00E54C2F"/>
    <w:rsid w:val="00E551DE"/>
    <w:rsid w:val="00E5540A"/>
    <w:rsid w:val="00E56246"/>
    <w:rsid w:val="00E56EFE"/>
    <w:rsid w:val="00E57ABC"/>
    <w:rsid w:val="00E61BC5"/>
    <w:rsid w:val="00E641A0"/>
    <w:rsid w:val="00E64BDD"/>
    <w:rsid w:val="00E65509"/>
    <w:rsid w:val="00E65BB4"/>
    <w:rsid w:val="00E70C38"/>
    <w:rsid w:val="00E70D9F"/>
    <w:rsid w:val="00E71C05"/>
    <w:rsid w:val="00E7263D"/>
    <w:rsid w:val="00E73B08"/>
    <w:rsid w:val="00E74C88"/>
    <w:rsid w:val="00E77979"/>
    <w:rsid w:val="00E82B31"/>
    <w:rsid w:val="00E86587"/>
    <w:rsid w:val="00E90B45"/>
    <w:rsid w:val="00E932BD"/>
    <w:rsid w:val="00E9494D"/>
    <w:rsid w:val="00E94A25"/>
    <w:rsid w:val="00E94AAF"/>
    <w:rsid w:val="00E950B8"/>
    <w:rsid w:val="00E95DA1"/>
    <w:rsid w:val="00E97EC9"/>
    <w:rsid w:val="00EA1F29"/>
    <w:rsid w:val="00EA261B"/>
    <w:rsid w:val="00EA4ADE"/>
    <w:rsid w:val="00EA5E5E"/>
    <w:rsid w:val="00EA689F"/>
    <w:rsid w:val="00EA76A8"/>
    <w:rsid w:val="00EB02E6"/>
    <w:rsid w:val="00EB1361"/>
    <w:rsid w:val="00EB21A4"/>
    <w:rsid w:val="00EB2FEC"/>
    <w:rsid w:val="00EB5365"/>
    <w:rsid w:val="00EB5480"/>
    <w:rsid w:val="00EB5F4F"/>
    <w:rsid w:val="00EB7219"/>
    <w:rsid w:val="00EC0807"/>
    <w:rsid w:val="00EC1418"/>
    <w:rsid w:val="00EC173A"/>
    <w:rsid w:val="00EC1910"/>
    <w:rsid w:val="00EC1E56"/>
    <w:rsid w:val="00EC35B3"/>
    <w:rsid w:val="00EC36CB"/>
    <w:rsid w:val="00EC430B"/>
    <w:rsid w:val="00EC65B5"/>
    <w:rsid w:val="00EC67F3"/>
    <w:rsid w:val="00ED0130"/>
    <w:rsid w:val="00ED0F3B"/>
    <w:rsid w:val="00ED10C7"/>
    <w:rsid w:val="00EE34A0"/>
    <w:rsid w:val="00EE3B86"/>
    <w:rsid w:val="00EE466B"/>
    <w:rsid w:val="00EE5277"/>
    <w:rsid w:val="00EE5FF1"/>
    <w:rsid w:val="00EE60DF"/>
    <w:rsid w:val="00EF3582"/>
    <w:rsid w:val="00EF391B"/>
    <w:rsid w:val="00EF4BCE"/>
    <w:rsid w:val="00EF5321"/>
    <w:rsid w:val="00EF631A"/>
    <w:rsid w:val="00F00DE0"/>
    <w:rsid w:val="00F01AF2"/>
    <w:rsid w:val="00F0286C"/>
    <w:rsid w:val="00F02E32"/>
    <w:rsid w:val="00F032F2"/>
    <w:rsid w:val="00F049B7"/>
    <w:rsid w:val="00F0524B"/>
    <w:rsid w:val="00F05C10"/>
    <w:rsid w:val="00F05EC6"/>
    <w:rsid w:val="00F117BC"/>
    <w:rsid w:val="00F12415"/>
    <w:rsid w:val="00F12A62"/>
    <w:rsid w:val="00F14098"/>
    <w:rsid w:val="00F14177"/>
    <w:rsid w:val="00F14605"/>
    <w:rsid w:val="00F160CA"/>
    <w:rsid w:val="00F172A0"/>
    <w:rsid w:val="00F17DBA"/>
    <w:rsid w:val="00F204A6"/>
    <w:rsid w:val="00F21FFB"/>
    <w:rsid w:val="00F2315C"/>
    <w:rsid w:val="00F23856"/>
    <w:rsid w:val="00F247CB"/>
    <w:rsid w:val="00F2548E"/>
    <w:rsid w:val="00F334C9"/>
    <w:rsid w:val="00F34499"/>
    <w:rsid w:val="00F35D24"/>
    <w:rsid w:val="00F360A7"/>
    <w:rsid w:val="00F36173"/>
    <w:rsid w:val="00F37821"/>
    <w:rsid w:val="00F40AF4"/>
    <w:rsid w:val="00F42C8B"/>
    <w:rsid w:val="00F44104"/>
    <w:rsid w:val="00F46063"/>
    <w:rsid w:val="00F47D7B"/>
    <w:rsid w:val="00F505B0"/>
    <w:rsid w:val="00F5082E"/>
    <w:rsid w:val="00F50EDE"/>
    <w:rsid w:val="00F51AA9"/>
    <w:rsid w:val="00F51C13"/>
    <w:rsid w:val="00F51DD7"/>
    <w:rsid w:val="00F53DB5"/>
    <w:rsid w:val="00F5693D"/>
    <w:rsid w:val="00F60E3C"/>
    <w:rsid w:val="00F64BF4"/>
    <w:rsid w:val="00F65B85"/>
    <w:rsid w:val="00F71081"/>
    <w:rsid w:val="00F73340"/>
    <w:rsid w:val="00F7386A"/>
    <w:rsid w:val="00F75613"/>
    <w:rsid w:val="00F75FC5"/>
    <w:rsid w:val="00F8137D"/>
    <w:rsid w:val="00F82C7C"/>
    <w:rsid w:val="00F839A9"/>
    <w:rsid w:val="00F86511"/>
    <w:rsid w:val="00F86AB9"/>
    <w:rsid w:val="00F91348"/>
    <w:rsid w:val="00F91A3F"/>
    <w:rsid w:val="00F926DD"/>
    <w:rsid w:val="00F93039"/>
    <w:rsid w:val="00F931A3"/>
    <w:rsid w:val="00F941D9"/>
    <w:rsid w:val="00F94B49"/>
    <w:rsid w:val="00F94EA3"/>
    <w:rsid w:val="00F95F7D"/>
    <w:rsid w:val="00F96A33"/>
    <w:rsid w:val="00F96BEB"/>
    <w:rsid w:val="00F97357"/>
    <w:rsid w:val="00FA68F3"/>
    <w:rsid w:val="00FA775E"/>
    <w:rsid w:val="00FB2F79"/>
    <w:rsid w:val="00FB3067"/>
    <w:rsid w:val="00FB338C"/>
    <w:rsid w:val="00FB50B1"/>
    <w:rsid w:val="00FB50B8"/>
    <w:rsid w:val="00FC14E4"/>
    <w:rsid w:val="00FC6CEC"/>
    <w:rsid w:val="00FC7374"/>
    <w:rsid w:val="00FC7D6C"/>
    <w:rsid w:val="00FD01CE"/>
    <w:rsid w:val="00FD1E75"/>
    <w:rsid w:val="00FD2274"/>
    <w:rsid w:val="00FD2654"/>
    <w:rsid w:val="00FD2A02"/>
    <w:rsid w:val="00FD4EE9"/>
    <w:rsid w:val="00FD58B4"/>
    <w:rsid w:val="00FD5BFB"/>
    <w:rsid w:val="00FD766E"/>
    <w:rsid w:val="00FD79CE"/>
    <w:rsid w:val="00FE2524"/>
    <w:rsid w:val="00FE44D6"/>
    <w:rsid w:val="00FE5A84"/>
    <w:rsid w:val="00FE63E1"/>
    <w:rsid w:val="00FE72B2"/>
    <w:rsid w:val="00FE7F8D"/>
    <w:rsid w:val="00FF12A4"/>
    <w:rsid w:val="00FF50A3"/>
    <w:rsid w:val="00FF6B75"/>
    <w:rsid w:val="00FF74CF"/>
    <w:rsid w:val="00FF7D5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07CA58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SimSun" w:hAnsi="Times"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line number" w:uiPriority="0"/>
    <w:lsdException w:name="page number" w:uiPriority="0"/>
    <w:lsdException w:name="endnote reference" w:uiPriority="0"/>
    <w:lsdException w:name="List Bullet" w:uiPriority="0"/>
    <w:lsdException w:name="List Number" w:uiPriority="0"/>
    <w:lsdException w:name="List Number 5"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DB2"/>
    <w:pPr>
      <w:spacing w:after="240"/>
    </w:pPr>
    <w:rPr>
      <w:rFonts w:ascii="Times New Roman" w:hAnsi="Times New Roman"/>
      <w:color w:val="000000"/>
      <w:sz w:val="22"/>
      <w:lang w:val="en-GB" w:eastAsia="zh-CN"/>
    </w:rPr>
  </w:style>
  <w:style w:type="paragraph" w:styleId="Heading1">
    <w:name w:val="heading 1"/>
    <w:aliases w:val="Para (1),Heading 1 Char1 Char,Heading 1 Char Char Char,Para (1) Char Char Char,Para (1) Char1 Char,Heading 1 Char1,Heading 1 Char Char,Para (1) Char Char,Para (1) Char1,Heading 1 Char1 Char Char,Heading 1 Char,Heading 1 Char1 Char Char Char"/>
    <w:basedOn w:val="Normal"/>
    <w:next w:val="Normal"/>
    <w:autoRedefine/>
    <w:uiPriority w:val="9"/>
    <w:qFormat/>
    <w:rsid w:val="00A94275"/>
    <w:pPr>
      <w:keepNext/>
      <w:spacing w:before="120"/>
      <w:ind w:left="810" w:hanging="810"/>
      <w:outlineLvl w:val="0"/>
    </w:pPr>
    <w:rPr>
      <w:b/>
      <w:sz w:val="28"/>
    </w:rPr>
  </w:style>
  <w:style w:type="paragraph" w:styleId="Heading2">
    <w:name w:val="heading 2"/>
    <w:aliases w:val="SubPara (a),Heading 2 Char1 Char,SubPara (a) Char1 Char,Heading 2 Char3 Char Char,Heading 2 Char Char2 Char Char,Heading 2 Char1 Char Char1 Char Char,SubPara (a) Char Char Char1 Char Char,Heading 2 Char Char Char Char1 Char Char,Heading 2 C..."/>
    <w:basedOn w:val="Heading1"/>
    <w:next w:val="Normal"/>
    <w:autoRedefine/>
    <w:uiPriority w:val="9"/>
    <w:qFormat/>
    <w:rsid w:val="00275CBE"/>
    <w:pPr>
      <w:widowControl w:val="0"/>
      <w:tabs>
        <w:tab w:val="left" w:pos="851"/>
      </w:tabs>
      <w:autoSpaceDE w:val="0"/>
      <w:autoSpaceDN w:val="0"/>
      <w:adjustRightInd w:val="0"/>
      <w:spacing w:before="240"/>
      <w:ind w:left="851" w:right="29" w:hanging="851"/>
      <w:outlineLvl w:val="1"/>
    </w:pPr>
    <w:rPr>
      <w:rFonts w:eastAsia="MS Mincho"/>
      <w:snapToGrid w:val="0"/>
      <w:color w:val="auto"/>
      <w:sz w:val="24"/>
      <w:szCs w:val="22"/>
      <w:lang w:val="en-US" w:eastAsia="en-US"/>
    </w:rPr>
  </w:style>
  <w:style w:type="paragraph" w:styleId="Heading3">
    <w:name w:val="heading 3"/>
    <w:aliases w:val="Heading 3 Char1 Char,Heading 3 Char Char Char,Char Char Char Char,Char Char1 Char,Sec"/>
    <w:basedOn w:val="Normal"/>
    <w:next w:val="Normal"/>
    <w:autoRedefine/>
    <w:uiPriority w:val="9"/>
    <w:qFormat/>
    <w:rsid w:val="00275CBE"/>
    <w:pPr>
      <w:keepNext/>
      <w:keepLines/>
      <w:widowControl w:val="0"/>
      <w:tabs>
        <w:tab w:val="left" w:pos="851"/>
      </w:tabs>
      <w:autoSpaceDE w:val="0"/>
      <w:autoSpaceDN w:val="0"/>
      <w:adjustRightInd w:val="0"/>
      <w:spacing w:before="120"/>
      <w:ind w:left="851" w:right="29" w:hanging="851"/>
      <w:outlineLvl w:val="2"/>
    </w:pPr>
    <w:rPr>
      <w:rFonts w:eastAsia="MS Mincho"/>
      <w:b/>
      <w:snapToGrid w:val="0"/>
      <w:sz w:val="24"/>
      <w:lang w:val="en-US"/>
    </w:rPr>
  </w:style>
  <w:style w:type="paragraph" w:styleId="Heading4">
    <w:name w:val="heading 4"/>
    <w:aliases w:val="MainPara"/>
    <w:basedOn w:val="Heading3"/>
    <w:next w:val="Normal"/>
    <w:autoRedefine/>
    <w:uiPriority w:val="9"/>
    <w:qFormat/>
    <w:rsid w:val="00C81599"/>
    <w:pPr>
      <w:keepLines w:val="0"/>
      <w:autoSpaceDE/>
      <w:autoSpaceDN/>
      <w:adjustRightInd/>
      <w:spacing w:before="0" w:after="60" w:line="276" w:lineRule="auto"/>
      <w:ind w:right="0"/>
      <w:outlineLvl w:val="3"/>
    </w:pPr>
    <w:rPr>
      <w:i/>
      <w:color w:val="000000" w:themeColor="text1"/>
      <w:shd w:val="clear" w:color="auto" w:fill="FFFFFF"/>
    </w:rPr>
  </w:style>
  <w:style w:type="paragraph" w:styleId="Heading5">
    <w:name w:val="heading 5"/>
    <w:aliases w:val="Subpara 2"/>
    <w:basedOn w:val="Heading1"/>
    <w:next w:val="Normal"/>
    <w:autoRedefine/>
    <w:uiPriority w:val="9"/>
    <w:qFormat/>
    <w:rsid w:val="00F91A3F"/>
    <w:pPr>
      <w:widowControl w:val="0"/>
      <w:ind w:left="851" w:firstLine="0"/>
      <w:outlineLvl w:val="4"/>
    </w:pPr>
    <w:rPr>
      <w:i/>
      <w:sz w:val="22"/>
      <w:szCs w:val="22"/>
    </w:rPr>
  </w:style>
  <w:style w:type="paragraph" w:styleId="Heading6">
    <w:name w:val="heading 6"/>
    <w:aliases w:val="Subpara 3"/>
    <w:basedOn w:val="Normal"/>
    <w:next w:val="Normal"/>
    <w:uiPriority w:val="9"/>
    <w:qFormat/>
    <w:pPr>
      <w:keepNext/>
      <w:tabs>
        <w:tab w:val="left" w:pos="230"/>
        <w:tab w:val="left" w:pos="1877"/>
      </w:tabs>
      <w:spacing w:before="48"/>
      <w:outlineLvl w:val="5"/>
    </w:pPr>
  </w:style>
  <w:style w:type="paragraph" w:styleId="Heading7">
    <w:name w:val="heading 7"/>
    <w:aliases w:val="Subpara 4"/>
    <w:basedOn w:val="Normal"/>
    <w:next w:val="Normal"/>
    <w:uiPriority w:val="9"/>
    <w:qFormat/>
    <w:pPr>
      <w:keepNext/>
      <w:numPr>
        <w:ilvl w:val="6"/>
        <w:numId w:val="6"/>
      </w:numPr>
      <w:spacing w:before="48"/>
      <w:jc w:val="center"/>
      <w:outlineLvl w:val="6"/>
    </w:pPr>
    <w:rPr>
      <w:b/>
    </w:rPr>
  </w:style>
  <w:style w:type="paragraph" w:styleId="Heading8">
    <w:name w:val="heading 8"/>
    <w:aliases w:val="Subpara 5"/>
    <w:basedOn w:val="Normal"/>
    <w:next w:val="Normal"/>
    <w:uiPriority w:val="9"/>
    <w:qFormat/>
    <w:pPr>
      <w:keepNext/>
      <w:numPr>
        <w:ilvl w:val="7"/>
        <w:numId w:val="6"/>
      </w:numPr>
      <w:tabs>
        <w:tab w:val="left" w:pos="2160"/>
        <w:tab w:val="left" w:pos="2880"/>
        <w:tab w:val="left" w:pos="3600"/>
        <w:tab w:val="left" w:pos="6480"/>
        <w:tab w:val="left" w:pos="7290"/>
        <w:tab w:val="left" w:pos="7920"/>
        <w:tab w:val="left" w:pos="8640"/>
      </w:tabs>
      <w:spacing w:line="240" w:lineRule="exact"/>
      <w:outlineLvl w:val="7"/>
    </w:pPr>
    <w:rPr>
      <w:b/>
    </w:rPr>
  </w:style>
  <w:style w:type="paragraph" w:styleId="Heading9">
    <w:name w:val="heading 9"/>
    <w:aliases w:val="Subpara 6"/>
    <w:basedOn w:val="Normal"/>
    <w:next w:val="Normal"/>
    <w:uiPriority w:val="9"/>
    <w:qFormat/>
    <w:pPr>
      <w:keepNext/>
      <w:numPr>
        <w:ilvl w:val="8"/>
        <w:numId w:val="6"/>
      </w:numPr>
      <w:spacing w:line="240" w:lineRule="atLeas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2">
    <w:name w:val="Char Char2"/>
    <w:locked/>
    <w:rPr>
      <w:b/>
      <w:noProof w:val="0"/>
      <w:color w:val="000000"/>
      <w:sz w:val="28"/>
      <w:lang w:val="en-GB" w:eastAsia="zh-CN" w:bidi="ar-SA"/>
    </w:rPr>
  </w:style>
  <w:style w:type="character" w:customStyle="1" w:styleId="SubParaaCharChar">
    <w:name w:val="SubPara (a) Char Char"/>
    <w:rPr>
      <w:b/>
      <w:noProof w:val="0"/>
      <w:snapToGrid w:val="0"/>
      <w:color w:val="000000"/>
      <w:sz w:val="24"/>
      <w:szCs w:val="24"/>
      <w:lang w:val="en-GB" w:eastAsia="zh-CN" w:bidi="ar-SA"/>
    </w:rPr>
  </w:style>
  <w:style w:type="paragraph" w:styleId="BodyText">
    <w:name w:val="Body Text"/>
    <w:aliases w:val=" Char Char,Char Char,Body Text Char Char Char Char Char,Body Text Char Char Char Char"/>
    <w:basedOn w:val="Normal"/>
    <w:uiPriority w:val="99"/>
    <w:pPr>
      <w:spacing w:line="240" w:lineRule="atLeast"/>
    </w:pPr>
  </w:style>
  <w:style w:type="paragraph" w:styleId="Footer">
    <w:name w:val="footer"/>
    <w:basedOn w:val="Normal"/>
    <w:uiPriority w:val="99"/>
    <w:pPr>
      <w:tabs>
        <w:tab w:val="center" w:pos="4320"/>
        <w:tab w:val="right" w:pos="8640"/>
      </w:tabs>
    </w:pPr>
  </w:style>
  <w:style w:type="character" w:styleId="PageNumber">
    <w:name w:val="page number"/>
    <w:basedOn w:val="DefaultParagraphFont"/>
  </w:style>
  <w:style w:type="paragraph" w:styleId="Header">
    <w:name w:val="header"/>
    <w:aliases w:val="EthylHeader"/>
    <w:basedOn w:val="Normal"/>
    <w:link w:val="HeaderChar1"/>
    <w:uiPriority w:val="99"/>
    <w:pPr>
      <w:tabs>
        <w:tab w:val="center" w:pos="4320"/>
        <w:tab w:val="right" w:pos="8640"/>
      </w:tabs>
    </w:pPr>
  </w:style>
  <w:style w:type="paragraph" w:customStyle="1" w:styleId="ChapterHeading">
    <w:name w:val="Chapter Heading"/>
    <w:basedOn w:val="Heading1"/>
    <w:pPr>
      <w:keepNext w:val="0"/>
      <w:keepLines/>
      <w:ind w:left="2520" w:hanging="1440"/>
    </w:pPr>
    <w:rPr>
      <w:sz w:val="32"/>
    </w:rPr>
  </w:style>
  <w:style w:type="paragraph" w:customStyle="1" w:styleId="Bullet">
    <w:name w:val="Bullet"/>
    <w:basedOn w:val="Normal"/>
    <w:pPr>
      <w:numPr>
        <w:numId w:val="1"/>
      </w:numPr>
      <w:tabs>
        <w:tab w:val="left" w:pos="1531"/>
      </w:tabs>
      <w:spacing w:before="60" w:after="60"/>
    </w:pPr>
  </w:style>
  <w:style w:type="character" w:styleId="FootnoteReference">
    <w:name w:val="footnote reference"/>
    <w:aliases w:val="Footnote text,16 Point,Superscript 6 Point,number,Footnote reference number,Footnote symbol,note TESI,-E Fußnotenzeichen,SUPERS,stylish,ftref,Footnote Reference Superscript,-E Fuﬂnotenzeichen,-E Fuûnotenzeichen,EN Footnote Reference"/>
    <w:uiPriority w:val="99"/>
    <w:rPr>
      <w:vertAlign w:val="superscript"/>
    </w:rPr>
  </w:style>
  <w:style w:type="paragraph" w:styleId="ListBullet">
    <w:name w:val="List Bullet"/>
    <w:basedOn w:val="Normal"/>
    <w:pPr>
      <w:widowControl w:val="0"/>
      <w:ind w:left="425" w:hanging="425"/>
    </w:pPr>
    <w:rPr>
      <w:color w:val="auto"/>
    </w:rPr>
  </w:style>
  <w:style w:type="paragraph" w:styleId="ListNumber">
    <w:name w:val="List Number"/>
    <w:basedOn w:val="Normal"/>
    <w:pPr>
      <w:widowControl w:val="0"/>
      <w:spacing w:before="120"/>
      <w:ind w:left="1512" w:hanging="432"/>
    </w:pPr>
    <w:rPr>
      <w:color w:val="auto"/>
    </w:rPr>
  </w:style>
  <w:style w:type="paragraph" w:styleId="FootnoteText">
    <w:name w:val="footnote text"/>
    <w:aliases w:val="Geneva 9,Font: Geneva 9,Boston 10,f,Fußnotentextf,-E Fußnotentext,Fußnotentext Ursprung,-E Fußnotentext1,-E Fußnotentext2,-E Fußnotentext3,Fußnotentext Char1,Fußnotentext Char Char,Fußnotentext Char1 Char Char"/>
    <w:basedOn w:val="Normal"/>
    <w:uiPriority w:val="99"/>
    <w:rsid w:val="00141FA3"/>
    <w:pPr>
      <w:widowControl w:val="0"/>
    </w:pPr>
    <w:rPr>
      <w:color w:val="auto"/>
      <w:sz w:val="18"/>
      <w:szCs w:val="18"/>
      <w:lang w:val="en-AU"/>
    </w:rPr>
  </w:style>
  <w:style w:type="paragraph" w:styleId="BodyTextIndent">
    <w:name w:val="Body Text Indent"/>
    <w:basedOn w:val="Normal"/>
    <w:pPr>
      <w:spacing w:line="240" w:lineRule="atLeast"/>
      <w:ind w:left="2127" w:hanging="993"/>
    </w:pPr>
  </w:style>
  <w:style w:type="character" w:styleId="LineNumber">
    <w:name w:val="line number"/>
    <w:basedOn w:val="DefaultParagraphFont"/>
  </w:style>
  <w:style w:type="paragraph" w:customStyle="1" w:styleId="SummaryShading">
    <w:name w:val="Summary Shading"/>
    <w:basedOn w:val="Normal"/>
    <w:pPr>
      <w:shd w:val="pct5" w:color="808080" w:fill="auto"/>
      <w:spacing w:before="120" w:after="120"/>
      <w:jc w:val="both"/>
    </w:pPr>
    <w:rPr>
      <w:rFonts w:ascii="Garamond" w:hAnsi="Garamond"/>
      <w:color w:val="auto"/>
    </w:rPr>
  </w:style>
  <w:style w:type="paragraph" w:customStyle="1" w:styleId="MainText">
    <w:name w:val="Main Text"/>
    <w:pPr>
      <w:widowControl w:val="0"/>
      <w:spacing w:line="240" w:lineRule="exact"/>
      <w:ind w:left="567" w:hanging="567"/>
    </w:pPr>
    <w:rPr>
      <w:color w:val="000000"/>
      <w:lang w:val="en-US" w:eastAsia="zh-CN"/>
    </w:rPr>
  </w:style>
  <w:style w:type="paragraph" w:customStyle="1" w:styleId="Paragraph">
    <w:name w:val="Paragraph"/>
    <w:basedOn w:val="Normal"/>
    <w:pPr>
      <w:spacing w:before="120" w:after="120"/>
      <w:jc w:val="both"/>
    </w:pPr>
    <w:rPr>
      <w:rFonts w:ascii="Garamond" w:hAnsi="Garamond"/>
      <w:lang w:val="de-DE"/>
    </w:rPr>
  </w:style>
  <w:style w:type="paragraph" w:customStyle="1" w:styleId="DotPoints">
    <w:name w:val="Dot Points"/>
    <w:basedOn w:val="Normal"/>
    <w:pPr>
      <w:spacing w:after="60"/>
      <w:ind w:left="709" w:right="284" w:hanging="284"/>
      <w:jc w:val="both"/>
    </w:pPr>
    <w:rPr>
      <w:rFonts w:ascii="Garamond" w:hAnsi="Garamond"/>
      <w:color w:val="auto"/>
    </w:rPr>
  </w:style>
  <w:style w:type="paragraph" w:customStyle="1" w:styleId="Style1">
    <w:name w:val="Style1"/>
    <w:basedOn w:val="Normal"/>
    <w:link w:val="Style1Char"/>
    <w:qFormat/>
    <w:pPr>
      <w:spacing w:before="120" w:after="120" w:line="360" w:lineRule="auto"/>
    </w:pPr>
    <w:rPr>
      <w:rFonts w:ascii="Garamond" w:hAnsi="Garamond"/>
      <w:color w:val="auto"/>
      <w:lang w:val="en-AU"/>
    </w:rPr>
  </w:style>
  <w:style w:type="paragraph" w:customStyle="1" w:styleId="TableColumnHeading">
    <w:name w:val="Table Column Heading"/>
    <w:basedOn w:val="Normal"/>
    <w:pPr>
      <w:spacing w:before="80" w:after="120"/>
      <w:jc w:val="center"/>
    </w:pPr>
    <w:rPr>
      <w:rFonts w:ascii="Arial Narrow" w:hAnsi="Arial Narrow"/>
      <w:b/>
      <w:color w:val="auto"/>
      <w:sz w:val="20"/>
    </w:rPr>
  </w:style>
  <w:style w:type="paragraph" w:customStyle="1" w:styleId="TableDetails">
    <w:name w:val="Table Details"/>
    <w:basedOn w:val="Normal"/>
    <w:pPr>
      <w:spacing w:before="60" w:after="60"/>
      <w:ind w:left="113" w:right="113"/>
      <w:jc w:val="both"/>
    </w:pPr>
    <w:rPr>
      <w:rFonts w:ascii="Arial Narrow" w:hAnsi="Arial Narrow"/>
      <w:color w:val="auto"/>
      <w:sz w:val="20"/>
    </w:rPr>
  </w:style>
  <w:style w:type="paragraph" w:customStyle="1" w:styleId="TableHeading">
    <w:name w:val="Table Heading"/>
    <w:basedOn w:val="Normal"/>
    <w:pPr>
      <w:spacing w:before="120" w:after="120"/>
      <w:ind w:left="1134" w:hanging="1134"/>
      <w:jc w:val="both"/>
    </w:pPr>
    <w:rPr>
      <w:rFonts w:ascii="Arial" w:hAnsi="Arial"/>
      <w:b/>
      <w:color w:val="auto"/>
      <w:sz w:val="20"/>
    </w:rPr>
  </w:style>
  <w:style w:type="paragraph" w:customStyle="1" w:styleId="References">
    <w:name w:val="References"/>
    <w:basedOn w:val="Normal"/>
    <w:pPr>
      <w:keepLines/>
      <w:spacing w:before="60" w:after="60"/>
      <w:ind w:left="1134" w:hanging="1134"/>
      <w:jc w:val="both"/>
    </w:pPr>
    <w:rPr>
      <w:rFonts w:ascii="Garamond" w:hAnsi="Garamond"/>
      <w:color w:val="auto"/>
      <w:sz w:val="20"/>
    </w:rPr>
  </w:style>
  <w:style w:type="character" w:styleId="Hyperlink">
    <w:name w:val="Hyperlink"/>
    <w:uiPriority w:val="99"/>
    <w:rPr>
      <w:color w:val="0000FF"/>
      <w:u w:val="single"/>
    </w:rPr>
  </w:style>
  <w:style w:type="paragraph" w:styleId="Caption">
    <w:name w:val="caption"/>
    <w:basedOn w:val="Normal"/>
    <w:next w:val="Normal"/>
    <w:uiPriority w:val="35"/>
    <w:qFormat/>
    <w:pPr>
      <w:spacing w:line="240" w:lineRule="atLeast"/>
      <w:ind w:left="1077"/>
    </w:pPr>
    <w:rPr>
      <w:i/>
    </w:rPr>
  </w:style>
  <w:style w:type="character" w:styleId="CommentReference">
    <w:name w:val="annotation reference"/>
    <w:uiPriority w:val="99"/>
    <w:semiHidden/>
    <w:rPr>
      <w:sz w:val="16"/>
    </w:rPr>
  </w:style>
  <w:style w:type="paragraph" w:styleId="CommentText">
    <w:name w:val="annotation text"/>
    <w:basedOn w:val="Normal"/>
    <w:uiPriority w:val="99"/>
    <w:semiHidden/>
    <w:pPr>
      <w:widowControl w:val="0"/>
    </w:pPr>
    <w:rPr>
      <w:rFonts w:ascii="Arial" w:hAnsi="Arial"/>
      <w:color w:val="auto"/>
      <w:sz w:val="20"/>
    </w:rPr>
  </w:style>
  <w:style w:type="character" w:customStyle="1" w:styleId="CharChar1">
    <w:name w:val="Char Char1"/>
    <w:rPr>
      <w:rFonts w:ascii="Arial" w:hAnsi="Arial"/>
      <w:noProof w:val="0"/>
      <w:lang w:val="en-GB" w:eastAsia="zh-CN" w:bidi="ar-SA"/>
    </w:rPr>
  </w:style>
  <w:style w:type="paragraph" w:styleId="TOC1">
    <w:name w:val="toc 1"/>
    <w:basedOn w:val="Normal"/>
    <w:next w:val="Normal"/>
    <w:autoRedefine/>
    <w:uiPriority w:val="39"/>
    <w:qFormat/>
    <w:rsid w:val="00064527"/>
    <w:pPr>
      <w:tabs>
        <w:tab w:val="left" w:pos="1260"/>
        <w:tab w:val="right" w:leader="dot" w:pos="8680"/>
      </w:tabs>
      <w:spacing w:before="120" w:after="0"/>
      <w:ind w:left="1276" w:hanging="1276"/>
    </w:pPr>
    <w:rPr>
      <w:rFonts w:asciiTheme="minorHAnsi" w:hAnsiTheme="minorHAnsi"/>
      <w:b/>
      <w:caps/>
      <w:szCs w:val="22"/>
    </w:rPr>
  </w:style>
  <w:style w:type="paragraph" w:styleId="TOC2">
    <w:name w:val="toc 2"/>
    <w:basedOn w:val="Normal"/>
    <w:next w:val="Normal"/>
    <w:autoRedefine/>
    <w:uiPriority w:val="39"/>
    <w:qFormat/>
    <w:rsid w:val="002A39FF"/>
    <w:pPr>
      <w:tabs>
        <w:tab w:val="left" w:pos="1268"/>
        <w:tab w:val="right" w:leader="dot" w:pos="9015"/>
      </w:tabs>
      <w:spacing w:after="0"/>
      <w:ind w:left="1260" w:hanging="1040"/>
    </w:pPr>
    <w:rPr>
      <w:rFonts w:asciiTheme="minorHAnsi" w:hAnsiTheme="minorHAnsi"/>
      <w:b/>
      <w:smallCaps/>
      <w:noProof/>
      <w:szCs w:val="22"/>
    </w:rPr>
  </w:style>
  <w:style w:type="paragraph" w:styleId="TOC3">
    <w:name w:val="toc 3"/>
    <w:basedOn w:val="Normal"/>
    <w:next w:val="Normal"/>
    <w:autoRedefine/>
    <w:uiPriority w:val="39"/>
    <w:qFormat/>
    <w:rsid w:val="00361CC7"/>
    <w:pPr>
      <w:tabs>
        <w:tab w:val="left" w:pos="1260"/>
        <w:tab w:val="right" w:leader="dot" w:pos="9360"/>
      </w:tabs>
      <w:spacing w:after="0"/>
      <w:ind w:left="1260" w:right="-310" w:hanging="820"/>
    </w:pPr>
    <w:rPr>
      <w:rFonts w:asciiTheme="minorHAnsi" w:hAnsiTheme="minorHAnsi"/>
      <w:i/>
      <w:szCs w:val="22"/>
    </w:rPr>
  </w:style>
  <w:style w:type="paragraph" w:styleId="TOC4">
    <w:name w:val="toc 4"/>
    <w:basedOn w:val="Normal"/>
    <w:next w:val="Normal"/>
    <w:autoRedefine/>
    <w:uiPriority w:val="39"/>
    <w:pPr>
      <w:spacing w:after="0"/>
      <w:ind w:left="660"/>
    </w:pPr>
    <w:rPr>
      <w:rFonts w:asciiTheme="minorHAnsi" w:hAnsiTheme="minorHAnsi"/>
      <w:sz w:val="18"/>
      <w:szCs w:val="18"/>
    </w:rPr>
  </w:style>
  <w:style w:type="paragraph" w:styleId="TOC5">
    <w:name w:val="toc 5"/>
    <w:basedOn w:val="Normal"/>
    <w:next w:val="Normal"/>
    <w:autoRedefine/>
    <w:uiPriority w:val="39"/>
    <w:pPr>
      <w:spacing w:after="0"/>
      <w:ind w:left="880"/>
    </w:pPr>
    <w:rPr>
      <w:rFonts w:asciiTheme="minorHAnsi" w:hAnsiTheme="minorHAnsi"/>
      <w:sz w:val="18"/>
      <w:szCs w:val="18"/>
    </w:rPr>
  </w:style>
  <w:style w:type="paragraph" w:styleId="TOC6">
    <w:name w:val="toc 6"/>
    <w:basedOn w:val="Normal"/>
    <w:next w:val="Normal"/>
    <w:autoRedefine/>
    <w:uiPriority w:val="39"/>
    <w:pPr>
      <w:spacing w:after="0"/>
      <w:ind w:left="1100"/>
    </w:pPr>
    <w:rPr>
      <w:rFonts w:asciiTheme="minorHAnsi" w:hAnsiTheme="minorHAnsi"/>
      <w:sz w:val="18"/>
      <w:szCs w:val="18"/>
    </w:rPr>
  </w:style>
  <w:style w:type="paragraph" w:styleId="TOC7">
    <w:name w:val="toc 7"/>
    <w:basedOn w:val="Normal"/>
    <w:next w:val="Normal"/>
    <w:autoRedefine/>
    <w:uiPriority w:val="39"/>
    <w:pPr>
      <w:spacing w:after="0"/>
      <w:ind w:left="1320"/>
    </w:pPr>
    <w:rPr>
      <w:rFonts w:asciiTheme="minorHAnsi" w:hAnsiTheme="minorHAnsi"/>
      <w:sz w:val="18"/>
      <w:szCs w:val="18"/>
    </w:rPr>
  </w:style>
  <w:style w:type="paragraph" w:styleId="TOC8">
    <w:name w:val="toc 8"/>
    <w:basedOn w:val="Normal"/>
    <w:next w:val="Normal"/>
    <w:autoRedefine/>
    <w:uiPriority w:val="39"/>
    <w:pPr>
      <w:spacing w:after="0"/>
      <w:ind w:left="1540"/>
    </w:pPr>
    <w:rPr>
      <w:rFonts w:asciiTheme="minorHAnsi" w:hAnsiTheme="minorHAnsi"/>
      <w:sz w:val="18"/>
      <w:szCs w:val="18"/>
    </w:rPr>
  </w:style>
  <w:style w:type="paragraph" w:styleId="TOC9">
    <w:name w:val="toc 9"/>
    <w:basedOn w:val="Normal"/>
    <w:next w:val="Normal"/>
    <w:autoRedefine/>
    <w:uiPriority w:val="39"/>
    <w:pPr>
      <w:spacing w:after="0"/>
      <w:ind w:left="1760"/>
    </w:pPr>
    <w:rPr>
      <w:rFonts w:asciiTheme="minorHAnsi" w:hAnsiTheme="minorHAnsi"/>
      <w:sz w:val="18"/>
      <w:szCs w:val="18"/>
    </w:rPr>
  </w:style>
  <w:style w:type="paragraph" w:customStyle="1" w:styleId="Table-Labels">
    <w:name w:val="Table-Labels"/>
    <w:basedOn w:val="Normal"/>
    <w:next w:val="Normal"/>
    <w:pPr>
      <w:keepNext/>
      <w:keepLines/>
      <w:spacing w:after="60"/>
      <w:ind w:left="2160" w:hanging="1080"/>
    </w:pPr>
    <w:rPr>
      <w:i/>
    </w:rPr>
  </w:style>
  <w:style w:type="paragraph" w:styleId="DocumentMap">
    <w:name w:val="Document Map"/>
    <w:basedOn w:val="Normal"/>
    <w:uiPriority w:val="99"/>
    <w:semiHidden/>
    <w:pPr>
      <w:shd w:val="clear" w:color="auto" w:fill="000080"/>
    </w:pPr>
    <w:rPr>
      <w:rFonts w:ascii="Tahoma" w:hAnsi="Tahoma"/>
    </w:rPr>
  </w:style>
  <w:style w:type="paragraph" w:customStyle="1" w:styleId="Table">
    <w:name w:val="Table"/>
    <w:basedOn w:val="Normal"/>
    <w:pPr>
      <w:keepLines/>
      <w:spacing w:after="0"/>
      <w:ind w:left="72" w:right="72"/>
    </w:pPr>
    <w:rPr>
      <w:snapToGrid w:val="0"/>
      <w:sz w:val="20"/>
    </w:rPr>
  </w:style>
  <w:style w:type="paragraph" w:customStyle="1" w:styleId="Tabel">
    <w:name w:val="Tabel"/>
    <w:basedOn w:val="Normal"/>
    <w:pPr>
      <w:spacing w:after="120"/>
    </w:pPr>
  </w:style>
  <w:style w:type="paragraph" w:styleId="BlockText">
    <w:name w:val="Block Text"/>
    <w:basedOn w:val="Normal"/>
    <w:pPr>
      <w:spacing w:before="120" w:after="120"/>
      <w:ind w:left="450" w:right="566"/>
      <w:jc w:val="both"/>
    </w:pPr>
    <w:rPr>
      <w:rFonts w:ascii="Garamond" w:hAnsi="Garamond"/>
      <w:i/>
      <w:color w:val="auto"/>
    </w:rPr>
  </w:style>
  <w:style w:type="paragraph" w:customStyle="1" w:styleId="Document">
    <w:name w:val="Document"/>
    <w:basedOn w:val="Normal"/>
    <w:pPr>
      <w:spacing w:after="0"/>
      <w:jc w:val="center"/>
    </w:pPr>
    <w:rPr>
      <w:rFonts w:ascii="CG Times" w:hAnsi="CG Times"/>
    </w:rPr>
  </w:style>
  <w:style w:type="paragraph" w:customStyle="1" w:styleId="Bibliogrphy">
    <w:name w:val="Bibliogrphy"/>
    <w:basedOn w:val="Normal"/>
    <w:pPr>
      <w:spacing w:after="0"/>
      <w:ind w:left="720" w:firstLine="720"/>
    </w:pPr>
    <w:rPr>
      <w:rFonts w:ascii="CG Times" w:hAnsi="CG Times"/>
    </w:rPr>
  </w:style>
  <w:style w:type="paragraph" w:customStyle="1" w:styleId="TechInit">
    <w:name w:val="Tech Init"/>
    <w:basedOn w:val="Normal"/>
    <w:pPr>
      <w:spacing w:after="0"/>
    </w:pPr>
    <w:rPr>
      <w:rFonts w:ascii="CG Times" w:hAnsi="CG Times"/>
    </w:rPr>
  </w:style>
  <w:style w:type="paragraph" w:customStyle="1" w:styleId="Technical">
    <w:name w:val="Technical"/>
    <w:basedOn w:val="Normal"/>
    <w:pPr>
      <w:spacing w:after="0"/>
    </w:pPr>
    <w:rPr>
      <w:rFonts w:ascii="CG Times" w:hAnsi="CG Times"/>
    </w:rPr>
  </w:style>
  <w:style w:type="paragraph" w:customStyle="1" w:styleId="Pleading">
    <w:name w:val="Pleading"/>
    <w:basedOn w:val="Normal"/>
    <w:pPr>
      <w:tabs>
        <w:tab w:val="right" w:pos="288"/>
      </w:tabs>
      <w:spacing w:after="0"/>
    </w:pPr>
    <w:rPr>
      <w:rFonts w:ascii="CG Times" w:hAnsi="CG Times"/>
    </w:rPr>
  </w:style>
  <w:style w:type="paragraph" w:customStyle="1" w:styleId="BulletList">
    <w:name w:val="Bullet List"/>
    <w:basedOn w:val="Normal"/>
    <w:pPr>
      <w:spacing w:after="0"/>
      <w:ind w:left="720"/>
    </w:pPr>
    <w:rPr>
      <w:rFonts w:ascii="Roman" w:hAnsi="Roman"/>
      <w:color w:val="auto"/>
      <w:lang w:val="it-IT"/>
    </w:rPr>
  </w:style>
  <w:style w:type="character" w:styleId="FollowedHyperlink">
    <w:name w:val="FollowedHyperlink"/>
    <w:uiPriority w:val="99"/>
    <w:rPr>
      <w:color w:val="800080"/>
      <w:u w:val="single"/>
    </w:rPr>
  </w:style>
  <w:style w:type="paragraph" w:styleId="Title">
    <w:name w:val="Title"/>
    <w:basedOn w:val="Normal"/>
    <w:link w:val="TitleChar1"/>
    <w:uiPriority w:val="10"/>
    <w:qFormat/>
    <w:pPr>
      <w:spacing w:line="240" w:lineRule="atLeast"/>
      <w:jc w:val="center"/>
    </w:pPr>
    <w:rPr>
      <w:b/>
      <w:sz w:val="32"/>
    </w:rPr>
  </w:style>
  <w:style w:type="paragraph" w:customStyle="1" w:styleId="Outline">
    <w:name w:val="Outline"/>
    <w:basedOn w:val="Normal"/>
    <w:pPr>
      <w:spacing w:before="240" w:after="0"/>
    </w:pPr>
    <w:rPr>
      <w:color w:val="auto"/>
      <w:kern w:val="28"/>
    </w:rPr>
  </w:style>
  <w:style w:type="paragraph" w:customStyle="1" w:styleId="Body">
    <w:name w:val="Body"/>
    <w:pPr>
      <w:widowControl w:val="0"/>
    </w:pPr>
    <w:rPr>
      <w:rFonts w:ascii="Times New Roman" w:hAnsi="Times New Roman"/>
      <w:sz w:val="24"/>
      <w:lang w:val="en-GB" w:eastAsia="zh-CN"/>
    </w:rPr>
  </w:style>
  <w:style w:type="character" w:styleId="EndnoteReference">
    <w:name w:val="endnote reference"/>
    <w:semiHidden/>
    <w:rPr>
      <w:vertAlign w:val="superscript"/>
    </w:rPr>
  </w:style>
  <w:style w:type="paragraph" w:customStyle="1" w:styleId="DefaultText">
    <w:name w:val="Default Text"/>
    <w:basedOn w:val="Normal"/>
    <w:pPr>
      <w:autoSpaceDE w:val="0"/>
      <w:autoSpaceDN w:val="0"/>
      <w:adjustRightInd w:val="0"/>
      <w:spacing w:after="0"/>
    </w:pPr>
    <w:rPr>
      <w:color w:val="auto"/>
    </w:rPr>
  </w:style>
  <w:style w:type="paragraph" w:customStyle="1" w:styleId="MSNormal">
    <w:name w:val="MSNormal"/>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pPr>
    <w:rPr>
      <w:rFonts w:ascii="Chicago" w:hAnsi="Chicago"/>
      <w:color w:val="auto"/>
    </w:rPr>
  </w:style>
  <w:style w:type="paragraph" w:styleId="PlainText">
    <w:name w:val="Plain Text"/>
    <w:aliases w:val=" Char,Char"/>
    <w:basedOn w:val="Normal"/>
    <w:uiPriority w:val="99"/>
    <w:pPr>
      <w:spacing w:after="0"/>
    </w:pPr>
    <w:rPr>
      <w:rFonts w:ascii="Courier" w:eastAsia="Times" w:hAnsi="Courier"/>
      <w:color w:val="auto"/>
    </w:rPr>
  </w:style>
  <w:style w:type="paragraph" w:customStyle="1" w:styleId="Reference">
    <w:name w:val="Reference"/>
    <w:basedOn w:val="Normal"/>
    <w:pPr>
      <w:spacing w:after="60"/>
      <w:ind w:left="284"/>
    </w:pPr>
    <w:rPr>
      <w:color w:val="auto"/>
    </w:rPr>
  </w:style>
  <w:style w:type="paragraph" w:customStyle="1" w:styleId="Figures">
    <w:name w:val="Figures"/>
    <w:basedOn w:val="Normal"/>
    <w:pPr>
      <w:tabs>
        <w:tab w:val="center" w:pos="4680"/>
      </w:tabs>
      <w:suppressAutoHyphens/>
      <w:overflowPunct w:val="0"/>
      <w:autoSpaceDE w:val="0"/>
      <w:autoSpaceDN w:val="0"/>
      <w:adjustRightInd w:val="0"/>
      <w:spacing w:before="240" w:after="120"/>
      <w:jc w:val="both"/>
      <w:textAlignment w:val="baseline"/>
    </w:pPr>
    <w:rPr>
      <w:b/>
      <w:color w:val="auto"/>
    </w:rPr>
  </w:style>
  <w:style w:type="paragraph" w:styleId="BodyTextIndent2">
    <w:name w:val="Body Text Indent 2"/>
    <w:basedOn w:val="Normal"/>
    <w:pPr>
      <w:widowControl w:val="0"/>
      <w:spacing w:after="0"/>
      <w:ind w:firstLine="720"/>
      <w:jc w:val="both"/>
    </w:pPr>
    <w:rPr>
      <w:snapToGrid w:val="0"/>
      <w:color w:val="auto"/>
    </w:rPr>
  </w:style>
  <w:style w:type="paragraph" w:styleId="BodyTextIndent3">
    <w:name w:val="Body Text Indent 3"/>
    <w:basedOn w:val="Normal"/>
    <w:pPr>
      <w:widowControl w:val="0"/>
      <w:spacing w:after="0"/>
      <w:ind w:firstLine="720"/>
      <w:jc w:val="both"/>
    </w:pPr>
    <w:rPr>
      <w:snapToGrid w:val="0"/>
      <w:color w:val="FF0000"/>
    </w:rPr>
  </w:style>
  <w:style w:type="paragraph" w:styleId="BodyText2">
    <w:name w:val="Body Text 2"/>
    <w:basedOn w:val="Normal"/>
    <w:pPr>
      <w:spacing w:after="0"/>
      <w:jc w:val="center"/>
    </w:pPr>
    <w:rPr>
      <w:color w:val="auto"/>
      <w:sz w:val="48"/>
    </w:rPr>
  </w:style>
  <w:style w:type="paragraph" w:styleId="BodyText3">
    <w:name w:val="Body Text 3"/>
    <w:basedOn w:val="Normal"/>
    <w:pPr>
      <w:spacing w:after="0"/>
      <w:jc w:val="center"/>
    </w:pPr>
    <w:rPr>
      <w:color w:val="auto"/>
      <w:sz w:val="36"/>
    </w:rPr>
  </w:style>
  <w:style w:type="paragraph" w:customStyle="1" w:styleId="DefinitionL">
    <w:name w:val="Definition L"/>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Pr>
      <w:rFonts w:ascii="Times New Roman" w:hAnsi="Times New Roman"/>
      <w:snapToGrid w:val="0"/>
      <w:sz w:val="24"/>
      <w:lang w:val="en-US" w:eastAsia="zh-CN"/>
    </w:rPr>
  </w:style>
  <w:style w:type="paragraph" w:customStyle="1" w:styleId="Tableheading0">
    <w:name w:val="Table heading"/>
    <w:basedOn w:val="Normal"/>
    <w:pPr>
      <w:keepNext/>
      <w:spacing w:before="120"/>
      <w:ind w:left="1984" w:hanging="907"/>
    </w:pPr>
    <w:rPr>
      <w:i/>
      <w:color w:val="auto"/>
    </w:rPr>
  </w:style>
  <w:style w:type="paragraph" w:customStyle="1" w:styleId="Figure">
    <w:name w:val="Figure"/>
    <w:basedOn w:val="Normal"/>
    <w:pPr>
      <w:widowControl w:val="0"/>
      <w:spacing w:line="-240" w:lineRule="auto"/>
      <w:ind w:left="1077"/>
    </w:pPr>
    <w:rPr>
      <w:rFonts w:ascii="Arial" w:hAnsi="Arial"/>
      <w:b/>
      <w:color w:val="auto"/>
    </w:rPr>
  </w:style>
  <w:style w:type="paragraph" w:styleId="Index1">
    <w:name w:val="index 1"/>
    <w:basedOn w:val="Normal"/>
    <w:next w:val="Normal"/>
    <w:autoRedefine/>
    <w:semiHidden/>
    <w:pPr>
      <w:ind w:left="240" w:hanging="240"/>
    </w:pPr>
    <w:rPr>
      <w:color w:val="auto"/>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olor w:val="auto"/>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b/>
      <w:color w:val="auto"/>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b/>
      <w:color w:val="auto"/>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olor w:val="auto"/>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olor w:val="auto"/>
    </w:rPr>
  </w:style>
  <w:style w:type="paragraph" w:customStyle="1" w:styleId="xl29">
    <w:name w:val="xl2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olor w:val="auto"/>
    </w:rPr>
  </w:style>
  <w:style w:type="paragraph" w:customStyle="1" w:styleId="xl30">
    <w:name w:val="xl30"/>
    <w:basedOn w:val="Normal"/>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olor w:val="auto"/>
    </w:rPr>
  </w:style>
  <w:style w:type="paragraph" w:customStyle="1" w:styleId="xl31">
    <w:name w:val="xl3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Arial Unicode MS" w:hAnsi="Arial"/>
      <w:color w:val="auto"/>
    </w:rPr>
  </w:style>
  <w:style w:type="paragraph" w:customStyle="1" w:styleId="xl32">
    <w:name w:val="xl32"/>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b/>
      <w:color w:val="auto"/>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b/>
      <w:color w:val="auto"/>
    </w:rPr>
  </w:style>
  <w:style w:type="character" w:styleId="Strong">
    <w:name w:val="Strong"/>
    <w:qFormat/>
    <w:rPr>
      <w:b/>
    </w:rPr>
  </w:style>
  <w:style w:type="paragraph" w:styleId="BalloonText">
    <w:name w:val="Balloon Text"/>
    <w:basedOn w:val="Normal"/>
    <w:uiPriority w:val="99"/>
    <w:rPr>
      <w:rFonts w:ascii="Tahoma" w:hAnsi="Tahoma"/>
      <w:sz w:val="16"/>
    </w:rPr>
  </w:style>
  <w:style w:type="paragraph" w:styleId="NormalWeb">
    <w:name w:val="Normal (Web)"/>
    <w:basedOn w:val="Normal"/>
    <w:uiPriority w:val="99"/>
    <w:pPr>
      <w:spacing w:before="100" w:after="100"/>
    </w:pPr>
    <w:rPr>
      <w:color w:val="auto"/>
      <w:lang w:val="en-US"/>
    </w:rPr>
  </w:style>
  <w:style w:type="paragraph" w:customStyle="1" w:styleId="Thesisheading1">
    <w:name w:val="Thesisheading1"/>
    <w:basedOn w:val="BodyTextIndent2"/>
    <w:pPr>
      <w:widowControl/>
      <w:numPr>
        <w:numId w:val="2"/>
      </w:numPr>
      <w:spacing w:line="360" w:lineRule="auto"/>
    </w:pPr>
    <w:rPr>
      <w:rFonts w:ascii="Arial" w:hAnsi="Arial"/>
      <w:b/>
      <w:caps/>
      <w:snapToGrid/>
      <w:sz w:val="32"/>
    </w:rPr>
  </w:style>
  <w:style w:type="paragraph" w:customStyle="1" w:styleId="Thesisheading4">
    <w:name w:val="Thesisheading4"/>
    <w:basedOn w:val="Heading3"/>
    <w:pPr>
      <w:numPr>
        <w:ilvl w:val="2"/>
        <w:numId w:val="2"/>
      </w:numPr>
      <w:tabs>
        <w:tab w:val="clear" w:pos="720"/>
        <w:tab w:val="num" w:pos="2880"/>
      </w:tabs>
      <w:spacing w:line="360" w:lineRule="auto"/>
      <w:ind w:left="2880" w:hanging="360"/>
    </w:pPr>
    <w:rPr>
      <w:rFonts w:ascii="Arial" w:hAnsi="Arial"/>
      <w:b w:val="0"/>
      <w:snapToGrid/>
    </w:rPr>
  </w:style>
  <w:style w:type="paragraph" w:customStyle="1" w:styleId="font5">
    <w:name w:val="font5"/>
    <w:basedOn w:val="Normal"/>
    <w:pPr>
      <w:spacing w:before="100" w:after="100"/>
    </w:pPr>
    <w:rPr>
      <w:rFonts w:ascii="Arial" w:eastAsia="Arial Unicode MS" w:hAnsi="Arial"/>
      <w:color w:val="00FF00"/>
      <w:sz w:val="20"/>
      <w:lang w:val="en-AU"/>
    </w:rPr>
  </w:style>
  <w:style w:type="paragraph" w:customStyle="1" w:styleId="xl34">
    <w:name w:val="xl34"/>
    <w:basedOn w:val="Normal"/>
    <w:pPr>
      <w:pBdr>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5">
    <w:name w:val="xl35"/>
    <w:basedOn w:val="Normal"/>
    <w:pPr>
      <w:pBdr>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hd w:val="clear" w:color="auto" w:fill="FFFFFF"/>
      <w:spacing w:before="100" w:after="100"/>
      <w:jc w:val="both"/>
      <w:textAlignment w:val="top"/>
    </w:pPr>
    <w:rPr>
      <w:rFonts w:ascii="Arial" w:eastAsia="Arial Unicode MS" w:hAnsi="Arial"/>
      <w:color w:val="auto"/>
      <w:lang w:val="en-AU"/>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hd w:val="clear" w:color="auto" w:fill="FFFFFF"/>
      <w:spacing w:before="100" w:after="100"/>
      <w:textAlignment w:val="top"/>
    </w:pPr>
    <w:rPr>
      <w:rFonts w:ascii="Arial" w:eastAsia="Arial Unicode MS" w:hAnsi="Arial"/>
      <w:color w:val="auto"/>
      <w:lang w:val="en-AU"/>
    </w:rPr>
  </w:style>
  <w:style w:type="paragraph" w:customStyle="1" w:styleId="xl41">
    <w:name w:val="xl41"/>
    <w:basedOn w:val="Normal"/>
    <w:pPr>
      <w:spacing w:before="100" w:after="100"/>
    </w:pPr>
    <w:rPr>
      <w:rFonts w:ascii="Arial" w:eastAsia="Arial Unicode MS" w:hAnsi="Arial"/>
      <w:color w:val="auto"/>
      <w:lang w:val="en-AU"/>
    </w:rPr>
  </w:style>
  <w:style w:type="paragraph" w:customStyle="1" w:styleId="xl42">
    <w:name w:val="xl42"/>
    <w:basedOn w:val="Normal"/>
    <w:pPr>
      <w:pBdr>
        <w:top w:val="single" w:sz="4" w:space="0" w:color="auto"/>
        <w:left w:val="single" w:sz="4" w:space="0" w:color="000000"/>
        <w:right w:val="single" w:sz="4" w:space="0" w:color="auto"/>
      </w:pBdr>
      <w:spacing w:before="100" w:after="100"/>
      <w:textAlignment w:val="top"/>
    </w:pPr>
    <w:rPr>
      <w:rFonts w:ascii="Arial" w:eastAsia="Arial Unicode MS" w:hAnsi="Arial"/>
      <w:color w:val="auto"/>
      <w:lang w:val="en-AU"/>
    </w:rPr>
  </w:style>
  <w:style w:type="paragraph" w:customStyle="1" w:styleId="xl43">
    <w:name w:val="xl43"/>
    <w:basedOn w:val="Normal"/>
    <w:pPr>
      <w:spacing w:before="100" w:after="100"/>
      <w:jc w:val="center"/>
    </w:pPr>
    <w:rPr>
      <w:rFonts w:ascii="Arial" w:eastAsia="Arial Unicode MS" w:hAnsi="Arial"/>
      <w:color w:val="auto"/>
      <w:lang w:val="en-AU"/>
    </w:rPr>
  </w:style>
  <w:style w:type="paragraph" w:customStyle="1" w:styleId="xl44">
    <w:name w:val="xl44"/>
    <w:basedOn w:val="Normal"/>
    <w:pPr>
      <w:spacing w:before="100" w:after="100"/>
      <w:textAlignment w:val="top"/>
    </w:pPr>
    <w:rPr>
      <w:rFonts w:ascii="Arial" w:eastAsia="Arial Unicode MS" w:hAnsi="Arial"/>
      <w:color w:val="auto"/>
      <w:lang w:val="en-AU"/>
    </w:rPr>
  </w:style>
  <w:style w:type="paragraph" w:customStyle="1" w:styleId="xl45">
    <w:name w:val="xl45"/>
    <w:basedOn w:val="Normal"/>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46">
    <w:name w:val="xl46"/>
    <w:basedOn w:val="Normal"/>
    <w:pPr>
      <w:pBdr>
        <w:top w:val="single" w:sz="4" w:space="0" w:color="auto"/>
        <w:left w:val="single" w:sz="4" w:space="0" w:color="auto"/>
        <w:bottom w:val="single" w:sz="4" w:space="0" w:color="auto"/>
        <w:right w:val="single" w:sz="4" w:space="0" w:color="auto"/>
      </w:pBdr>
      <w:shd w:val="clear" w:color="auto" w:fill="FFFFFF"/>
      <w:spacing w:before="100" w:after="100"/>
      <w:textAlignment w:val="top"/>
    </w:pPr>
    <w:rPr>
      <w:rFonts w:ascii="Arial" w:eastAsia="Arial Unicode MS" w:hAnsi="Arial"/>
      <w:color w:val="auto"/>
      <w:lang w:val="en-AU"/>
    </w:rPr>
  </w:style>
  <w:style w:type="paragraph" w:customStyle="1" w:styleId="xl47">
    <w:name w:val="xl47"/>
    <w:basedOn w:val="Normal"/>
    <w:pPr>
      <w:pBdr>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48">
    <w:name w:val="xl48"/>
    <w:basedOn w:val="Normal"/>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49">
    <w:name w:val="xl49"/>
    <w:basedOn w:val="Normal"/>
    <w:pPr>
      <w:pBdr>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0">
    <w:name w:val="xl50"/>
    <w:basedOn w:val="Normal"/>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1">
    <w:name w:val="xl51"/>
    <w:basedOn w:val="Normal"/>
    <w:pPr>
      <w:pBdr>
        <w:top w:val="single" w:sz="4" w:space="0" w:color="auto"/>
        <w:left w:val="single" w:sz="4" w:space="0" w:color="auto"/>
        <w:bottom w:val="single" w:sz="4" w:space="0" w:color="auto"/>
        <w:right w:val="single" w:sz="4" w:space="0" w:color="auto"/>
      </w:pBdr>
      <w:shd w:val="clear" w:color="auto" w:fill="FFFFFF"/>
      <w:spacing w:before="100" w:after="100"/>
      <w:jc w:val="center"/>
      <w:textAlignment w:val="top"/>
    </w:pPr>
    <w:rPr>
      <w:rFonts w:ascii="Arial" w:eastAsia="Arial Unicode MS" w:hAnsi="Arial"/>
      <w:color w:val="auto"/>
      <w:lang w:val="en-AU"/>
    </w:rPr>
  </w:style>
  <w:style w:type="paragraph" w:customStyle="1" w:styleId="xl52">
    <w:name w:val="xl52"/>
    <w:basedOn w:val="Normal"/>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3">
    <w:name w:val="xl53"/>
    <w:basedOn w:val="Normal"/>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4">
    <w:name w:val="xl54"/>
    <w:basedOn w:val="Normal"/>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5">
    <w:name w:val="xl55"/>
    <w:basedOn w:val="Normal"/>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6">
    <w:name w:val="xl56"/>
    <w:basedOn w:val="Normal"/>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Default">
    <w:name w:val="Default"/>
    <w:pPr>
      <w:autoSpaceDE w:val="0"/>
      <w:autoSpaceDN w:val="0"/>
      <w:adjustRightInd w:val="0"/>
    </w:pPr>
    <w:rPr>
      <w:rFonts w:ascii="Times New Roman" w:hAnsi="Times New Roman"/>
      <w:color w:val="000000"/>
      <w:sz w:val="24"/>
      <w:lang w:val="en-US"/>
    </w:rPr>
  </w:style>
  <w:style w:type="paragraph" w:styleId="ListNumber5">
    <w:name w:val="List Number 5"/>
    <w:basedOn w:val="Normal"/>
    <w:pPr>
      <w:numPr>
        <w:numId w:val="3"/>
      </w:numPr>
      <w:tabs>
        <w:tab w:val="clear" w:pos="1492"/>
        <w:tab w:val="num" w:pos="1800"/>
      </w:tabs>
      <w:spacing w:after="0"/>
      <w:ind w:left="1800"/>
    </w:pPr>
    <w:rPr>
      <w:color w:val="auto"/>
      <w:lang w:val="en-US"/>
    </w:rPr>
  </w:style>
  <w:style w:type="paragraph" w:customStyle="1" w:styleId="Sectionheading">
    <w:name w:val="Section heading"/>
    <w:basedOn w:val="Heading2"/>
    <w:pPr>
      <w:spacing w:before="120"/>
      <w:ind w:left="1080" w:hanging="1080"/>
    </w:pPr>
    <w:rPr>
      <w:snapToGrid/>
    </w:rPr>
  </w:style>
  <w:style w:type="paragraph" w:customStyle="1" w:styleId="Sectionsub-heading">
    <w:name w:val="Section sub-heading"/>
    <w:basedOn w:val="Heading3"/>
    <w:pPr>
      <w:spacing w:before="60"/>
      <w:ind w:left="2126" w:hanging="1049"/>
    </w:pPr>
    <w:rPr>
      <w:snapToGrid/>
    </w:rPr>
  </w:style>
  <w:style w:type="paragraph" w:customStyle="1" w:styleId="MainTextIndent">
    <w:name w:val="Main Text Indent"/>
    <w:basedOn w:val="MainText"/>
    <w:pPr>
      <w:tabs>
        <w:tab w:val="left" w:pos="567"/>
      </w:tabs>
      <w:ind w:left="993" w:hanging="993"/>
    </w:pPr>
  </w:style>
  <w:style w:type="paragraph" w:customStyle="1" w:styleId="MainTextDoubleIndent">
    <w:name w:val="Main Text Double Indent"/>
    <w:basedOn w:val="MainTextIndent"/>
    <w:pPr>
      <w:tabs>
        <w:tab w:val="left" w:pos="993"/>
      </w:tabs>
      <w:ind w:left="1418" w:hanging="1418"/>
    </w:pPr>
  </w:style>
  <w:style w:type="paragraph" w:customStyle="1" w:styleId="HeadingSub">
    <w:name w:val="Heading: Sub"/>
    <w:basedOn w:val="MainText"/>
    <w:rPr>
      <w:rFonts w:ascii="Futura" w:hAnsi="Futura"/>
    </w:rPr>
  </w:style>
  <w:style w:type="paragraph" w:customStyle="1" w:styleId="MainTextNon-indent">
    <w:name w:val="Main Text Non-indent"/>
    <w:basedOn w:val="MainText"/>
    <w:pPr>
      <w:ind w:left="0" w:firstLine="0"/>
    </w:pPr>
  </w:style>
  <w:style w:type="paragraph" w:customStyle="1" w:styleId="HeadingSection">
    <w:name w:val="Heading: Section"/>
    <w:basedOn w:val="Normal"/>
    <w:pPr>
      <w:widowControl w:val="0"/>
      <w:tabs>
        <w:tab w:val="left" w:pos="3969"/>
      </w:tabs>
      <w:spacing w:line="360" w:lineRule="exact"/>
      <w:ind w:left="1701" w:hanging="1701"/>
    </w:pPr>
    <w:rPr>
      <w:rFonts w:ascii="Arial" w:hAnsi="Arial"/>
    </w:rPr>
  </w:style>
  <w:style w:type="paragraph" w:customStyle="1" w:styleId="GCDCB12">
    <w:name w:val="GCD_CB12"/>
    <w:basedOn w:val="Normal"/>
    <w:next w:val="Normal"/>
    <w:pPr>
      <w:jc w:val="center"/>
    </w:pPr>
    <w:rPr>
      <w:b/>
      <w:color w:val="auto"/>
    </w:rPr>
  </w:style>
  <w:style w:type="paragraph" w:customStyle="1" w:styleId="Closeup">
    <w:name w:val="Closeup"/>
    <w:basedOn w:val="Normal"/>
    <w:pPr>
      <w:spacing w:after="0"/>
    </w:pPr>
    <w:rPr>
      <w:color w:val="auto"/>
      <w:lang w:eastAsia="ja-JP"/>
    </w:rPr>
  </w:style>
  <w:style w:type="paragraph" w:customStyle="1" w:styleId="ScreenFormat-1">
    <w:name w:val="ScreenFormat-1"/>
    <w:basedOn w:val="Normal"/>
    <w:pPr>
      <w:spacing w:before="120" w:after="120"/>
    </w:pPr>
    <w:rPr>
      <w:color w:val="auto"/>
      <w:sz w:val="32"/>
      <w:lang w:eastAsia="ja-JP"/>
    </w:rPr>
  </w:style>
  <w:style w:type="paragraph" w:customStyle="1" w:styleId="TableText">
    <w:name w:val="TableText"/>
    <w:basedOn w:val="BodyText"/>
    <w:pPr>
      <w:keepLines/>
      <w:spacing w:after="0" w:line="240" w:lineRule="auto"/>
    </w:pPr>
    <w:rPr>
      <w:rFonts w:eastAsia="Times"/>
      <w:color w:val="auto"/>
      <w:sz w:val="20"/>
      <w:lang w:val="en-US" w:eastAsia="ja-JP"/>
    </w:rPr>
  </w:style>
  <w:style w:type="paragraph" w:customStyle="1" w:styleId="Equation">
    <w:name w:val="Equation"/>
    <w:basedOn w:val="BodyText"/>
    <w:pPr>
      <w:keepLines/>
      <w:tabs>
        <w:tab w:val="right" w:pos="9639"/>
      </w:tabs>
      <w:spacing w:after="0" w:line="240" w:lineRule="auto"/>
      <w:ind w:left="567"/>
    </w:pPr>
    <w:rPr>
      <w:rFonts w:eastAsia="Times"/>
      <w:color w:val="auto"/>
      <w:lang w:val="en-US" w:eastAsia="ja-JP"/>
    </w:rPr>
  </w:style>
  <w:style w:type="paragraph" w:customStyle="1" w:styleId="Note">
    <w:name w:val="Note"/>
    <w:basedOn w:val="BodyText"/>
    <w:pPr>
      <w:keepLines/>
      <w:pBdr>
        <w:top w:val="single" w:sz="2" w:space="1" w:color="808080"/>
        <w:left w:val="single" w:sz="2" w:space="4" w:color="808080"/>
        <w:bottom w:val="single" w:sz="2" w:space="1" w:color="808080"/>
        <w:right w:val="single" w:sz="2" w:space="4" w:color="808080"/>
      </w:pBdr>
      <w:spacing w:after="0" w:line="240" w:lineRule="auto"/>
    </w:pPr>
    <w:rPr>
      <w:rFonts w:eastAsia="Times"/>
      <w:i/>
      <w:color w:val="auto"/>
      <w:lang w:val="en-US" w:eastAsia="ja-JP"/>
    </w:rPr>
  </w:style>
  <w:style w:type="paragraph" w:customStyle="1" w:styleId="AR4Listbullet1">
    <w:name w:val="AR4 List bullet 1"/>
    <w:basedOn w:val="Normal"/>
    <w:pPr>
      <w:numPr>
        <w:numId w:val="4"/>
      </w:numPr>
      <w:spacing w:after="0"/>
    </w:pPr>
    <w:rPr>
      <w:rFonts w:ascii="Times" w:eastAsia="Times" w:hAnsi="Times"/>
      <w:color w:val="auto"/>
      <w:lang w:val="en-US" w:eastAsia="ja-JP"/>
    </w:rPr>
  </w:style>
  <w:style w:type="paragraph" w:customStyle="1" w:styleId="OurCaption">
    <w:name w:val="OurCaption"/>
    <w:basedOn w:val="Normal"/>
    <w:pPr>
      <w:spacing w:after="0"/>
      <w:ind w:right="12"/>
    </w:pPr>
    <w:rPr>
      <w:rFonts w:eastAsia="Times"/>
      <w:color w:val="auto"/>
      <w:sz w:val="20"/>
      <w:lang w:eastAsia="ja-JP"/>
    </w:rPr>
  </w:style>
  <w:style w:type="paragraph" w:customStyle="1" w:styleId="Paralevel1">
    <w:name w:val="Para level1"/>
    <w:basedOn w:val="Normal"/>
    <w:autoRedefine/>
    <w:pPr>
      <w:tabs>
        <w:tab w:val="left" w:pos="2070"/>
      </w:tabs>
      <w:suppressAutoHyphens/>
    </w:pPr>
    <w:rPr>
      <w:color w:val="auto"/>
      <w:sz w:val="20"/>
    </w:rPr>
  </w:style>
  <w:style w:type="paragraph" w:customStyle="1" w:styleId="CH4">
    <w:name w:val="CH4"/>
    <w:basedOn w:val="Normal"/>
    <w:autoRedefine/>
    <w:pPr>
      <w:keepNext/>
      <w:keepLines/>
      <w:numPr>
        <w:numId w:val="5"/>
      </w:numPr>
      <w:tabs>
        <w:tab w:val="clear" w:pos="0"/>
        <w:tab w:val="num" w:pos="360"/>
      </w:tabs>
      <w:spacing w:before="120"/>
      <w:ind w:left="0"/>
    </w:pPr>
    <w:rPr>
      <w:b/>
      <w:color w:val="auto"/>
      <w:sz w:val="20"/>
    </w:rPr>
  </w:style>
  <w:style w:type="character" w:customStyle="1" w:styleId="Para1Car">
    <w:name w:val="Para (1) Car"/>
    <w:aliases w:val="Heading 1 Char1 Char Car,Heading 1 Char Char Char Car,Para (1) Char Char Char Car,Para (1) Char1 Char Car,Heading 1 Char1 Car,Heading 1 Char Char Car,Para (1) Char Char Car,Para (1) Char1 Car,Heading 1 Char1 Char Char Car,Heading 1 Char Car"/>
    <w:rPr>
      <w:rFonts w:ascii="Arial" w:eastAsia="MS Mincho" w:hAnsi="Arial" w:cs="Arial"/>
      <w:b/>
      <w:bCs/>
      <w:noProof w:val="0"/>
      <w:kern w:val="32"/>
      <w:sz w:val="32"/>
      <w:szCs w:val="32"/>
      <w:lang w:val="en-US" w:eastAsia="ja-JP" w:bidi="ar-SA"/>
    </w:rPr>
  </w:style>
  <w:style w:type="paragraph" w:customStyle="1" w:styleId="Titulo3">
    <w:name w:val="Titulo 3"/>
    <w:basedOn w:val="Normal"/>
    <w:pPr>
      <w:widowControl w:val="0"/>
      <w:spacing w:after="0"/>
      <w:ind w:left="1185"/>
      <w:jc w:val="both"/>
    </w:pPr>
    <w:rPr>
      <w:rFonts w:eastAsia="MS Mincho"/>
      <w:b/>
      <w:i/>
      <w:color w:val="auto"/>
      <w:kern w:val="2"/>
      <w:lang w:val="en-US" w:eastAsia="ja-JP"/>
    </w:rPr>
  </w:style>
  <w:style w:type="paragraph" w:customStyle="1" w:styleId="Style2">
    <w:name w:val="Style2"/>
    <w:basedOn w:val="Normal"/>
    <w:link w:val="Style2Char"/>
    <w:qFormat/>
    <w:pPr>
      <w:spacing w:after="0"/>
    </w:pPr>
    <w:rPr>
      <w:color w:val="auto"/>
      <w:lang w:eastAsia="en-GB"/>
    </w:rPr>
  </w:style>
  <w:style w:type="paragraph" w:customStyle="1" w:styleId="TEXTO">
    <w:name w:val="TEXTO"/>
    <w:pPr>
      <w:autoSpaceDE w:val="0"/>
      <w:autoSpaceDN w:val="0"/>
      <w:adjustRightInd w:val="0"/>
      <w:jc w:val="both"/>
    </w:pPr>
    <w:rPr>
      <w:rFonts w:ascii="Galliard" w:hAnsi="Galliard"/>
      <w:color w:val="000000"/>
      <w:sz w:val="22"/>
      <w:szCs w:val="22"/>
      <w:lang w:val="en-US"/>
    </w:rPr>
  </w:style>
  <w:style w:type="paragraph" w:customStyle="1" w:styleId="font6">
    <w:name w:val="font6"/>
    <w:basedOn w:val="Normal"/>
    <w:pPr>
      <w:spacing w:before="100" w:beforeAutospacing="1" w:after="100" w:afterAutospacing="1"/>
    </w:pPr>
    <w:rPr>
      <w:rFonts w:ascii="Arial" w:eastAsia="Arial Unicode MS" w:hAnsi="Arial" w:cs="Arial"/>
      <w:color w:val="auto"/>
      <w:sz w:val="20"/>
      <w:lang w:eastAsia="en-US"/>
    </w:rPr>
  </w:style>
  <w:style w:type="paragraph" w:customStyle="1" w:styleId="font7">
    <w:name w:val="font7"/>
    <w:basedOn w:val="Normal"/>
    <w:pPr>
      <w:spacing w:before="100" w:beforeAutospacing="1" w:after="100" w:afterAutospacing="1"/>
    </w:pPr>
    <w:rPr>
      <w:rFonts w:ascii="Arial" w:eastAsia="Arial Unicode MS" w:hAnsi="Arial" w:cs="Arial"/>
      <w:color w:val="FF0000"/>
      <w:sz w:val="20"/>
      <w:lang w:eastAsia="en-US"/>
    </w:rPr>
  </w:style>
  <w:style w:type="paragraph" w:customStyle="1" w:styleId="font8">
    <w:name w:val="font8"/>
    <w:basedOn w:val="Normal"/>
    <w:pPr>
      <w:spacing w:before="100" w:beforeAutospacing="1" w:after="100" w:afterAutospacing="1"/>
    </w:pPr>
    <w:rPr>
      <w:rFonts w:ascii="Arial" w:eastAsia="Arial Unicode MS" w:hAnsi="Arial" w:cs="Arial"/>
      <w:color w:val="0000FF"/>
      <w:sz w:val="20"/>
      <w:lang w:eastAsia="en-US"/>
    </w:rPr>
  </w:style>
  <w:style w:type="paragraph" w:customStyle="1" w:styleId="Normaalweb">
    <w:name w:val="Normaal (web)"/>
    <w:basedOn w:val="Normal"/>
    <w:pPr>
      <w:spacing w:before="100" w:beforeAutospacing="1" w:after="100" w:afterAutospacing="1"/>
    </w:pPr>
    <w:rPr>
      <w:szCs w:val="24"/>
      <w:lang w:val="fr-FR" w:eastAsia="fr-FR"/>
    </w:rPr>
  </w:style>
  <w:style w:type="character" w:customStyle="1" w:styleId="epaltsans1">
    <w:name w:val="epaltsans1"/>
    <w:rPr>
      <w:rFonts w:ascii="Arial" w:hAnsi="Arial" w:cs="Arial" w:hint="default"/>
      <w:sz w:val="16"/>
      <w:szCs w:val="16"/>
    </w:rPr>
  </w:style>
  <w:style w:type="paragraph" w:styleId="List">
    <w:name w:val="List"/>
    <w:basedOn w:val="Normal"/>
    <w:semiHidden/>
    <w:pPr>
      <w:spacing w:after="0"/>
      <w:ind w:left="360" w:hanging="360"/>
    </w:pPr>
    <w:rPr>
      <w:color w:val="auto"/>
      <w:szCs w:val="24"/>
      <w:lang w:val="en-US" w:eastAsia="en-US"/>
    </w:rPr>
  </w:style>
  <w:style w:type="character" w:customStyle="1" w:styleId="w">
    <w:name w:val="w"/>
    <w:basedOn w:val="DefaultParagraphFont"/>
  </w:style>
  <w:style w:type="paragraph" w:customStyle="1" w:styleId="BodyTextLetterBullets">
    <w:name w:val="Body Text + Letter Bullets"/>
    <w:basedOn w:val="BodyText"/>
    <w:pPr>
      <w:tabs>
        <w:tab w:val="num" w:pos="360"/>
      </w:tabs>
      <w:spacing w:before="120" w:after="0" w:line="288" w:lineRule="auto"/>
    </w:pPr>
    <w:rPr>
      <w:color w:val="auto"/>
      <w:szCs w:val="22"/>
      <w:lang w:val="en-US" w:eastAsia="en-US"/>
    </w:rPr>
  </w:style>
  <w:style w:type="paragraph" w:customStyle="1" w:styleId="BodyTextSmallBullets">
    <w:name w:val="Body Text + Small Bullets"/>
    <w:basedOn w:val="BodyText"/>
    <w:pPr>
      <w:tabs>
        <w:tab w:val="num" w:pos="360"/>
      </w:tabs>
      <w:spacing w:after="0" w:line="288" w:lineRule="auto"/>
    </w:pPr>
    <w:rPr>
      <w:color w:val="auto"/>
      <w:szCs w:val="22"/>
      <w:lang w:val="en-AU" w:eastAsia="en-US"/>
    </w:rPr>
  </w:style>
  <w:style w:type="paragraph" w:customStyle="1" w:styleId="BodyTextbullet">
    <w:name w:val="Body Text + bullet"/>
    <w:basedOn w:val="BodyText"/>
    <w:pPr>
      <w:tabs>
        <w:tab w:val="num" w:pos="360"/>
      </w:tabs>
      <w:spacing w:after="0" w:line="288" w:lineRule="auto"/>
    </w:pPr>
    <w:rPr>
      <w:color w:val="auto"/>
      <w:szCs w:val="22"/>
      <w:lang w:val="en-AU" w:eastAsia="en-US"/>
    </w:rPr>
  </w:style>
  <w:style w:type="paragraph" w:customStyle="1" w:styleId="Head1">
    <w:name w:val="Head 1"/>
    <w:basedOn w:val="Normal"/>
    <w:pPr>
      <w:tabs>
        <w:tab w:val="left" w:pos="340"/>
        <w:tab w:val="num" w:pos="720"/>
        <w:tab w:val="left" w:pos="2775"/>
        <w:tab w:val="left" w:pos="6300"/>
      </w:tabs>
      <w:autoSpaceDE w:val="0"/>
      <w:autoSpaceDN w:val="0"/>
      <w:adjustRightInd w:val="0"/>
      <w:spacing w:after="0"/>
      <w:ind w:left="340" w:hanging="340"/>
    </w:pPr>
    <w:rPr>
      <w:rFonts w:eastAsia="MS Mincho"/>
      <w:b/>
      <w:bCs/>
      <w:color w:val="auto"/>
      <w:szCs w:val="24"/>
      <w:lang w:val="en-US" w:eastAsia="en-US"/>
    </w:rPr>
  </w:style>
  <w:style w:type="paragraph" w:customStyle="1" w:styleId="xl57">
    <w:name w:val="xl57"/>
    <w:basedOn w:val="Normal"/>
    <w:pPr>
      <w:shd w:val="clear" w:color="auto" w:fill="FFFFFF"/>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58">
    <w:name w:val="xl58"/>
    <w:basedOn w:val="Normal"/>
    <w:pPr>
      <w:pBdr>
        <w:left w:val="single" w:sz="4" w:space="0" w:color="auto"/>
        <w:right w:val="single" w:sz="4" w:space="0" w:color="auto"/>
      </w:pBdr>
      <w:shd w:val="clear" w:color="auto" w:fill="FFFFFF"/>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59">
    <w:name w:val="xl59"/>
    <w:basedOn w:val="Normal"/>
    <w:pPr>
      <w:shd w:val="clear" w:color="auto" w:fill="FFFFFF"/>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60">
    <w:name w:val="xl60"/>
    <w:basedOn w:val="Normal"/>
    <w:pPr>
      <w:pBdr>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61">
    <w:name w:val="xl61"/>
    <w:basedOn w:val="Normal"/>
    <w:pPr>
      <w:pBdr>
        <w:top w:val="single" w:sz="4" w:space="0" w:color="auto"/>
        <w:bottom w:val="single" w:sz="4" w:space="0" w:color="auto"/>
      </w:pBdr>
      <w:shd w:val="clear" w:color="auto" w:fill="FFFFFF"/>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62">
    <w:name w:val="xl62"/>
    <w:basedOn w:val="Normal"/>
    <w:pPr>
      <w:pBdr>
        <w:top w:val="single" w:sz="4" w:space="0" w:color="auto"/>
        <w:bottom w:val="single" w:sz="4" w:space="0" w:color="auto"/>
      </w:pBdr>
      <w:shd w:val="clear" w:color="auto" w:fill="FFFFFF"/>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63">
    <w:name w:val="xl63"/>
    <w:basedOn w:val="Normal"/>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64">
    <w:name w:val="xl64"/>
    <w:basedOn w:val="Normal"/>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65">
    <w:name w:val="xl65"/>
    <w:basedOn w:val="Normal"/>
    <w:pPr>
      <w:pBdr>
        <w:top w:val="single" w:sz="4" w:space="0" w:color="auto"/>
      </w:pBdr>
      <w:shd w:val="clear" w:color="auto" w:fill="FFFFFF"/>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66">
    <w:name w:val="xl66"/>
    <w:basedOn w:val="Normal"/>
    <w:pPr>
      <w:pBdr>
        <w:top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67">
    <w:name w:val="xl67"/>
    <w:basedOn w:val="Normal"/>
    <w:pPr>
      <w:pBdr>
        <w:top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68">
    <w:name w:val="xl68"/>
    <w:basedOn w:val="Normal"/>
    <w:pPr>
      <w:pBdr>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69">
    <w:name w:val="xl69"/>
    <w:basedOn w:val="Normal"/>
    <w:pPr>
      <w:pBdr>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70">
    <w:name w:val="xl70"/>
    <w:basedOn w:val="Normal"/>
    <w:pPr>
      <w:pBdr>
        <w:top w:val="single" w:sz="4" w:space="0" w:color="auto"/>
        <w:left w:val="single" w:sz="4" w:space="0" w:color="auto"/>
        <w:right w:val="single" w:sz="4" w:space="0" w:color="auto"/>
      </w:pBdr>
      <w:spacing w:before="100" w:beforeAutospacing="1" w:after="100" w:afterAutospacing="1"/>
    </w:pPr>
    <w:rPr>
      <w:rFonts w:ascii="Arial Unicode MS" w:hAnsi="Arial Unicode MS" w:cs="ArialUnicodeMS"/>
      <w:color w:val="auto"/>
      <w:sz w:val="12"/>
      <w:szCs w:val="12"/>
      <w:lang w:val="en-AU" w:eastAsia="en-US"/>
    </w:rPr>
  </w:style>
  <w:style w:type="paragraph" w:customStyle="1" w:styleId="xl71">
    <w:name w:val="xl71"/>
    <w:basedOn w:val="Normal"/>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72">
    <w:name w:val="xl72"/>
    <w:basedOn w:val="Normal"/>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73">
    <w:name w:val="xl73"/>
    <w:basedOn w:val="Normal"/>
    <w:pPr>
      <w:pBdr>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74">
    <w:name w:val="xl74"/>
    <w:basedOn w:val="Normal"/>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75">
    <w:name w:val="xl75"/>
    <w:basedOn w:val="Normal"/>
    <w:pPr>
      <w:pBdr>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76">
    <w:name w:val="xl76"/>
    <w:basedOn w:val="Normal"/>
    <w:pPr>
      <w:pBdr>
        <w:left w:val="single" w:sz="4" w:space="0" w:color="auto"/>
      </w:pBdr>
      <w:shd w:val="clear" w:color="auto" w:fill="FFFFFF"/>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77">
    <w:name w:val="xl77"/>
    <w:basedOn w:val="Normal"/>
    <w:pPr>
      <w:pBdr>
        <w:right w:val="single" w:sz="4" w:space="0" w:color="auto"/>
      </w:pBdr>
      <w:shd w:val="clear" w:color="auto" w:fill="FFFFFF"/>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78">
    <w:name w:val="xl78"/>
    <w:basedOn w:val="Normal"/>
    <w:pPr>
      <w:pBdr>
        <w:left w:val="single" w:sz="4" w:space="0" w:color="auto"/>
        <w:right w:val="single" w:sz="4" w:space="0" w:color="auto"/>
      </w:pBdr>
      <w:shd w:val="clear" w:color="auto" w:fill="FFFFFF"/>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79">
    <w:name w:val="xl79"/>
    <w:basedOn w:val="Normal"/>
    <w:pPr>
      <w:pBdr>
        <w:left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80">
    <w:name w:val="xl80"/>
    <w:basedOn w:val="Normal"/>
    <w:pPr>
      <w:pBdr>
        <w:right w:val="single" w:sz="4" w:space="0" w:color="auto"/>
      </w:pBdr>
      <w:shd w:val="clear" w:color="auto" w:fill="FFFFFF"/>
      <w:spacing w:before="100" w:beforeAutospacing="1" w:after="100" w:afterAutospacing="1"/>
    </w:pPr>
    <w:rPr>
      <w:rFonts w:ascii="Arial Unicode MS" w:hAnsi="Arial Unicode MS" w:cs="ArialUnicodeMS"/>
      <w:b/>
      <w:bCs/>
      <w:color w:val="auto"/>
      <w:sz w:val="12"/>
      <w:szCs w:val="12"/>
      <w:lang w:val="en-AU" w:eastAsia="en-US"/>
    </w:rPr>
  </w:style>
  <w:style w:type="paragraph" w:customStyle="1" w:styleId="xl81">
    <w:name w:val="xl81"/>
    <w:basedOn w:val="Normal"/>
    <w:pPr>
      <w:pBdr>
        <w:left w:val="single" w:sz="4" w:space="0" w:color="auto"/>
        <w:bottom w:val="single" w:sz="4" w:space="0" w:color="auto"/>
      </w:pBdr>
      <w:shd w:val="clear" w:color="auto" w:fill="FFFFFF"/>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82">
    <w:name w:val="xl82"/>
    <w:basedOn w:val="Normal"/>
    <w:pPr>
      <w:pBdr>
        <w:bottom w:val="single" w:sz="4" w:space="0" w:color="auto"/>
        <w:right w:val="single" w:sz="4" w:space="0" w:color="auto"/>
      </w:pBdr>
      <w:shd w:val="clear" w:color="auto" w:fill="FFFFFF"/>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83">
    <w:name w:val="xl83"/>
    <w:basedOn w:val="Normal"/>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84">
    <w:name w:val="xl84"/>
    <w:basedOn w:val="Normal"/>
    <w:pPr>
      <w:pBdr>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b/>
      <w:bCs/>
      <w:color w:val="auto"/>
      <w:sz w:val="12"/>
      <w:szCs w:val="12"/>
      <w:lang w:val="en-AU" w:eastAsia="en-US"/>
    </w:rPr>
  </w:style>
  <w:style w:type="paragraph" w:customStyle="1" w:styleId="xl85">
    <w:name w:val="xl85"/>
    <w:basedOn w:val="Normal"/>
    <w:pPr>
      <w:pBdr>
        <w:left w:val="single" w:sz="4" w:space="0" w:color="auto"/>
        <w:bottom w:val="single" w:sz="4" w:space="0" w:color="auto"/>
        <w:right w:val="single" w:sz="4" w:space="0" w:color="auto"/>
      </w:pBdr>
      <w:spacing w:before="100" w:beforeAutospacing="1" w:after="100" w:afterAutospacing="1"/>
    </w:pPr>
    <w:rPr>
      <w:rFonts w:ascii="Arial Unicode MS" w:hAnsi="Arial Unicode MS" w:cs="ArialUnicodeMS"/>
      <w:color w:val="auto"/>
      <w:sz w:val="12"/>
      <w:szCs w:val="12"/>
      <w:lang w:val="en-AU" w:eastAsia="en-US"/>
    </w:rPr>
  </w:style>
  <w:style w:type="paragraph" w:customStyle="1" w:styleId="xl86">
    <w:name w:val="xl8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87">
    <w:name w:val="xl87"/>
    <w:basedOn w:val="Normal"/>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88">
    <w:name w:val="xl88"/>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89">
    <w:name w:val="xl89"/>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90">
    <w:name w:val="xl90"/>
    <w:basedOn w:val="Normal"/>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91">
    <w:name w:val="xl91"/>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92">
    <w:name w:val="xl92"/>
    <w:basedOn w:val="Normal"/>
    <w:pPr>
      <w:pBdr>
        <w:top w:val="single" w:sz="4" w:space="0" w:color="auto"/>
        <w:left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93">
    <w:name w:val="xl93"/>
    <w:basedOn w:val="Normal"/>
    <w:pPr>
      <w:pBdr>
        <w:left w:val="single" w:sz="4" w:space="0" w:color="auto"/>
        <w:bottom w:val="single" w:sz="4" w:space="0" w:color="auto"/>
        <w:right w:val="single" w:sz="4" w:space="0" w:color="auto"/>
      </w:pBdr>
      <w:spacing w:before="100" w:beforeAutospacing="1" w:after="100" w:afterAutospacing="1"/>
    </w:pPr>
    <w:rPr>
      <w:rFonts w:ascii="Arial Unicode MS" w:hAnsi="Arial Unicode MS" w:cs="ArialUnicodeMS"/>
      <w:color w:val="auto"/>
      <w:sz w:val="12"/>
      <w:szCs w:val="12"/>
      <w:lang w:val="en-AU" w:eastAsia="en-US"/>
    </w:rPr>
  </w:style>
  <w:style w:type="paragraph" w:customStyle="1" w:styleId="xl94">
    <w:name w:val="xl94"/>
    <w:basedOn w:val="Normal"/>
    <w:pPr>
      <w:pBdr>
        <w:top w:val="single" w:sz="4" w:space="0" w:color="auto"/>
        <w:bottom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95">
    <w:name w:val="xl95"/>
    <w:basedOn w:val="Normal"/>
    <w:pPr>
      <w:pBdr>
        <w:top w:val="single" w:sz="4" w:space="0" w:color="auto"/>
        <w:left w:val="single" w:sz="4" w:space="0" w:color="auto"/>
        <w:bottom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96">
    <w:name w:val="xl96"/>
    <w:basedOn w:val="Normal"/>
    <w:pPr>
      <w:pBdr>
        <w:top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97">
    <w:name w:val="xl97"/>
    <w:basedOn w:val="Normal"/>
    <w:pPr>
      <w:pBdr>
        <w:top w:val="single" w:sz="4" w:space="0" w:color="auto"/>
        <w:bottom w:val="single" w:sz="4" w:space="0" w:color="auto"/>
      </w:pBdr>
      <w:spacing w:before="100" w:beforeAutospacing="1" w:after="100" w:afterAutospacing="1"/>
    </w:pPr>
    <w:rPr>
      <w:rFonts w:ascii="Arial Unicode MS" w:hAnsi="Arial Unicode MS" w:cs="ArialUnicodeMS"/>
      <w:color w:val="auto"/>
      <w:szCs w:val="24"/>
      <w:lang w:val="en-AU" w:eastAsia="en-US"/>
    </w:rPr>
  </w:style>
  <w:style w:type="paragraph" w:customStyle="1" w:styleId="xl98">
    <w:name w:val="xl98"/>
    <w:basedOn w:val="Normal"/>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99">
    <w:name w:val="xl99"/>
    <w:basedOn w:val="Normal"/>
    <w:pPr>
      <w:pBdr>
        <w:top w:val="single" w:sz="4" w:space="0" w:color="auto"/>
        <w:left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100">
    <w:name w:val="xl100"/>
    <w:basedOn w:val="Normal"/>
    <w:pPr>
      <w:pBdr>
        <w:top w:val="single" w:sz="4" w:space="0" w:color="auto"/>
        <w:bottom w:val="single" w:sz="4" w:space="0" w:color="auto"/>
        <w:right w:val="single" w:sz="4" w:space="0" w:color="auto"/>
      </w:pBdr>
      <w:spacing w:before="100" w:beforeAutospacing="1" w:after="100" w:afterAutospacing="1"/>
    </w:pPr>
    <w:rPr>
      <w:rFonts w:ascii="Arial Unicode MS" w:hAnsi="Arial Unicode MS" w:cs="ArialUnicodeMS"/>
      <w:color w:val="auto"/>
      <w:szCs w:val="24"/>
      <w:lang w:val="en-AU" w:eastAsia="en-US"/>
    </w:rPr>
  </w:style>
  <w:style w:type="paragraph" w:customStyle="1" w:styleId="xl101">
    <w:name w:val="xl10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hAnsi="Arial Unicode MS" w:cs="ArialUnicodeMS"/>
      <w:color w:val="auto"/>
      <w:sz w:val="12"/>
      <w:szCs w:val="12"/>
      <w:lang w:val="en-AU" w:eastAsia="en-US"/>
    </w:rPr>
  </w:style>
  <w:style w:type="paragraph" w:customStyle="1" w:styleId="xl102">
    <w:name w:val="xl102"/>
    <w:basedOn w:val="Normal"/>
    <w:pPr>
      <w:pBdr>
        <w:top w:val="single" w:sz="4" w:space="0" w:color="auto"/>
        <w:left w:val="single" w:sz="4" w:space="0" w:color="auto"/>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03">
    <w:name w:val="xl103"/>
    <w:basedOn w:val="Normal"/>
    <w:pPr>
      <w:pBdr>
        <w:top w:val="single" w:sz="4" w:space="0" w:color="auto"/>
        <w:lef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04">
    <w:name w:val="xl10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hAnsi="Arial Unicode MS" w:cs="ArialUnicodeMS"/>
      <w:b/>
      <w:bCs/>
      <w:color w:val="auto"/>
      <w:sz w:val="12"/>
      <w:szCs w:val="12"/>
      <w:lang w:val="en-AU" w:eastAsia="en-US"/>
    </w:rPr>
  </w:style>
  <w:style w:type="paragraph" w:customStyle="1" w:styleId="xl105">
    <w:name w:val="xl105"/>
    <w:basedOn w:val="Normal"/>
    <w:pPr>
      <w:pBdr>
        <w:top w:val="single" w:sz="4" w:space="0" w:color="auto"/>
        <w:bottom w:val="single" w:sz="4" w:space="0" w:color="auto"/>
      </w:pBdr>
      <w:spacing w:before="100" w:beforeAutospacing="1" w:after="100" w:afterAutospacing="1"/>
    </w:pPr>
    <w:rPr>
      <w:rFonts w:ascii="Arial Unicode MS" w:hAnsi="Arial Unicode MS" w:cs="ArialUnicodeMS"/>
      <w:b/>
      <w:bCs/>
      <w:color w:val="auto"/>
      <w:sz w:val="12"/>
      <w:szCs w:val="12"/>
      <w:lang w:val="en-AU" w:eastAsia="en-US"/>
    </w:rPr>
  </w:style>
  <w:style w:type="paragraph" w:customStyle="1" w:styleId="xl106">
    <w:name w:val="xl106"/>
    <w:basedOn w:val="Normal"/>
    <w:pPr>
      <w:pBdr>
        <w:top w:val="single" w:sz="4" w:space="0" w:color="auto"/>
        <w:left w:val="single" w:sz="4" w:space="0" w:color="auto"/>
        <w:right w:val="single" w:sz="4" w:space="0" w:color="auto"/>
      </w:pBdr>
      <w:spacing w:before="100" w:beforeAutospacing="1" w:after="100" w:afterAutospacing="1"/>
    </w:pPr>
    <w:rPr>
      <w:rFonts w:ascii="Arial Unicode MS" w:hAnsi="Arial Unicode MS" w:cs="ArialUnicodeMS"/>
      <w:color w:val="auto"/>
      <w:sz w:val="12"/>
      <w:szCs w:val="12"/>
      <w:lang w:val="en-AU" w:eastAsia="en-US"/>
    </w:rPr>
  </w:style>
  <w:style w:type="paragraph" w:customStyle="1" w:styleId="xl107">
    <w:name w:val="xl107"/>
    <w:basedOn w:val="Normal"/>
    <w:pPr>
      <w:pBdr>
        <w:top w:val="single" w:sz="4" w:space="0" w:color="auto"/>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08">
    <w:name w:val="xl108"/>
    <w:basedOn w:val="Normal"/>
    <w:pPr>
      <w:pBdr>
        <w:left w:val="single" w:sz="4" w:space="0" w:color="auto"/>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09">
    <w:name w:val="xl109"/>
    <w:basedOn w:val="Normal"/>
    <w:pPr>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110">
    <w:name w:val="xl110"/>
    <w:basedOn w:val="Normal"/>
    <w:pPr>
      <w:pBdr>
        <w:top w:val="single" w:sz="4" w:space="0" w:color="auto"/>
        <w:bottom w:val="single" w:sz="4" w:space="0" w:color="auto"/>
      </w:pBdr>
      <w:spacing w:before="100" w:beforeAutospacing="1" w:after="100" w:afterAutospacing="1"/>
      <w:jc w:val="center"/>
    </w:pPr>
    <w:rPr>
      <w:rFonts w:ascii="Arial Unicode MS" w:hAnsi="Arial Unicode MS" w:cs="ArialUnicodeMS"/>
      <w:color w:val="auto"/>
      <w:szCs w:val="24"/>
      <w:lang w:val="en-AU" w:eastAsia="en-US"/>
    </w:rPr>
  </w:style>
  <w:style w:type="paragraph" w:customStyle="1" w:styleId="xl111">
    <w:name w:val="xl111"/>
    <w:basedOn w:val="Normal"/>
    <w:pPr>
      <w:pBdr>
        <w:top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UnicodeMS"/>
      <w:color w:val="auto"/>
      <w:szCs w:val="24"/>
      <w:lang w:val="en-AU" w:eastAsia="en-US"/>
    </w:rPr>
  </w:style>
  <w:style w:type="paragraph" w:customStyle="1" w:styleId="xl112">
    <w:name w:val="xl112"/>
    <w:basedOn w:val="Normal"/>
    <w:pPr>
      <w:pBdr>
        <w:top w:val="single" w:sz="4" w:space="0" w:color="auto"/>
        <w:left w:val="single" w:sz="4" w:space="0" w:color="auto"/>
        <w:bottom w:val="single" w:sz="4" w:space="0" w:color="auto"/>
      </w:pBdr>
      <w:spacing w:before="100" w:beforeAutospacing="1" w:after="100" w:afterAutospacing="1"/>
    </w:pPr>
    <w:rPr>
      <w:rFonts w:ascii="Arial Unicode MS" w:hAnsi="Arial Unicode MS" w:cs="ArialUnicodeMS"/>
      <w:b/>
      <w:bCs/>
      <w:color w:val="auto"/>
      <w:sz w:val="12"/>
      <w:szCs w:val="12"/>
      <w:lang w:val="en-AU" w:eastAsia="en-US"/>
    </w:rPr>
  </w:style>
  <w:style w:type="paragraph" w:customStyle="1" w:styleId="xl113">
    <w:name w:val="xl113"/>
    <w:basedOn w:val="Normal"/>
    <w:pPr>
      <w:pBdr>
        <w:top w:val="single" w:sz="4" w:space="0" w:color="auto"/>
        <w:bottom w:val="single" w:sz="4" w:space="0" w:color="auto"/>
      </w:pBdr>
      <w:spacing w:before="100" w:beforeAutospacing="1" w:after="100" w:afterAutospacing="1"/>
    </w:pPr>
    <w:rPr>
      <w:rFonts w:ascii="Arial Unicode MS" w:hAnsi="Arial Unicode MS" w:cs="ArialUnicodeMS"/>
      <w:color w:val="auto"/>
      <w:sz w:val="12"/>
      <w:szCs w:val="12"/>
      <w:lang w:val="en-AU" w:eastAsia="en-US"/>
    </w:rPr>
  </w:style>
  <w:style w:type="paragraph" w:customStyle="1" w:styleId="xl114">
    <w:name w:val="xl114"/>
    <w:basedOn w:val="Normal"/>
    <w:pPr>
      <w:pBdr>
        <w:right w:val="single" w:sz="4" w:space="0" w:color="auto"/>
      </w:pBdr>
      <w:spacing w:before="100" w:beforeAutospacing="1" w:after="100" w:afterAutospacing="1"/>
    </w:pPr>
    <w:rPr>
      <w:rFonts w:ascii="Arial Unicode MS" w:hAnsi="Arial Unicode MS" w:cs="ArialUnicodeMS"/>
      <w:color w:val="auto"/>
      <w:sz w:val="12"/>
      <w:szCs w:val="12"/>
      <w:lang w:val="en-AU" w:eastAsia="en-US"/>
    </w:rPr>
  </w:style>
  <w:style w:type="paragraph" w:customStyle="1" w:styleId="xl115">
    <w:name w:val="xl115"/>
    <w:basedOn w:val="Normal"/>
    <w:pPr>
      <w:pBdr>
        <w:lef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16">
    <w:name w:val="xl116"/>
    <w:basedOn w:val="Normal"/>
    <w:pP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17">
    <w:name w:val="xl117"/>
    <w:basedOn w:val="Normal"/>
    <w:pPr>
      <w:pBdr>
        <w:top w:val="single" w:sz="4" w:space="0" w:color="auto"/>
        <w:left w:val="single" w:sz="4" w:space="0" w:color="auto"/>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18">
    <w:name w:val="xl118"/>
    <w:basedOn w:val="Normal"/>
    <w:pPr>
      <w:pBdr>
        <w:top w:val="single" w:sz="4" w:space="0" w:color="auto"/>
        <w:left w:val="single" w:sz="4" w:space="0" w:color="auto"/>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19">
    <w:name w:val="xl119"/>
    <w:basedOn w:val="Normal"/>
    <w:pP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20">
    <w:name w:val="xl120"/>
    <w:basedOn w:val="Normal"/>
    <w:pPr>
      <w:pBdr>
        <w:top w:val="single" w:sz="4" w:space="0" w:color="auto"/>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21">
    <w:name w:val="xl121"/>
    <w:basedOn w:val="Normal"/>
    <w:pPr>
      <w:pBdr>
        <w:top w:val="single" w:sz="4" w:space="0" w:color="auto"/>
        <w:lef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22">
    <w:name w:val="xl122"/>
    <w:basedOn w:val="Normal"/>
    <w:pPr>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23">
    <w:name w:val="xl123"/>
    <w:basedOn w:val="Normal"/>
    <w:pPr>
      <w:pBdr>
        <w:bottom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24">
    <w:name w:val="xl124"/>
    <w:basedOn w:val="Normal"/>
    <w:pPr>
      <w:pBdr>
        <w:left w:val="single" w:sz="4" w:space="0" w:color="auto"/>
        <w:bottom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25">
    <w:name w:val="xl125"/>
    <w:basedOn w:val="Normal"/>
    <w:pPr>
      <w:pBdr>
        <w:bottom w:val="single" w:sz="4" w:space="0" w:color="auto"/>
        <w:right w:val="single" w:sz="4" w:space="0" w:color="auto"/>
      </w:pBdr>
      <w:spacing w:before="100" w:beforeAutospacing="1" w:after="100" w:afterAutospacing="1"/>
    </w:pPr>
    <w:rPr>
      <w:rFonts w:ascii="Arial Unicode MS" w:hAnsi="Arial Unicode MS" w:cs="ArialUnicodeMS"/>
      <w:color w:val="auto"/>
      <w:sz w:val="12"/>
      <w:szCs w:val="12"/>
      <w:lang w:val="en-AU" w:eastAsia="en-US"/>
    </w:rPr>
  </w:style>
  <w:style w:type="paragraph" w:customStyle="1" w:styleId="xl126">
    <w:name w:val="xl126"/>
    <w:basedOn w:val="Normal"/>
    <w:pPr>
      <w:pBdr>
        <w:top w:val="single" w:sz="4" w:space="0" w:color="auto"/>
        <w:left w:val="single" w:sz="4" w:space="0" w:color="auto"/>
        <w:bottom w:val="single" w:sz="8" w:space="0" w:color="auto"/>
      </w:pBdr>
      <w:spacing w:before="100" w:beforeAutospacing="1" w:after="100" w:afterAutospacing="1"/>
      <w:jc w:val="center"/>
    </w:pPr>
    <w:rPr>
      <w:rFonts w:ascii="Arial" w:hAnsi="Arial" w:cs="Arial"/>
      <w:b/>
      <w:bCs/>
      <w:color w:val="auto"/>
      <w:sz w:val="12"/>
      <w:szCs w:val="12"/>
      <w:lang w:val="en-AU" w:eastAsia="en-US"/>
    </w:rPr>
  </w:style>
  <w:style w:type="paragraph" w:customStyle="1" w:styleId="xl127">
    <w:name w:val="xl127"/>
    <w:basedOn w:val="Normal"/>
    <w:pPr>
      <w:pBdr>
        <w:top w:val="single" w:sz="4" w:space="0" w:color="auto"/>
        <w:bottom w:val="single" w:sz="8" w:space="0" w:color="auto"/>
      </w:pBdr>
      <w:spacing w:before="100" w:beforeAutospacing="1" w:after="100" w:afterAutospacing="1"/>
      <w:jc w:val="center"/>
    </w:pPr>
    <w:rPr>
      <w:rFonts w:ascii="Arial" w:hAnsi="Arial" w:cs="Arial"/>
      <w:b/>
      <w:bCs/>
      <w:color w:val="auto"/>
      <w:sz w:val="12"/>
      <w:szCs w:val="12"/>
      <w:lang w:val="en-AU" w:eastAsia="en-US"/>
    </w:rPr>
  </w:style>
  <w:style w:type="paragraph" w:customStyle="1" w:styleId="xl128">
    <w:name w:val="xl128"/>
    <w:basedOn w:val="Normal"/>
    <w:pPr>
      <w:pBdr>
        <w:top w:val="single" w:sz="4" w:space="0" w:color="auto"/>
        <w:bottom w:val="single" w:sz="8" w:space="0" w:color="auto"/>
        <w:right w:val="single" w:sz="4" w:space="0" w:color="auto"/>
      </w:pBdr>
      <w:spacing w:before="100" w:beforeAutospacing="1" w:after="100" w:afterAutospacing="1"/>
      <w:jc w:val="center"/>
    </w:pPr>
    <w:rPr>
      <w:rFonts w:ascii="Arial" w:hAnsi="Arial" w:cs="Arial"/>
      <w:b/>
      <w:bCs/>
      <w:color w:val="auto"/>
      <w:sz w:val="12"/>
      <w:szCs w:val="12"/>
      <w:lang w:val="en-AU" w:eastAsia="en-US"/>
    </w:rPr>
  </w:style>
  <w:style w:type="paragraph" w:customStyle="1" w:styleId="xl129">
    <w:name w:val="xl129"/>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30">
    <w:name w:val="xl130"/>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131">
    <w:name w:val="xl131"/>
    <w:basedOn w:val="Normal"/>
    <w:pPr>
      <w:pBdr>
        <w:top w:val="single" w:sz="4" w:space="0" w:color="auto"/>
        <w:bottom w:val="single" w:sz="8" w:space="0" w:color="auto"/>
      </w:pBdr>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132">
    <w:name w:val="xl132"/>
    <w:basedOn w:val="Normal"/>
    <w:pPr>
      <w:pBdr>
        <w:top w:val="single" w:sz="4" w:space="0" w:color="auto"/>
        <w:bottom w:val="single" w:sz="8" w:space="0" w:color="auto"/>
      </w:pBdr>
      <w:spacing w:before="100" w:beforeAutospacing="1" w:after="100" w:afterAutospacing="1"/>
    </w:pPr>
    <w:rPr>
      <w:rFonts w:ascii="Arial Unicode MS" w:hAnsi="Arial Unicode MS" w:cs="ArialUnicodeMS"/>
      <w:color w:val="auto"/>
      <w:sz w:val="12"/>
      <w:szCs w:val="12"/>
      <w:lang w:val="en-AU" w:eastAsia="en-US"/>
    </w:rPr>
  </w:style>
  <w:style w:type="paragraph" w:customStyle="1" w:styleId="xl133">
    <w:name w:val="xl133"/>
    <w:basedOn w:val="Normal"/>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134">
    <w:name w:val="xl134"/>
    <w:basedOn w:val="Normal"/>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Arial Unicode MS" w:hAnsi="Arial Unicode MS" w:cs="ArialUnicodeMS"/>
      <w:color w:val="auto"/>
      <w:sz w:val="12"/>
      <w:szCs w:val="12"/>
      <w:lang w:val="en-AU" w:eastAsia="en-US"/>
    </w:rPr>
  </w:style>
  <w:style w:type="paragraph" w:customStyle="1" w:styleId="xl135">
    <w:name w:val="xl135"/>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cs="ArialUnicodeMS"/>
      <w:color w:val="auto"/>
      <w:szCs w:val="24"/>
      <w:lang w:val="en-AU" w:eastAsia="en-US"/>
    </w:rPr>
  </w:style>
  <w:style w:type="paragraph" w:customStyle="1" w:styleId="xl136">
    <w:name w:val="xl136"/>
    <w:basedOn w:val="Normal"/>
    <w:pPr>
      <w:pBdr>
        <w:top w:val="single" w:sz="4" w:space="0" w:color="auto"/>
        <w:bottom w:val="single" w:sz="4" w:space="0" w:color="auto"/>
      </w:pBdr>
      <w:spacing w:before="100" w:beforeAutospacing="1" w:after="100" w:afterAutospacing="1"/>
    </w:pPr>
    <w:rPr>
      <w:rFonts w:ascii="Arial Unicode MS" w:hAnsi="Arial Unicode MS" w:cs="ArialUnicodeMS"/>
      <w:color w:val="auto"/>
      <w:szCs w:val="24"/>
      <w:lang w:val="en-AU" w:eastAsia="en-US"/>
    </w:rPr>
  </w:style>
  <w:style w:type="paragraph" w:customStyle="1" w:styleId="xl137">
    <w:name w:val="xl137"/>
    <w:basedOn w:val="Normal"/>
    <w:pPr>
      <w:pBdr>
        <w:top w:val="single" w:sz="4" w:space="0" w:color="auto"/>
        <w:bottom w:val="single" w:sz="4" w:space="0" w:color="auto"/>
        <w:right w:val="single" w:sz="4" w:space="0" w:color="auto"/>
      </w:pBdr>
      <w:spacing w:before="100" w:beforeAutospacing="1" w:after="100" w:afterAutospacing="1"/>
    </w:pPr>
    <w:rPr>
      <w:rFonts w:ascii="Arial Unicode MS" w:hAnsi="Arial Unicode MS" w:cs="ArialUnicodeMS"/>
      <w:color w:val="auto"/>
      <w:szCs w:val="24"/>
      <w:lang w:val="en-AU" w:eastAsia="en-US"/>
    </w:rPr>
  </w:style>
  <w:style w:type="paragraph" w:customStyle="1" w:styleId="xl138">
    <w:name w:val="xl138"/>
    <w:basedOn w:val="Normal"/>
    <w:pPr>
      <w:pBdr>
        <w:top w:val="single" w:sz="4" w:space="0" w:color="auto"/>
        <w:bottom w:val="single" w:sz="4" w:space="0" w:color="auto"/>
      </w:pBdr>
      <w:spacing w:before="100" w:beforeAutospacing="1" w:after="100" w:afterAutospacing="1"/>
    </w:pPr>
    <w:rPr>
      <w:rFonts w:ascii="Arial" w:hAnsi="Arial" w:cs="Arial"/>
      <w:b/>
      <w:bCs/>
      <w:color w:val="auto"/>
      <w:sz w:val="12"/>
      <w:szCs w:val="12"/>
      <w:lang w:val="en-AU" w:eastAsia="en-US"/>
    </w:rPr>
  </w:style>
  <w:style w:type="paragraph" w:customStyle="1" w:styleId="Anxhead">
    <w:name w:val="Anx head"/>
    <w:basedOn w:val="Normal"/>
    <w:pPr>
      <w:spacing w:after="0"/>
    </w:pPr>
    <w:rPr>
      <w:b/>
      <w:bCs/>
      <w:color w:val="auto"/>
      <w:sz w:val="28"/>
      <w:szCs w:val="28"/>
      <w:lang w:eastAsia="en-US"/>
    </w:rPr>
  </w:style>
  <w:style w:type="paragraph" w:customStyle="1" w:styleId="Anxtitle">
    <w:name w:val="Anx title"/>
    <w:basedOn w:val="Normal"/>
    <w:pPr>
      <w:spacing w:after="0"/>
      <w:ind w:left="1247"/>
    </w:pPr>
    <w:rPr>
      <w:b/>
      <w:bCs/>
      <w:color w:val="auto"/>
      <w:sz w:val="28"/>
      <w:szCs w:val="28"/>
      <w:lang w:eastAsia="en-US"/>
    </w:rPr>
  </w:style>
  <w:style w:type="paragraph" w:customStyle="1" w:styleId="Style10ptAfter6pt1">
    <w:name w:val="Style 10 pt After:  6 pt1"/>
    <w:basedOn w:val="Normal"/>
    <w:autoRedefine/>
    <w:pPr>
      <w:spacing w:after="120"/>
    </w:pPr>
    <w:rPr>
      <w:rFonts w:ascii="Arial" w:hAnsi="Arial"/>
      <w:color w:val="auto"/>
      <w:sz w:val="18"/>
      <w:lang w:eastAsia="en-US"/>
    </w:rPr>
  </w:style>
  <w:style w:type="paragraph" w:customStyle="1" w:styleId="StyleHeading311ptBold">
    <w:name w:val="Style Heading 3 + 11 pt Bold"/>
    <w:basedOn w:val="Heading3"/>
    <w:rPr>
      <w:b w:val="0"/>
      <w:bCs/>
      <w:iCs/>
    </w:rPr>
  </w:style>
  <w:style w:type="paragraph" w:customStyle="1" w:styleId="Subtitle">
    <w:name w:val="Sub title"/>
    <w:basedOn w:val="Heading2"/>
    <w:pPr>
      <w:spacing w:after="0"/>
      <w:ind w:left="1247"/>
    </w:pPr>
    <w:rPr>
      <w:snapToGrid/>
      <w:szCs w:val="24"/>
    </w:rPr>
  </w:style>
  <w:style w:type="character" w:customStyle="1" w:styleId="maintextbldleft1">
    <w:name w:val="maintextbldleft1"/>
    <w:rPr>
      <w:rFonts w:ascii="Arial" w:hAnsi="Arial" w:cs="Arial" w:hint="default"/>
      <w:b/>
      <w:bCs/>
      <w:strike w:val="0"/>
      <w:dstrike w:val="0"/>
      <w:color w:val="000000"/>
      <w:sz w:val="18"/>
      <w:szCs w:val="18"/>
      <w:u w:val="none"/>
      <w:effect w:val="none"/>
    </w:rPr>
  </w:style>
  <w:style w:type="character" w:customStyle="1" w:styleId="maintextleft1">
    <w:name w:val="maintextleft1"/>
    <w:rPr>
      <w:rFonts w:ascii="Arial" w:hAnsi="Arial" w:cs="Arial" w:hint="default"/>
      <w:strike w:val="0"/>
      <w:dstrike w:val="0"/>
      <w:color w:val="000000"/>
      <w:sz w:val="18"/>
      <w:szCs w:val="18"/>
      <w:u w:val="none"/>
      <w:effect w:val="none"/>
    </w:rPr>
  </w:style>
  <w:style w:type="character" w:customStyle="1" w:styleId="Heading1Char2">
    <w:name w:val="Heading 1 Char2"/>
    <w:aliases w:val="Para (1) Char,Heading 1 Char1 Char Char1,Heading 1 Char Char Char Char,Para (1) Char Char Char Char,Para (1) Char1 Char Char,Heading 1 Char1 Char1,Heading 1 Char Char Char1,Para (1) Char Char Char1,Para (1) Char1 Char1,Part Char"/>
    <w:autoRedefine/>
    <w:uiPriority w:val="9"/>
    <w:qFormat/>
    <w:rsid w:val="00A94275"/>
    <w:rPr>
      <w:rFonts w:asciiTheme="minorHAnsi" w:hAnsiTheme="minorHAnsi"/>
    </w:rPr>
  </w:style>
  <w:style w:type="character" w:customStyle="1" w:styleId="Heading2Char">
    <w:name w:val="Heading 2 Char"/>
    <w:aliases w:val="SubPara (a) Char,Heading 2 Char1 Char Char,SubPara (a) Char1 Char Char,Heading 2 Char3 Char Char Char,Heading 2 Char Char2 Char Char Char,Heading 2 Char1 Char Char1 Char Char Char,SubPara (a) Char Char Char1 Char Char Char,Heading 2 Char1"/>
    <w:uiPriority w:val="9"/>
    <w:rPr>
      <w:b/>
      <w:noProof w:val="0"/>
      <w:snapToGrid w:val="0"/>
      <w:color w:val="000000"/>
      <w:sz w:val="24"/>
      <w:lang w:val="en-GB" w:eastAsia="zh-CN" w:bidi="ar-SA"/>
    </w:rPr>
  </w:style>
  <w:style w:type="character" w:customStyle="1" w:styleId="Heading3Char">
    <w:name w:val="Heading 3 Char"/>
    <w:aliases w:val="Sec Char"/>
    <w:uiPriority w:val="9"/>
    <w:rPr>
      <w:b w:val="0"/>
      <w:noProof w:val="0"/>
      <w:snapToGrid w:val="0"/>
      <w:color w:val="000000"/>
      <w:sz w:val="24"/>
      <w:lang w:val="en-GB" w:eastAsia="zh-CN" w:bidi="ar-SA"/>
    </w:rPr>
  </w:style>
  <w:style w:type="character" w:customStyle="1" w:styleId="Heading4Char">
    <w:name w:val="Heading 4 Char"/>
    <w:aliases w:val="MainPara Char"/>
    <w:autoRedefine/>
    <w:uiPriority w:val="9"/>
    <w:rsid w:val="00F02E32"/>
    <w:rPr>
      <w:snapToGrid w:val="0"/>
      <w:color w:val="000000"/>
      <w:sz w:val="22"/>
      <w:lang w:val="en-GB" w:eastAsia="zh-CN"/>
    </w:rPr>
  </w:style>
  <w:style w:type="paragraph" w:customStyle="1" w:styleId="StyleHeading311ptBold1">
    <w:name w:val="Style Heading 3 + 11 pt Bold1"/>
    <w:basedOn w:val="Heading3"/>
    <w:rPr>
      <w:b w:val="0"/>
      <w:bCs/>
      <w:iCs/>
    </w:rPr>
  </w:style>
  <w:style w:type="paragraph" w:customStyle="1" w:styleId="ANNEXES">
    <w:name w:val="ANNEXES"/>
    <w:basedOn w:val="Normal"/>
    <w:pPr>
      <w:tabs>
        <w:tab w:val="left" w:pos="1080"/>
      </w:tabs>
      <w:spacing w:before="100" w:beforeAutospacing="1" w:after="100" w:afterAutospacing="1"/>
    </w:pPr>
    <w:rPr>
      <w:b/>
      <w:sz w:val="28"/>
    </w:rPr>
  </w:style>
  <w:style w:type="paragraph" w:customStyle="1" w:styleId="Executivesummary">
    <w:name w:val="Executive summary"/>
    <w:basedOn w:val="TOC1"/>
    <w:rPr>
      <w:b w:val="0"/>
    </w:rPr>
  </w:style>
  <w:style w:type="paragraph" w:customStyle="1" w:styleId="Execlevel2">
    <w:name w:val="Exec level2"/>
    <w:basedOn w:val="Anxhead"/>
    <w:rPr>
      <w:sz w:val="24"/>
    </w:rPr>
  </w:style>
  <w:style w:type="character" w:customStyle="1" w:styleId="AnxheadChar">
    <w:name w:val="Anx head Char"/>
    <w:rPr>
      <w:b/>
      <w:bCs/>
      <w:noProof w:val="0"/>
      <w:sz w:val="28"/>
      <w:szCs w:val="28"/>
      <w:lang w:val="en-GB" w:eastAsia="en-US" w:bidi="ar-SA"/>
    </w:rPr>
  </w:style>
  <w:style w:type="character" w:customStyle="1" w:styleId="Execlevel2Char">
    <w:name w:val="Exec level2 Char"/>
    <w:rPr>
      <w:b/>
      <w:bCs/>
      <w:noProof w:val="0"/>
      <w:sz w:val="24"/>
      <w:szCs w:val="28"/>
      <w:lang w:val="en-GB" w:eastAsia="en-US" w:bidi="ar-SA"/>
    </w:rPr>
  </w:style>
  <w:style w:type="character" w:customStyle="1" w:styleId="a">
    <w:name w:val="_"/>
    <w:basedOn w:val="DefaultParagraphFont"/>
  </w:style>
  <w:style w:type="paragraph" w:styleId="CommentSubject">
    <w:name w:val="annotation subject"/>
    <w:basedOn w:val="CommentText"/>
    <w:next w:val="CommentText"/>
    <w:uiPriority w:val="99"/>
    <w:semiHidden/>
    <w:pPr>
      <w:widowControl/>
      <w:spacing w:after="0"/>
    </w:pPr>
    <w:rPr>
      <w:rFonts w:ascii="Times New Roman" w:hAnsi="Times New Roman"/>
      <w:b/>
      <w:lang w:val="en-US"/>
    </w:rPr>
  </w:style>
  <w:style w:type="paragraph" w:customStyle="1" w:styleId="Indentedbullet">
    <w:name w:val="Indented bullet"/>
    <w:basedOn w:val="Indentedbodytext"/>
    <w:pPr>
      <w:tabs>
        <w:tab w:val="num" w:pos="1440"/>
      </w:tabs>
      <w:ind w:left="1434" w:hanging="357"/>
    </w:pPr>
  </w:style>
  <w:style w:type="paragraph" w:customStyle="1" w:styleId="Indentedbodytext">
    <w:name w:val="Indented body text"/>
    <w:basedOn w:val="Normal"/>
    <w:autoRedefine/>
    <w:pPr>
      <w:spacing w:after="120"/>
    </w:pPr>
    <w:rPr>
      <w:lang w:eastAsia="en-US"/>
    </w:rPr>
  </w:style>
  <w:style w:type="paragraph" w:customStyle="1" w:styleId="Smallnumberedbullet">
    <w:name w:val="Small numbered bullet"/>
    <w:basedOn w:val="Smallbullet"/>
    <w:pPr>
      <w:numPr>
        <w:numId w:val="0"/>
      </w:numPr>
      <w:ind w:left="539" w:hanging="539"/>
    </w:pPr>
  </w:style>
  <w:style w:type="paragraph" w:customStyle="1" w:styleId="Smallbullet">
    <w:name w:val="Small bullet"/>
    <w:basedOn w:val="BodyTextSmallBullets"/>
    <w:autoRedefine/>
    <w:pPr>
      <w:numPr>
        <w:numId w:val="8"/>
      </w:numPr>
      <w:tabs>
        <w:tab w:val="num" w:pos="426"/>
      </w:tabs>
      <w:spacing w:after="240" w:line="240" w:lineRule="auto"/>
      <w:ind w:left="425" w:hanging="425"/>
    </w:pPr>
  </w:style>
  <w:style w:type="paragraph" w:customStyle="1" w:styleId="BodyText1">
    <w:name w:val="Body Text1"/>
    <w:basedOn w:val="Normal"/>
    <w:rPr>
      <w:lang w:eastAsia="en-US"/>
    </w:rPr>
  </w:style>
  <w:style w:type="paragraph" w:customStyle="1" w:styleId="Heading311ptBold">
    <w:name w:val="Heading 3 + 11 pt Bold"/>
    <w:basedOn w:val="Heading3"/>
    <w:pPr>
      <w:numPr>
        <w:ilvl w:val="2"/>
        <w:numId w:val="7"/>
      </w:numPr>
      <w:tabs>
        <w:tab w:val="num" w:pos="1800"/>
      </w:tabs>
      <w:ind w:left="0" w:firstLine="0"/>
    </w:pPr>
    <w:rPr>
      <w:b w:val="0"/>
    </w:rPr>
  </w:style>
  <w:style w:type="paragraph" w:customStyle="1" w:styleId="Table5">
    <w:name w:val="Table 5"/>
    <w:basedOn w:val="Normal"/>
    <w:pPr>
      <w:spacing w:after="0" w:line="240" w:lineRule="exact"/>
      <w:ind w:left="567" w:hanging="567"/>
    </w:pPr>
    <w:rPr>
      <w:sz w:val="18"/>
      <w:lang w:eastAsia="ja-JP"/>
    </w:rPr>
  </w:style>
  <w:style w:type="paragraph" w:customStyle="1" w:styleId="ColorfulList-Accent11">
    <w:name w:val="Colorful List - Accent 11"/>
    <w:basedOn w:val="Normal"/>
    <w:qFormat/>
    <w:pPr>
      <w:spacing w:after="0"/>
      <w:ind w:left="720"/>
    </w:pPr>
    <w:rPr>
      <w:rFonts w:eastAsia="MS Mincho"/>
      <w:color w:val="auto"/>
      <w:szCs w:val="24"/>
      <w:lang w:val="en-US" w:eastAsia="ja-JP"/>
    </w:rPr>
  </w:style>
  <w:style w:type="character" w:customStyle="1" w:styleId="mw-headline">
    <w:name w:val="mw-headline"/>
    <w:basedOn w:val="DefaultParagraphFont"/>
  </w:style>
  <w:style w:type="paragraph" w:customStyle="1" w:styleId="ColorfulList-Accent12">
    <w:name w:val="Colorful List - Accent 12"/>
    <w:basedOn w:val="Normal"/>
    <w:qFormat/>
    <w:pPr>
      <w:spacing w:after="0"/>
    </w:pPr>
    <w:rPr>
      <w:rFonts w:ascii="Cambria" w:eastAsia="Cambria" w:hAnsi="Cambria"/>
      <w:color w:val="auto"/>
      <w:sz w:val="24"/>
      <w:lang w:val="en-US"/>
    </w:rPr>
  </w:style>
  <w:style w:type="paragraph" w:styleId="Subtitle0">
    <w:name w:val="Subtitle"/>
    <w:basedOn w:val="Normal"/>
    <w:uiPriority w:val="11"/>
    <w:qFormat/>
    <w:pPr>
      <w:spacing w:after="0"/>
      <w:jc w:val="center"/>
    </w:pPr>
    <w:rPr>
      <w:rFonts w:eastAsia="MS Mincho"/>
      <w:b/>
      <w:color w:val="auto"/>
      <w:lang w:val="en-US"/>
    </w:rPr>
  </w:style>
  <w:style w:type="paragraph" w:styleId="Revision">
    <w:name w:val="Revision"/>
    <w:hidden/>
    <w:uiPriority w:val="99"/>
    <w:semiHidden/>
    <w:rPr>
      <w:rFonts w:ascii="Times New Roman" w:eastAsia="MS Mincho" w:hAnsi="Times New Roman"/>
      <w:sz w:val="24"/>
      <w:szCs w:val="24"/>
      <w:lang w:val="en-US"/>
    </w:rPr>
  </w:style>
  <w:style w:type="paragraph" w:customStyle="1" w:styleId="StyleHeading3Heading3Char1CharHeading3CharCharCharChar">
    <w:name w:val="Style Heading 3Heading 3 Char1 CharHeading 3 Char Char CharChar ..."/>
    <w:basedOn w:val="Heading3"/>
    <w:rPr>
      <w:iCs/>
    </w:rPr>
  </w:style>
  <w:style w:type="paragraph" w:customStyle="1" w:styleId="ParaQPS">
    <w:name w:val="Para QPS"/>
    <w:basedOn w:val="Normal"/>
    <w:qFormat/>
    <w:pPr>
      <w:spacing w:before="120" w:after="120"/>
      <w:ind w:left="1134"/>
      <w:jc w:val="both"/>
    </w:pPr>
    <w:rPr>
      <w:rFonts w:cs="Cambria"/>
      <w:iCs/>
      <w:color w:val="auto"/>
      <w:szCs w:val="24"/>
      <w:lang w:val="en-US" w:eastAsia="en-US" w:bidi="en-US"/>
    </w:rPr>
  </w:style>
  <w:style w:type="paragraph" w:customStyle="1" w:styleId="ParaQPSItalicindent">
    <w:name w:val="Para QPS Italic indent"/>
    <w:basedOn w:val="ParaQPS"/>
    <w:rPr>
      <w:i/>
      <w:iCs w:val="0"/>
    </w:rPr>
  </w:style>
  <w:style w:type="paragraph" w:customStyle="1" w:styleId="ListParagraph1">
    <w:name w:val="List Paragraph1"/>
    <w:aliases w:val="Bullets"/>
    <w:basedOn w:val="Normal"/>
    <w:pPr>
      <w:numPr>
        <w:numId w:val="18"/>
      </w:numPr>
      <w:spacing w:before="60" w:after="60"/>
      <w:jc w:val="both"/>
    </w:pPr>
    <w:rPr>
      <w:rFonts w:ascii="Arial" w:hAnsi="Arial" w:cs="Arial"/>
      <w:color w:val="auto"/>
      <w:szCs w:val="22"/>
      <w:lang w:eastAsia="en-GB" w:bidi="en-US"/>
    </w:rPr>
  </w:style>
  <w:style w:type="paragraph" w:styleId="Bibliography">
    <w:name w:val="Bibliography"/>
    <w:basedOn w:val="Normal"/>
    <w:next w:val="Normal"/>
    <w:pPr>
      <w:spacing w:before="120" w:after="120"/>
      <w:ind w:left="1134"/>
      <w:jc w:val="both"/>
    </w:pPr>
    <w:rPr>
      <w:rFonts w:ascii="Calibri" w:hAnsi="Calibri"/>
      <w:color w:val="auto"/>
      <w:szCs w:val="22"/>
      <w:lang w:bidi="en-US"/>
    </w:rPr>
  </w:style>
  <w:style w:type="paragraph" w:customStyle="1" w:styleId="Footnote">
    <w:name w:val="Footnote"/>
    <w:basedOn w:val="FootnoteText"/>
    <w:pPr>
      <w:widowControl/>
      <w:spacing w:after="0"/>
    </w:pPr>
    <w:rPr>
      <w:szCs w:val="22"/>
      <w:lang w:bidi="en-US"/>
    </w:rPr>
  </w:style>
  <w:style w:type="paragraph" w:customStyle="1" w:styleId="TableforUNEPreport">
    <w:name w:val="Table for UNEP report"/>
    <w:basedOn w:val="Caption"/>
    <w:pPr>
      <w:keepNext/>
      <w:spacing w:after="200" w:line="240" w:lineRule="auto"/>
      <w:ind w:left="0"/>
      <w:jc w:val="both"/>
    </w:pPr>
    <w:rPr>
      <w:rFonts w:ascii="Calibri" w:eastAsia="Calibri" w:hAnsi="Calibri"/>
      <w:b/>
      <w:bCs/>
      <w:i w:val="0"/>
      <w:color w:val="auto"/>
      <w:szCs w:val="18"/>
      <w:lang w:eastAsia="en-GB" w:bidi="en-US"/>
    </w:rPr>
  </w:style>
  <w:style w:type="character" w:customStyle="1" w:styleId="FooterChar">
    <w:name w:val="Footer Char"/>
    <w:uiPriority w:val="99"/>
    <w:rPr>
      <w:rFonts w:eastAsia="SimSun" w:cs="Times New Roman"/>
      <w:noProof w:val="0"/>
      <w:sz w:val="22"/>
      <w:lang w:val="x-none" w:eastAsia="zh-CN"/>
    </w:rPr>
  </w:style>
  <w:style w:type="character" w:customStyle="1" w:styleId="BodyText2Char">
    <w:name w:val="Body Text 2 Char"/>
    <w:rPr>
      <w:rFonts w:ascii="Times New Roman" w:hAnsi="Times New Roman" w:cs="Times New Roman"/>
      <w:b/>
      <w:bCs/>
      <w:sz w:val="24"/>
    </w:rPr>
  </w:style>
  <w:style w:type="paragraph" w:customStyle="1" w:styleId="TitleQPSReport">
    <w:name w:val="Title QPS Report"/>
    <w:basedOn w:val="Normal"/>
    <w:pPr>
      <w:spacing w:before="120" w:after="120"/>
      <w:jc w:val="center"/>
    </w:pPr>
    <w:rPr>
      <w:b/>
      <w:bCs/>
      <w:color w:val="auto"/>
      <w:sz w:val="28"/>
      <w:lang w:bidi="en-US"/>
    </w:rPr>
  </w:style>
  <w:style w:type="paragraph" w:customStyle="1" w:styleId="Bulletdash">
    <w:name w:val="Bullet dash"/>
    <w:basedOn w:val="Normal"/>
    <w:qFormat/>
    <w:pPr>
      <w:numPr>
        <w:numId w:val="19"/>
      </w:numPr>
      <w:spacing w:before="120" w:after="120"/>
      <w:ind w:left="1854"/>
      <w:jc w:val="both"/>
    </w:pPr>
    <w:rPr>
      <w:color w:val="auto"/>
      <w:szCs w:val="22"/>
      <w:lang w:bidi="en-US"/>
    </w:rPr>
  </w:style>
  <w:style w:type="paragraph" w:customStyle="1" w:styleId="Paraleft">
    <w:name w:val="Para left"/>
    <w:basedOn w:val="Normal"/>
    <w:qFormat/>
    <w:pPr>
      <w:keepNext/>
      <w:spacing w:before="120" w:after="120"/>
      <w:ind w:left="1134"/>
    </w:pPr>
    <w:rPr>
      <w:b/>
      <w:bCs/>
      <w:color w:val="auto"/>
      <w:szCs w:val="22"/>
      <w:lang w:eastAsia="ja-JP" w:bidi="en-US"/>
    </w:rPr>
  </w:style>
  <w:style w:type="paragraph" w:customStyle="1" w:styleId="TableandFiguretitles">
    <w:name w:val="Table and Figure titles"/>
    <w:basedOn w:val="Caption"/>
    <w:qFormat/>
    <w:pPr>
      <w:keepNext/>
      <w:spacing w:after="200" w:line="240" w:lineRule="auto"/>
      <w:ind w:left="1134"/>
      <w:jc w:val="both"/>
    </w:pPr>
    <w:rPr>
      <w:b/>
      <w:bCs/>
      <w:i w:val="0"/>
      <w:color w:val="auto"/>
      <w:szCs w:val="22"/>
      <w:lang w:bidi="en-US"/>
    </w:rPr>
  </w:style>
  <w:style w:type="paragraph" w:styleId="TableofFigures">
    <w:name w:val="table of figures"/>
    <w:basedOn w:val="Normal"/>
    <w:next w:val="Normal"/>
    <w:semiHidden/>
    <w:unhideWhenUsed/>
    <w:pPr>
      <w:spacing w:before="120" w:after="120"/>
      <w:ind w:left="1757" w:right="624" w:hanging="1077"/>
      <w:jc w:val="both"/>
    </w:pPr>
    <w:rPr>
      <w:b/>
      <w:caps/>
      <w:color w:val="auto"/>
      <w:szCs w:val="22"/>
      <w:lang w:bidi="en-US"/>
    </w:rPr>
  </w:style>
  <w:style w:type="paragraph" w:customStyle="1" w:styleId="StyleParaQPSItalic">
    <w:name w:val="Style Para QPS + Italic"/>
    <w:basedOn w:val="ParaQPS"/>
    <w:rPr>
      <w:i/>
    </w:rPr>
  </w:style>
  <w:style w:type="paragraph" w:customStyle="1" w:styleId="StyleLeft017cm">
    <w:name w:val="Style Left:  0.17 cm"/>
    <w:basedOn w:val="Normal"/>
    <w:pPr>
      <w:spacing w:before="120" w:after="120"/>
      <w:ind w:left="97"/>
      <w:jc w:val="both"/>
    </w:pPr>
    <w:rPr>
      <w:color w:val="auto"/>
      <w:lang w:bidi="en-US"/>
    </w:rPr>
  </w:style>
  <w:style w:type="paragraph" w:customStyle="1" w:styleId="StyleParaQPS11ptItalic">
    <w:name w:val="Style Para QPS + 11 pt Italic"/>
    <w:basedOn w:val="ParaQPS"/>
    <w:rPr>
      <w:i/>
    </w:rPr>
  </w:style>
  <w:style w:type="paragraph" w:customStyle="1" w:styleId="Bulletnumbered">
    <w:name w:val="Bullet numbered"/>
    <w:basedOn w:val="ParaQPS"/>
    <w:qFormat/>
    <w:pPr>
      <w:numPr>
        <w:numId w:val="21"/>
      </w:numPr>
    </w:pPr>
  </w:style>
  <w:style w:type="paragraph" w:customStyle="1" w:styleId="Annexheader">
    <w:name w:val="Annex header"/>
    <w:basedOn w:val="Header"/>
    <w:pPr>
      <w:tabs>
        <w:tab w:val="clear" w:pos="4320"/>
        <w:tab w:val="clear" w:pos="8640"/>
        <w:tab w:val="center" w:pos="4153"/>
        <w:tab w:val="right" w:pos="8306"/>
      </w:tabs>
      <w:spacing w:after="0" w:line="360" w:lineRule="auto"/>
      <w:ind w:firstLine="720"/>
      <w:jc w:val="center"/>
    </w:pPr>
    <w:rPr>
      <w:rFonts w:ascii="Times New Roman Bold" w:hAnsi="Times New Roman Bold"/>
      <w:b/>
      <w:caps/>
      <w:color w:val="auto"/>
      <w:szCs w:val="24"/>
      <w:lang w:val="en-AU" w:eastAsia="en-US"/>
    </w:rPr>
  </w:style>
  <w:style w:type="paragraph" w:customStyle="1" w:styleId="Execlevel3">
    <w:name w:val="Exec level3"/>
    <w:basedOn w:val="Normal"/>
    <w:pPr>
      <w:tabs>
        <w:tab w:val="left" w:pos="1080"/>
      </w:tabs>
      <w:spacing w:after="0"/>
    </w:pPr>
    <w:rPr>
      <w:b/>
      <w:i/>
    </w:rPr>
  </w:style>
  <w:style w:type="paragraph" w:customStyle="1" w:styleId="0Heading0CharChar1Char">
    <w:name w:val="0 Heading 0 Char Char1 Char"/>
    <w:rPr>
      <w:rFonts w:ascii="Times New Roman" w:hAnsi="Times New Roman"/>
      <w:color w:val="000000"/>
      <w:sz w:val="24"/>
      <w:lang w:val="en-GB"/>
    </w:rPr>
  </w:style>
  <w:style w:type="character" w:customStyle="1" w:styleId="0Heading0CharChar1CharChar">
    <w:name w:val="0 Heading 0 Char Char1 Char Char"/>
    <w:rPr>
      <w:noProof w:val="0"/>
      <w:color w:val="000000"/>
      <w:sz w:val="24"/>
      <w:lang w:val="en-GB" w:eastAsia="en-US" w:bidi="ar-SA"/>
    </w:rPr>
  </w:style>
  <w:style w:type="character" w:customStyle="1" w:styleId="HeaderChar">
    <w:name w:val="Header Char"/>
    <w:aliases w:val="EthylHeader Char"/>
    <w:uiPriority w:val="99"/>
    <w:rPr>
      <w:noProof w:val="0"/>
      <w:color w:val="000000"/>
      <w:sz w:val="24"/>
      <w:lang w:val="en-GB" w:eastAsia="zh-CN"/>
    </w:rPr>
  </w:style>
  <w:style w:type="paragraph" w:customStyle="1" w:styleId="Alt2-LevelLegal1">
    <w:name w:val="Alt 2-Level Legal1"/>
    <w:basedOn w:val="Normal"/>
    <w:next w:val="Normal"/>
    <w:pPr>
      <w:numPr>
        <w:numId w:val="23"/>
      </w:numPr>
      <w:jc w:val="center"/>
      <w:outlineLvl w:val="0"/>
    </w:pPr>
    <w:rPr>
      <w:b/>
      <w:color w:val="auto"/>
      <w:szCs w:val="24"/>
    </w:rPr>
  </w:style>
  <w:style w:type="paragraph" w:customStyle="1" w:styleId="Alt2-LevelLegal2">
    <w:name w:val="Alt 2-Level Legal2"/>
    <w:basedOn w:val="Normal"/>
    <w:pPr>
      <w:numPr>
        <w:ilvl w:val="1"/>
        <w:numId w:val="23"/>
      </w:numPr>
      <w:outlineLvl w:val="1"/>
    </w:pPr>
    <w:rPr>
      <w:b/>
      <w:bCs/>
      <w:szCs w:val="24"/>
    </w:rPr>
  </w:style>
  <w:style w:type="paragraph" w:customStyle="1" w:styleId="Alt2-LevelLegal3">
    <w:name w:val="Alt 2-Level Legal3"/>
    <w:basedOn w:val="Normal"/>
    <w:pPr>
      <w:numPr>
        <w:ilvl w:val="2"/>
        <w:numId w:val="23"/>
      </w:numPr>
      <w:outlineLvl w:val="2"/>
    </w:pPr>
    <w:rPr>
      <w:b/>
      <w:szCs w:val="24"/>
    </w:rPr>
  </w:style>
  <w:style w:type="paragraph" w:customStyle="1" w:styleId="Alt2-LevelLegal4">
    <w:name w:val="Alt 2-Level Legal4"/>
    <w:basedOn w:val="Normal"/>
    <w:pPr>
      <w:numPr>
        <w:ilvl w:val="3"/>
        <w:numId w:val="23"/>
      </w:numPr>
      <w:outlineLvl w:val="3"/>
    </w:pPr>
    <w:rPr>
      <w:szCs w:val="24"/>
    </w:rPr>
  </w:style>
  <w:style w:type="paragraph" w:customStyle="1" w:styleId="Alt2-LevelLegal5">
    <w:name w:val="Alt 2-Level Legal5"/>
    <w:basedOn w:val="Normal"/>
    <w:pPr>
      <w:numPr>
        <w:ilvl w:val="4"/>
        <w:numId w:val="23"/>
      </w:numPr>
      <w:ind w:right="720"/>
      <w:jc w:val="both"/>
      <w:outlineLvl w:val="4"/>
    </w:pPr>
    <w:rPr>
      <w:szCs w:val="24"/>
    </w:rPr>
  </w:style>
  <w:style w:type="paragraph" w:customStyle="1" w:styleId="Alt2-LevelLegal6">
    <w:name w:val="Alt 2-Level Legal6"/>
    <w:basedOn w:val="Normal"/>
    <w:pPr>
      <w:numPr>
        <w:ilvl w:val="5"/>
        <w:numId w:val="23"/>
      </w:numPr>
      <w:jc w:val="both"/>
      <w:outlineLvl w:val="5"/>
    </w:pPr>
    <w:rPr>
      <w:szCs w:val="24"/>
    </w:rPr>
  </w:style>
  <w:style w:type="paragraph" w:customStyle="1" w:styleId="Alt2-LevelLegal7">
    <w:name w:val="Alt 2-Level Legal7"/>
    <w:basedOn w:val="Normal"/>
    <w:pPr>
      <w:numPr>
        <w:ilvl w:val="6"/>
        <w:numId w:val="23"/>
      </w:numPr>
      <w:ind w:left="1440"/>
      <w:outlineLvl w:val="6"/>
    </w:pPr>
    <w:rPr>
      <w:szCs w:val="24"/>
    </w:rPr>
  </w:style>
  <w:style w:type="character" w:styleId="Emphasis">
    <w:name w:val="Emphasis"/>
    <w:uiPriority w:val="20"/>
    <w:qFormat/>
    <w:rPr>
      <w:b/>
      <w:bCs/>
      <w:i/>
      <w:iCs/>
      <w:spacing w:val="10"/>
      <w:bdr w:val="none" w:sz="0" w:space="0" w:color="auto"/>
      <w:shd w:val="clear" w:color="auto" w:fill="auto"/>
    </w:rPr>
  </w:style>
  <w:style w:type="paragraph" w:customStyle="1" w:styleId="NoteLevel21">
    <w:name w:val="Note Level 21"/>
    <w:basedOn w:val="Normal"/>
    <w:qFormat/>
    <w:locked/>
    <w:pPr>
      <w:spacing w:after="0"/>
    </w:pPr>
    <w:rPr>
      <w:rFonts w:ascii="Arial" w:eastAsia="Calibri" w:hAnsi="Arial" w:cs="Consolas"/>
      <w:color w:val="auto"/>
      <w:szCs w:val="22"/>
      <w:lang w:eastAsia="en-US"/>
    </w:rPr>
  </w:style>
  <w:style w:type="paragraph" w:styleId="Quote">
    <w:name w:val="Quote"/>
    <w:basedOn w:val="Normal"/>
    <w:next w:val="Normal"/>
    <w:qFormat/>
    <w:locked/>
    <w:pPr>
      <w:spacing w:before="200" w:after="0"/>
      <w:ind w:left="360" w:right="360"/>
    </w:pPr>
    <w:rPr>
      <w:rFonts w:ascii="Arial" w:eastAsia="Calibri" w:hAnsi="Arial" w:cs="Consolas"/>
      <w:i/>
      <w:iCs/>
      <w:color w:val="auto"/>
      <w:szCs w:val="22"/>
      <w:lang w:eastAsia="en-US"/>
    </w:rPr>
  </w:style>
  <w:style w:type="paragraph" w:styleId="IntenseQuote">
    <w:name w:val="Intense Quote"/>
    <w:basedOn w:val="Normal"/>
    <w:next w:val="Normal"/>
    <w:qFormat/>
    <w:locked/>
    <w:pPr>
      <w:pBdr>
        <w:bottom w:val="single" w:sz="4" w:space="1" w:color="auto"/>
      </w:pBdr>
      <w:spacing w:before="200" w:after="280"/>
      <w:ind w:left="1008" w:right="1152"/>
      <w:jc w:val="both"/>
    </w:pPr>
    <w:rPr>
      <w:rFonts w:ascii="Arial" w:eastAsia="Calibri" w:hAnsi="Arial" w:cs="Consolas"/>
      <w:b/>
      <w:bCs/>
      <w:i/>
      <w:iCs/>
      <w:color w:val="auto"/>
      <w:szCs w:val="22"/>
      <w:lang w:eastAsia="en-US"/>
    </w:rPr>
  </w:style>
  <w:style w:type="character" w:styleId="SubtleEmphasis">
    <w:name w:val="Subtle Emphasis"/>
    <w:qFormat/>
    <w:locked/>
    <w:rPr>
      <w:i/>
      <w:iCs/>
    </w:rPr>
  </w:style>
  <w:style w:type="character" w:styleId="IntenseEmphasis">
    <w:name w:val="Intense Emphasis"/>
    <w:qFormat/>
    <w:locked/>
    <w:rPr>
      <w:b/>
      <w:bCs/>
    </w:rPr>
  </w:style>
  <w:style w:type="character" w:styleId="SubtleReference">
    <w:name w:val="Subtle Reference"/>
    <w:uiPriority w:val="31"/>
    <w:qFormat/>
    <w:locked/>
    <w:rPr>
      <w:smallCaps/>
    </w:rPr>
  </w:style>
  <w:style w:type="character" w:styleId="IntenseReference">
    <w:name w:val="Intense Reference"/>
    <w:qFormat/>
    <w:locked/>
    <w:rPr>
      <w:smallCaps/>
      <w:spacing w:val="5"/>
      <w:u w:val="single"/>
    </w:rPr>
  </w:style>
  <w:style w:type="character" w:styleId="BookTitle">
    <w:name w:val="Book Title"/>
    <w:qFormat/>
    <w:locked/>
    <w:rPr>
      <w:i/>
      <w:iCs/>
      <w:smallCaps/>
      <w:spacing w:val="5"/>
    </w:rPr>
  </w:style>
  <w:style w:type="paragraph" w:styleId="TOCHeading">
    <w:name w:val="TOC Heading"/>
    <w:basedOn w:val="Heading1"/>
    <w:next w:val="Normal"/>
    <w:uiPriority w:val="39"/>
    <w:qFormat/>
    <w:locked/>
    <w:pPr>
      <w:keepLines/>
      <w:spacing w:before="0"/>
      <w:ind w:left="0" w:firstLine="0"/>
      <w:outlineLvl w:val="9"/>
    </w:pPr>
    <w:rPr>
      <w:rFonts w:ascii="Arial" w:hAnsi="Arial"/>
      <w:bCs/>
      <w:color w:val="auto"/>
      <w:sz w:val="32"/>
      <w:szCs w:val="28"/>
      <w:lang w:eastAsia="en-US"/>
    </w:rPr>
  </w:style>
  <w:style w:type="character" w:customStyle="1" w:styleId="PlainTextChar">
    <w:name w:val="Plain Text Char"/>
    <w:uiPriority w:val="99"/>
    <w:rPr>
      <w:rFonts w:ascii="Consolas" w:hAnsi="Consolas" w:cs="Consolas"/>
      <w:noProof w:val="0"/>
      <w:sz w:val="21"/>
      <w:szCs w:val="21"/>
      <w:lang w:val="en-US" w:eastAsia="en-US"/>
    </w:rPr>
  </w:style>
  <w:style w:type="character" w:customStyle="1" w:styleId="BodyTextIndent3Char">
    <w:name w:val="Body Text Indent 3 Char"/>
    <w:rPr>
      <w:rFonts w:ascii="Times New Roman" w:eastAsia="MS Mincho" w:hAnsi="Times New Roman" w:cs="Times New Roman"/>
      <w:noProof w:val="0"/>
      <w:snapToGrid w:val="0"/>
      <w:color w:val="FF0000"/>
      <w:sz w:val="24"/>
      <w:lang w:eastAsia="zh-CN"/>
    </w:rPr>
  </w:style>
  <w:style w:type="character" w:customStyle="1" w:styleId="Para1">
    <w:name w:val="Para (1) (文字)"/>
    <w:aliases w:val="Heading 1 Char1 Char (文字),Heading 1 Char Char Char (文字),Para (1) Char Char Char (文字),Para (1) Char1 Char (文字),Heading 1 Char1 (文字),Heading 1 Char Char (文字),Para (1) Char Char (文字),Para (1) Char1 (文字),Heading 1 Char1 Char Char (文字)"/>
    <w:rPr>
      <w:rFonts w:ascii="Arial" w:eastAsia="MS Mincho" w:hAnsi="Arial" w:cs="Arial"/>
      <w:b/>
      <w:bCs/>
      <w:noProof w:val="0"/>
      <w:kern w:val="32"/>
      <w:sz w:val="32"/>
      <w:szCs w:val="32"/>
      <w:lang w:val="en-US" w:eastAsia="ja-JP" w:bidi="ar-SA"/>
    </w:rPr>
  </w:style>
  <w:style w:type="paragraph" w:customStyle="1" w:styleId="a0">
    <w:name w:val="吹き出し"/>
    <w:basedOn w:val="Normal"/>
    <w:semiHidden/>
    <w:pPr>
      <w:spacing w:after="0"/>
    </w:pPr>
    <w:rPr>
      <w:rFonts w:ascii="Tahoma" w:eastAsia="MS Mincho" w:hAnsi="Tahoma" w:cs="Consolas"/>
      <w:color w:val="auto"/>
      <w:sz w:val="16"/>
      <w:szCs w:val="16"/>
      <w:lang w:val="en-US" w:eastAsia="en-US"/>
    </w:rPr>
  </w:style>
  <w:style w:type="character" w:customStyle="1" w:styleId="SubParaa">
    <w:name w:val="SubPara (a) (文字) (文字)"/>
    <w:rPr>
      <w:rFonts w:ascii="Arial" w:eastAsia="MS Mincho" w:hAnsi="Arial" w:cs="Arial"/>
      <w:b/>
      <w:bCs/>
      <w:i/>
      <w:iCs/>
      <w:noProof w:val="0"/>
      <w:kern w:val="2"/>
      <w:sz w:val="28"/>
      <w:szCs w:val="28"/>
      <w:lang w:val="en-US" w:eastAsia="ja-JP" w:bidi="ar-SA"/>
    </w:rPr>
  </w:style>
  <w:style w:type="character" w:customStyle="1" w:styleId="1">
    <w:name w:val="(文字) (文字)1"/>
    <w:rPr>
      <w:rFonts w:eastAsia="SimSun"/>
      <w:noProof w:val="0"/>
      <w:sz w:val="24"/>
      <w:szCs w:val="24"/>
      <w:lang w:val="en-US" w:eastAsia="zh-CN" w:bidi="ar-SA"/>
    </w:rPr>
  </w:style>
  <w:style w:type="paragraph" w:customStyle="1" w:styleId="a1">
    <w:name w:val="コメント内容"/>
    <w:basedOn w:val="CommentText"/>
    <w:next w:val="CommentText"/>
    <w:pPr>
      <w:widowControl/>
      <w:spacing w:after="0"/>
    </w:pPr>
    <w:rPr>
      <w:rFonts w:ascii="Times New Roman" w:eastAsia="MS Mincho" w:hAnsi="Times New Roman"/>
      <w:b/>
      <w:bCs/>
      <w:lang w:val="en-US" w:eastAsia="en-US"/>
    </w:rPr>
  </w:style>
  <w:style w:type="character" w:customStyle="1" w:styleId="a2">
    <w:name w:val="(文字) (文字)"/>
    <w:rPr>
      <w:rFonts w:eastAsia="SimSun"/>
      <w:b/>
      <w:bCs/>
      <w:noProof w:val="0"/>
      <w:sz w:val="24"/>
      <w:szCs w:val="24"/>
      <w:lang w:val="en-US" w:eastAsia="en-US" w:bidi="ar-SA"/>
    </w:rPr>
  </w:style>
  <w:style w:type="character" w:customStyle="1" w:styleId="CarCar19">
    <w:name w:val="Car Car19"/>
    <w:locked/>
    <w:rPr>
      <w:rFonts w:eastAsia="MS Mincho"/>
      <w:noProof w:val="0"/>
      <w:color w:val="000000"/>
      <w:sz w:val="24"/>
      <w:szCs w:val="24"/>
      <w:lang w:val="en-GB" w:eastAsia="zh-CN" w:bidi="ar-SA"/>
    </w:rPr>
  </w:style>
  <w:style w:type="paragraph" w:customStyle="1" w:styleId="Decisionparagraphs">
    <w:name w:val="Decision paragraphs"/>
    <w:basedOn w:val="Normal"/>
    <w:autoRedefine/>
    <w:pPr>
      <w:spacing w:after="0"/>
    </w:pPr>
    <w:rPr>
      <w:i/>
      <w:color w:val="auto"/>
      <w:lang w:eastAsia="en-US"/>
    </w:rPr>
  </w:style>
  <w:style w:type="paragraph" w:customStyle="1" w:styleId="Style3">
    <w:name w:val="Style3"/>
    <w:basedOn w:val="Heading1"/>
    <w:pPr>
      <w:tabs>
        <w:tab w:val="left" w:pos="0"/>
        <w:tab w:val="left" w:pos="720"/>
        <w:tab w:val="num" w:pos="1492"/>
      </w:tabs>
      <w:spacing w:before="0" w:after="0"/>
      <w:ind w:left="720" w:hanging="720"/>
    </w:pPr>
    <w:rPr>
      <w:szCs w:val="28"/>
    </w:rPr>
  </w:style>
  <w:style w:type="paragraph" w:customStyle="1" w:styleId="Style4">
    <w:name w:val="Style4"/>
    <w:basedOn w:val="Heading2"/>
    <w:qFormat/>
    <w:pPr>
      <w:spacing w:after="0"/>
    </w:pPr>
    <w:rPr>
      <w:snapToGrid/>
    </w:rPr>
  </w:style>
  <w:style w:type="paragraph" w:customStyle="1" w:styleId="Style5">
    <w:name w:val="Style5"/>
    <w:basedOn w:val="Heading311ptBold"/>
    <w:autoRedefine/>
    <w:pPr>
      <w:numPr>
        <w:ilvl w:val="0"/>
        <w:numId w:val="0"/>
      </w:numPr>
      <w:tabs>
        <w:tab w:val="clear" w:pos="1800"/>
        <w:tab w:val="left" w:pos="720"/>
        <w:tab w:val="center" w:pos="1440"/>
      </w:tabs>
      <w:spacing w:before="0" w:after="0"/>
    </w:pPr>
    <w:rPr>
      <w:b/>
      <w:snapToGrid/>
    </w:rPr>
  </w:style>
  <w:style w:type="paragraph" w:customStyle="1" w:styleId="Style6">
    <w:name w:val="Style6"/>
    <w:basedOn w:val="Heading311ptBold"/>
    <w:next w:val="Style5"/>
    <w:pPr>
      <w:numPr>
        <w:ilvl w:val="0"/>
        <w:numId w:val="0"/>
      </w:numPr>
      <w:tabs>
        <w:tab w:val="clear" w:pos="1800"/>
        <w:tab w:val="left" w:pos="720"/>
        <w:tab w:val="center" w:pos="1440"/>
      </w:tabs>
      <w:spacing w:before="0" w:after="0"/>
    </w:pPr>
    <w:rPr>
      <w:b/>
      <w:snapToGrid/>
    </w:rPr>
  </w:style>
  <w:style w:type="paragraph" w:customStyle="1" w:styleId="Style7">
    <w:name w:val="Style7"/>
    <w:basedOn w:val="Heading311ptBold"/>
    <w:pPr>
      <w:numPr>
        <w:ilvl w:val="0"/>
        <w:numId w:val="0"/>
      </w:numPr>
      <w:tabs>
        <w:tab w:val="clear" w:pos="1800"/>
        <w:tab w:val="left" w:pos="720"/>
        <w:tab w:val="center" w:pos="1440"/>
      </w:tabs>
      <w:spacing w:before="0" w:after="0"/>
      <w:ind w:left="720" w:hanging="720"/>
    </w:pPr>
    <w:rPr>
      <w:b/>
      <w:snapToGrid/>
    </w:rPr>
  </w:style>
  <w:style w:type="paragraph" w:customStyle="1" w:styleId="StyleHeading2SubParaaHeading2Char1CharSubParaaChar1">
    <w:name w:val="Style Heading 2SubPara (a)Heading 2 Char1 CharSubPara (a) Char1 ..."/>
    <w:basedOn w:val="Heading2"/>
    <w:autoRedefine/>
    <w:pPr>
      <w:spacing w:after="0"/>
    </w:pPr>
    <w:rPr>
      <w:bCs/>
      <w:snapToGrid/>
      <w:szCs w:val="20"/>
    </w:rPr>
  </w:style>
  <w:style w:type="paragraph" w:customStyle="1" w:styleId="StyleStyleHeading2SubParaaHeading2Char1CharSubParaaCha">
    <w:name w:val="Style Style Heading 2SubPara (a)Heading 2 Char1 CharSubPara (a) Cha..."/>
    <w:basedOn w:val="StyleHeading2SubParaaHeading2Char1CharSubParaaChar1"/>
  </w:style>
  <w:style w:type="paragraph" w:customStyle="1" w:styleId="StyleHeading4Left0Firstline0">
    <w:name w:val="Style Heading 4 + Left:  0&quot; First line:  0&quot;"/>
    <w:basedOn w:val="Heading4"/>
    <w:autoRedefine/>
    <w:pPr>
      <w:spacing w:after="0"/>
      <w:ind w:left="720"/>
    </w:pPr>
    <w:rPr>
      <w:b w:val="0"/>
      <w:bCs/>
      <w:snapToGrid/>
    </w:rPr>
  </w:style>
  <w:style w:type="paragraph" w:styleId="ListBullet2">
    <w:name w:val="List Bullet 2"/>
    <w:basedOn w:val="Normal"/>
    <w:semiHidden/>
    <w:pPr>
      <w:tabs>
        <w:tab w:val="num" w:pos="643"/>
      </w:tabs>
      <w:spacing w:after="0"/>
      <w:ind w:left="643" w:hanging="360"/>
    </w:pPr>
    <w:rPr>
      <w:color w:val="auto"/>
      <w:szCs w:val="24"/>
      <w:lang w:eastAsia="en-GB"/>
    </w:rPr>
  </w:style>
  <w:style w:type="paragraph" w:styleId="ListBullet3">
    <w:name w:val="List Bullet 3"/>
    <w:basedOn w:val="Normal"/>
    <w:semiHidden/>
    <w:pPr>
      <w:tabs>
        <w:tab w:val="num" w:pos="926"/>
      </w:tabs>
      <w:spacing w:after="0"/>
      <w:ind w:left="926" w:hanging="360"/>
    </w:pPr>
    <w:rPr>
      <w:color w:val="auto"/>
      <w:szCs w:val="24"/>
      <w:lang w:eastAsia="en-GB"/>
    </w:rPr>
  </w:style>
  <w:style w:type="paragraph" w:styleId="ListBullet4">
    <w:name w:val="List Bullet 4"/>
    <w:basedOn w:val="Normal"/>
    <w:semiHidden/>
    <w:pPr>
      <w:tabs>
        <w:tab w:val="num" w:pos="1209"/>
      </w:tabs>
      <w:spacing w:after="0"/>
      <w:ind w:left="1209" w:hanging="360"/>
    </w:pPr>
    <w:rPr>
      <w:color w:val="auto"/>
      <w:szCs w:val="24"/>
      <w:lang w:eastAsia="en-GB"/>
    </w:rPr>
  </w:style>
  <w:style w:type="paragraph" w:customStyle="1" w:styleId="ECMSHeading1">
    <w:name w:val="ECMS Heading 1"/>
    <w:basedOn w:val="Heading1"/>
    <w:pPr>
      <w:spacing w:after="1080"/>
      <w:ind w:left="0" w:firstLine="0"/>
    </w:pPr>
    <w:rPr>
      <w:rFonts w:ascii="Garamond" w:hAnsi="Garamond" w:cs="Arial"/>
      <w:bCs/>
      <w:color w:val="auto"/>
      <w:sz w:val="48"/>
      <w:szCs w:val="18"/>
      <w:lang w:eastAsia="en-GB"/>
    </w:rPr>
  </w:style>
  <w:style w:type="paragraph" w:customStyle="1" w:styleId="ECMStableheader">
    <w:name w:val="ECMS table header"/>
    <w:basedOn w:val="Normal"/>
    <w:pPr>
      <w:spacing w:after="0"/>
      <w:ind w:left="1320" w:hanging="1320"/>
    </w:pPr>
    <w:rPr>
      <w:b/>
      <w:color w:val="auto"/>
      <w:szCs w:val="24"/>
      <w:lang w:eastAsia="en-GB"/>
    </w:rPr>
  </w:style>
  <w:style w:type="paragraph" w:customStyle="1" w:styleId="Paralevel3">
    <w:name w:val="Para level3"/>
    <w:basedOn w:val="Normal"/>
    <w:autoRedefine/>
    <w:pPr>
      <w:numPr>
        <w:numId w:val="26"/>
      </w:numPr>
      <w:tabs>
        <w:tab w:val="clear" w:pos="2892"/>
        <w:tab w:val="num" w:pos="360"/>
      </w:tabs>
      <w:suppressAutoHyphens/>
      <w:spacing w:after="120"/>
      <w:ind w:left="0" w:firstLine="0"/>
    </w:pPr>
    <w:rPr>
      <w:color w:val="auto"/>
      <w:sz w:val="20"/>
      <w:lang w:eastAsia="en-US"/>
    </w:rPr>
  </w:style>
  <w:style w:type="character" w:customStyle="1" w:styleId="ANNEXESChar">
    <w:name w:val="ANNEXES Char"/>
    <w:rPr>
      <w:b/>
      <w:noProof w:val="0"/>
      <w:color w:val="000000"/>
      <w:sz w:val="28"/>
      <w:lang w:val="en-GB" w:eastAsia="zh-CN" w:bidi="ar-SA"/>
    </w:rPr>
  </w:style>
  <w:style w:type="character" w:customStyle="1" w:styleId="BodyTextChar">
    <w:name w:val="Body Text Char"/>
    <w:aliases w:val=" Char Char Char,Char Char Char,Body Text Char Char Char Char Char Char,Body Text Char Char Char Char Char1"/>
    <w:uiPriority w:val="99"/>
    <w:rPr>
      <w:rFonts w:ascii="Times New Roman" w:hAnsi="Times New Roman"/>
      <w:noProof w:val="0"/>
      <w:color w:val="000000"/>
      <w:lang w:val="en-GB" w:eastAsia="zh-CN"/>
    </w:rPr>
  </w:style>
  <w:style w:type="character" w:customStyle="1" w:styleId="BodyTextIndentChar">
    <w:name w:val="Body Text Indent Char"/>
    <w:rPr>
      <w:rFonts w:ascii="Times New Roman" w:hAnsi="Times New Roman"/>
      <w:noProof w:val="0"/>
      <w:color w:val="000000"/>
      <w:lang w:val="en-GB" w:eastAsia="zh-CN"/>
    </w:rPr>
  </w:style>
  <w:style w:type="paragraph" w:customStyle="1" w:styleId="ColorfulShading-Accent31">
    <w:name w:val="Colorful Shading - Accent 31"/>
    <w:basedOn w:val="Normal"/>
    <w:qFormat/>
    <w:pPr>
      <w:spacing w:after="0"/>
    </w:pPr>
    <w:rPr>
      <w:rFonts w:ascii="Cambria" w:eastAsia="Cambria" w:hAnsi="Cambria"/>
      <w:color w:val="auto"/>
      <w:sz w:val="24"/>
      <w:lang w:val="en-US"/>
    </w:rPr>
  </w:style>
  <w:style w:type="paragraph" w:customStyle="1" w:styleId="summarylevel3">
    <w:name w:val="summary level3"/>
    <w:basedOn w:val="Heading3"/>
    <w:next w:val="Normal"/>
    <w:pPr>
      <w:keepLines w:val="0"/>
      <w:suppressLineNumbers/>
      <w:spacing w:before="100"/>
    </w:pPr>
    <w:rPr>
      <w:rFonts w:ascii="Times New Roman Bold" w:hAnsi="Times New Roman Bold"/>
      <w:snapToGrid/>
      <w:lang w:val="en-AU"/>
    </w:rPr>
  </w:style>
  <w:style w:type="paragraph" w:customStyle="1" w:styleId="intro">
    <w:name w:val="intro"/>
    <w:basedOn w:val="Normal"/>
    <w:pPr>
      <w:spacing w:before="100" w:after="100"/>
    </w:pPr>
    <w:rPr>
      <w:color w:val="auto"/>
      <w:sz w:val="24"/>
      <w:lang w:val="en-US" w:eastAsia="ja-JP"/>
    </w:rPr>
  </w:style>
  <w:style w:type="paragraph" w:customStyle="1" w:styleId="BodyTextLeft">
    <w:name w:val="Body Text Left"/>
    <w:basedOn w:val="Normal"/>
    <w:pPr>
      <w:widowControl w:val="0"/>
    </w:pPr>
    <w:rPr>
      <w:rFonts w:eastAsia="MS Mincho"/>
      <w:color w:val="auto"/>
      <w:kern w:val="2"/>
      <w:sz w:val="24"/>
      <w:lang w:eastAsia="ja-JP"/>
    </w:rPr>
  </w:style>
  <w:style w:type="paragraph" w:customStyle="1" w:styleId="bullet0">
    <w:name w:val="bullet"/>
    <w:basedOn w:val="Normal"/>
    <w:autoRedefine/>
    <w:pPr>
      <w:spacing w:after="0"/>
      <w:ind w:left="1080"/>
    </w:pPr>
    <w:rPr>
      <w:color w:val="auto"/>
      <w:sz w:val="24"/>
    </w:rPr>
  </w:style>
  <w:style w:type="paragraph" w:customStyle="1" w:styleId="ExecSumHeading">
    <w:name w:val="Exec Sum Heading"/>
    <w:basedOn w:val="Heading1"/>
    <w:pPr>
      <w:widowControl w:val="0"/>
      <w:tabs>
        <w:tab w:val="left" w:pos="851"/>
      </w:tabs>
      <w:spacing w:before="240"/>
    </w:pPr>
    <w:rPr>
      <w:rFonts w:ascii="Times New Roman Bold" w:eastAsia="MS Mincho" w:hAnsi="Times New Roman Bold"/>
      <w:color w:val="auto"/>
      <w:kern w:val="32"/>
      <w:sz w:val="30"/>
    </w:rPr>
  </w:style>
  <w:style w:type="character" w:customStyle="1" w:styleId="text">
    <w:name w:val="text"/>
    <w:basedOn w:val="DefaultParagraphFont"/>
  </w:style>
  <w:style w:type="paragraph" w:customStyle="1" w:styleId="StyleHeading1Para1Heading1Char1CharHeading1CharCharC">
    <w:name w:val="Style Heading 1Para (1)Heading 1 Char1 CharHeading 1 Char Char C..."/>
    <w:basedOn w:val="Heading1"/>
    <w:pPr>
      <w:tabs>
        <w:tab w:val="left" w:pos="851"/>
      </w:tabs>
      <w:spacing w:before="240" w:after="60"/>
    </w:pPr>
    <w:rPr>
      <w:rFonts w:ascii="Times New Roman Bold" w:hAnsi="Times New Roman Bold"/>
      <w:kern w:val="32"/>
      <w:sz w:val="30"/>
      <w:lang w:val="en-US"/>
    </w:rPr>
  </w:style>
  <w:style w:type="character" w:customStyle="1" w:styleId="StyleHeading1Para1Heading1Char1CharHeading1CharCharCChar">
    <w:name w:val="Style Heading 1Para (1)Heading 1 Char1 CharHeading 1 Char Char C... Char"/>
    <w:rPr>
      <w:rFonts w:cs="Arial"/>
      <w:b/>
      <w:bCs/>
      <w:noProof w:val="0"/>
      <w:color w:val="000000"/>
      <w:kern w:val="32"/>
      <w:sz w:val="28"/>
      <w:szCs w:val="32"/>
      <w:lang w:val="en-US" w:eastAsia="en-US" w:bidi="ar-SA"/>
    </w:rPr>
  </w:style>
  <w:style w:type="paragraph" w:customStyle="1" w:styleId="StyleBodyTextLeftAfter0pt">
    <w:name w:val="Style Body Text Left + After:  0 pt"/>
    <w:basedOn w:val="BodyTextLeft"/>
    <w:rPr>
      <w:lang w:eastAsia="zh-CN"/>
    </w:rPr>
  </w:style>
  <w:style w:type="paragraph" w:customStyle="1" w:styleId="StyleBodyTextIndent2Firstline0cm">
    <w:name w:val="Style Body Text Indent 2 + First line:  0 cm"/>
    <w:basedOn w:val="BodyTextIndent2"/>
    <w:pPr>
      <w:spacing w:after="240"/>
      <w:ind w:firstLine="0"/>
    </w:pPr>
  </w:style>
  <w:style w:type="paragraph" w:customStyle="1" w:styleId="StyleBodyTextIndent2Firstline0cm1">
    <w:name w:val="Style Body Text Indent 2 + First line:  0 cm1"/>
    <w:basedOn w:val="BodyTextIndent2"/>
    <w:pPr>
      <w:spacing w:after="240"/>
      <w:ind w:firstLine="0"/>
    </w:pPr>
  </w:style>
  <w:style w:type="paragraph" w:customStyle="1" w:styleId="NormalBold">
    <w:name w:val="Normal + Bold"/>
    <w:aliases w:val="Italic,Centered"/>
    <w:basedOn w:val="Execlevel3"/>
    <w:pPr>
      <w:spacing w:after="240"/>
      <w:jc w:val="center"/>
    </w:pPr>
  </w:style>
  <w:style w:type="paragraph" w:styleId="List5">
    <w:name w:val="List 5"/>
    <w:basedOn w:val="Normal"/>
    <w:semiHidden/>
    <w:pPr>
      <w:tabs>
        <w:tab w:val="left" w:pos="4680"/>
        <w:tab w:val="right" w:pos="9360"/>
      </w:tabs>
      <w:spacing w:before="220" w:after="0" w:line="220" w:lineRule="exact"/>
      <w:ind w:left="1800" w:hanging="360"/>
      <w:jc w:val="both"/>
    </w:pPr>
    <w:rPr>
      <w:rFonts w:ascii="Arial" w:hAnsi="Arial"/>
      <w:color w:val="auto"/>
      <w:lang w:val="en-US"/>
    </w:rPr>
  </w:style>
  <w:style w:type="paragraph" w:customStyle="1" w:styleId="enclosures">
    <w:name w:val="enclosures"/>
    <w:basedOn w:val="Normal"/>
    <w:next w:val="Normal"/>
    <w:rsid w:val="00255612"/>
    <w:pPr>
      <w:tabs>
        <w:tab w:val="left" w:pos="720"/>
        <w:tab w:val="right" w:pos="9360"/>
      </w:tabs>
      <w:spacing w:after="0"/>
    </w:pPr>
    <w:rPr>
      <w:rFonts w:ascii="Helvetica" w:hAnsi="Helvetica"/>
      <w:color w:val="auto"/>
      <w:lang w:val="en-US"/>
    </w:rPr>
  </w:style>
  <w:style w:type="character" w:customStyle="1" w:styleId="CommentTextChar1">
    <w:name w:val="Comment Text Char1"/>
    <w:rPr>
      <w:rFonts w:cs="Times New Roman"/>
      <w:noProof w:val="0"/>
      <w:sz w:val="24"/>
      <w:lang w:val="en-US" w:eastAsia="ja-JP"/>
    </w:rPr>
  </w:style>
  <w:style w:type="character" w:customStyle="1" w:styleId="CommentTextChar">
    <w:name w:val="Comment Text Char"/>
    <w:uiPriority w:val="99"/>
    <w:rPr>
      <w:rFonts w:ascii="Times New Roman" w:hAnsi="Times New Roman" w:cs="Times New Roman"/>
      <w:noProof w:val="0"/>
      <w:sz w:val="24"/>
      <w:lang w:val="x-none" w:eastAsia="ja-JP"/>
    </w:rPr>
  </w:style>
  <w:style w:type="character" w:customStyle="1" w:styleId="BalloonTextChar">
    <w:name w:val="Balloon Text Char"/>
    <w:uiPriority w:val="99"/>
    <w:rPr>
      <w:rFonts w:ascii="Tahoma" w:hAnsi="Tahoma" w:cs="MS Mincho"/>
      <w:sz w:val="16"/>
    </w:rPr>
  </w:style>
  <w:style w:type="character" w:customStyle="1" w:styleId="CommentSubjectChar">
    <w:name w:val="Comment Subject Char"/>
    <w:uiPriority w:val="99"/>
    <w:rPr>
      <w:rFonts w:eastAsia="Times New Roman" w:cs="Times New Roman"/>
      <w:b/>
      <w:bCs/>
      <w:noProof w:val="0"/>
      <w:sz w:val="24"/>
      <w:lang w:val="en-US" w:eastAsia="ja-JP"/>
    </w:rPr>
  </w:style>
  <w:style w:type="character" w:customStyle="1" w:styleId="Heading5Char">
    <w:name w:val="Heading 5 Char"/>
    <w:aliases w:val="Subpara 2 Char"/>
    <w:uiPriority w:val="9"/>
    <w:rPr>
      <w:rFonts w:ascii="Cambria" w:eastAsia="Times New Roman" w:hAnsi="Cambria" w:cs="Times New Roman"/>
      <w:color w:val="243F60"/>
    </w:rPr>
  </w:style>
  <w:style w:type="character" w:customStyle="1" w:styleId="Heading6Char">
    <w:name w:val="Heading 6 Char"/>
    <w:aliases w:val="Subpara 3 Char"/>
    <w:uiPriority w:val="9"/>
    <w:rPr>
      <w:rFonts w:ascii="Cambria" w:eastAsia="Times New Roman" w:hAnsi="Cambria" w:cs="Times New Roman"/>
      <w:i/>
      <w:iCs/>
      <w:color w:val="243F60"/>
    </w:rPr>
  </w:style>
  <w:style w:type="character" w:customStyle="1" w:styleId="Heading7Char">
    <w:name w:val="Heading 7 Char"/>
    <w:aliases w:val="Subpara 4 Char"/>
    <w:uiPriority w:val="9"/>
    <w:rPr>
      <w:rFonts w:ascii="Cambria" w:eastAsia="Times New Roman" w:hAnsi="Cambria" w:cs="Times New Roman"/>
      <w:i/>
      <w:iCs/>
      <w:color w:val="404040"/>
    </w:rPr>
  </w:style>
  <w:style w:type="character" w:customStyle="1" w:styleId="Heading8Char">
    <w:name w:val="Heading 8 Char"/>
    <w:aliases w:val="Subpara 5 Char"/>
    <w:uiPriority w:val="9"/>
    <w:rPr>
      <w:rFonts w:ascii="Cambria" w:eastAsia="Times New Roman" w:hAnsi="Cambria" w:cs="Times New Roman"/>
      <w:color w:val="404040"/>
      <w:sz w:val="20"/>
      <w:szCs w:val="20"/>
    </w:rPr>
  </w:style>
  <w:style w:type="character" w:customStyle="1" w:styleId="Heading9Char">
    <w:name w:val="Heading 9 Char"/>
    <w:aliases w:val="Subpara 6 Char"/>
    <w:uiPriority w:val="9"/>
    <w:rPr>
      <w:rFonts w:ascii="Cambria" w:eastAsia="Times New Roman" w:hAnsi="Cambria" w:cs="Times New Roman"/>
      <w:i/>
      <w:iCs/>
      <w:color w:val="404040"/>
      <w:sz w:val="20"/>
      <w:szCs w:val="20"/>
    </w:rPr>
  </w:style>
  <w:style w:type="paragraph" w:customStyle="1" w:styleId="Paraindent">
    <w:name w:val="Para indent"/>
    <w:basedOn w:val="Normal"/>
    <w:qFormat/>
    <w:pPr>
      <w:widowControl w:val="0"/>
      <w:spacing w:before="120" w:after="120"/>
      <w:ind w:left="709" w:right="720"/>
      <w:jc w:val="both"/>
    </w:pPr>
    <w:rPr>
      <w:i/>
      <w:sz w:val="20"/>
    </w:rPr>
  </w:style>
  <w:style w:type="paragraph" w:customStyle="1" w:styleId="BulletsinTable">
    <w:name w:val="Bullets in Table"/>
    <w:basedOn w:val="ListParagraph1"/>
    <w:qFormat/>
    <w:pPr>
      <w:numPr>
        <w:numId w:val="9"/>
      </w:numPr>
      <w:autoSpaceDE w:val="0"/>
      <w:autoSpaceDN w:val="0"/>
      <w:adjustRightInd w:val="0"/>
      <w:ind w:left="720" w:right="720"/>
      <w:jc w:val="left"/>
    </w:pPr>
    <w:rPr>
      <w:rFonts w:ascii="Times New Roman" w:eastAsia="Times New Roman" w:hAnsi="Times New Roman"/>
      <w:i/>
      <w:color w:val="000000"/>
      <w:sz w:val="20"/>
      <w:lang w:val="en"/>
    </w:rPr>
  </w:style>
  <w:style w:type="paragraph" w:customStyle="1" w:styleId="Annex">
    <w:name w:val="Annex"/>
    <w:basedOn w:val="Caption"/>
    <w:qFormat/>
    <w:pPr>
      <w:spacing w:before="100" w:after="100" w:line="240" w:lineRule="auto"/>
      <w:ind w:left="426" w:right="720"/>
    </w:pPr>
    <w:rPr>
      <w:b/>
      <w:caps/>
      <w:color w:val="auto"/>
      <w:sz w:val="20"/>
    </w:rPr>
  </w:style>
  <w:style w:type="paragraph" w:customStyle="1" w:styleId="Tableandfigureheadings">
    <w:name w:val="Table and figure headings"/>
    <w:basedOn w:val="TableofFigures"/>
    <w:qFormat/>
    <w:pPr>
      <w:keepNext/>
      <w:ind w:left="0" w:right="720" w:firstLine="0"/>
      <w:jc w:val="left"/>
    </w:pPr>
    <w:rPr>
      <w:rFonts w:eastAsia="Times New Roman"/>
      <w:i/>
      <w:caps w:val="0"/>
      <w:sz w:val="24"/>
    </w:rPr>
  </w:style>
  <w:style w:type="paragraph" w:customStyle="1" w:styleId="Bulletsnumbered">
    <w:name w:val="Bullets numbered"/>
    <w:basedOn w:val="Paraindent"/>
    <w:qFormat/>
    <w:pPr>
      <w:tabs>
        <w:tab w:val="num" w:pos="720"/>
      </w:tabs>
      <w:ind w:left="1560" w:hanging="720"/>
    </w:pPr>
  </w:style>
  <w:style w:type="paragraph" w:customStyle="1" w:styleId="Style">
    <w:name w:val="Style"/>
    <w:pPr>
      <w:widowControl w:val="0"/>
      <w:numPr>
        <w:numId w:val="29"/>
      </w:numPr>
      <w:tabs>
        <w:tab w:val="clear" w:pos="720"/>
      </w:tabs>
      <w:autoSpaceDE w:val="0"/>
      <w:autoSpaceDN w:val="0"/>
      <w:adjustRightInd w:val="0"/>
      <w:ind w:left="0" w:firstLine="0"/>
    </w:pPr>
    <w:rPr>
      <w:rFonts w:ascii="Arial" w:hAnsi="Arial"/>
      <w:sz w:val="24"/>
      <w:lang w:val="en-GB" w:eastAsia="ko-KR"/>
    </w:rPr>
  </w:style>
  <w:style w:type="paragraph" w:customStyle="1" w:styleId="Chapternumber">
    <w:name w:val="Chapter number"/>
    <w:basedOn w:val="Normal"/>
    <w:pPr>
      <w:widowControl w:val="0"/>
      <w:suppressAutoHyphens/>
      <w:autoSpaceDE w:val="0"/>
      <w:autoSpaceDN w:val="0"/>
      <w:adjustRightInd w:val="0"/>
      <w:spacing w:before="100" w:after="567" w:line="640" w:lineRule="atLeast"/>
      <w:ind w:right="720"/>
      <w:textAlignment w:val="center"/>
    </w:pPr>
    <w:rPr>
      <w:rFonts w:ascii="FrutigerLTStd-Light" w:hAnsi="FrutigerLTStd-Light"/>
      <w:i/>
      <w:sz w:val="60"/>
    </w:rPr>
  </w:style>
  <w:style w:type="paragraph" w:customStyle="1" w:styleId="Tabletext0">
    <w:name w:val="Table text"/>
    <w:basedOn w:val="Normal"/>
    <w:pPr>
      <w:widowControl w:val="0"/>
      <w:suppressAutoHyphens/>
      <w:autoSpaceDE w:val="0"/>
      <w:autoSpaceDN w:val="0"/>
      <w:adjustRightInd w:val="0"/>
      <w:spacing w:before="100" w:after="113" w:line="288" w:lineRule="auto"/>
      <w:ind w:right="720"/>
      <w:textAlignment w:val="center"/>
    </w:pPr>
    <w:rPr>
      <w:rFonts w:ascii="FrutigerLTStd-Light" w:hAnsi="FrutigerLTStd-Light"/>
      <w:i/>
      <w:sz w:val="24"/>
    </w:rPr>
  </w:style>
  <w:style w:type="paragraph" w:customStyle="1" w:styleId="Bodycopynoindent">
    <w:name w:val="Body copy (no indent)"/>
    <w:basedOn w:val="Normal"/>
    <w:pPr>
      <w:widowControl w:val="0"/>
      <w:suppressAutoHyphens/>
      <w:autoSpaceDE w:val="0"/>
      <w:autoSpaceDN w:val="0"/>
      <w:adjustRightInd w:val="0"/>
      <w:spacing w:before="100" w:after="280" w:line="320" w:lineRule="atLeast"/>
      <w:ind w:right="720"/>
      <w:textAlignment w:val="center"/>
    </w:pPr>
    <w:rPr>
      <w:rFonts w:ascii="FrutigerLTStd-Light" w:hAnsi="FrutigerLTStd-Light"/>
      <w:i/>
      <w:sz w:val="24"/>
    </w:rPr>
  </w:style>
  <w:style w:type="paragraph" w:customStyle="1" w:styleId="Bullettext">
    <w:name w:val="Bullet text"/>
    <w:basedOn w:val="Normal"/>
    <w:next w:val="Normal"/>
    <w:pPr>
      <w:widowControl w:val="0"/>
      <w:tabs>
        <w:tab w:val="num" w:pos="851"/>
      </w:tabs>
      <w:suppressAutoHyphens/>
      <w:autoSpaceDE w:val="0"/>
      <w:autoSpaceDN w:val="0"/>
      <w:adjustRightInd w:val="0"/>
      <w:spacing w:before="100" w:after="113" w:line="320" w:lineRule="atLeast"/>
      <w:ind w:left="851" w:right="720" w:hanging="284"/>
      <w:textAlignment w:val="center"/>
    </w:pPr>
    <w:rPr>
      <w:rFonts w:ascii="FrutigerLTStd-Light" w:hAnsi="FrutigerLTStd-Light"/>
      <w:i/>
      <w:sz w:val="24"/>
    </w:rPr>
  </w:style>
  <w:style w:type="paragraph" w:customStyle="1" w:styleId="Bullettextlastline">
    <w:name w:val="Bullet text last line"/>
    <w:basedOn w:val="Normal"/>
    <w:pPr>
      <w:widowControl w:val="0"/>
      <w:tabs>
        <w:tab w:val="num" w:pos="851"/>
      </w:tabs>
      <w:suppressAutoHyphens/>
      <w:autoSpaceDE w:val="0"/>
      <w:autoSpaceDN w:val="0"/>
      <w:adjustRightInd w:val="0"/>
      <w:spacing w:before="100" w:after="280" w:line="320" w:lineRule="atLeast"/>
      <w:ind w:left="851" w:right="720" w:hanging="284"/>
      <w:textAlignment w:val="center"/>
    </w:pPr>
    <w:rPr>
      <w:rFonts w:ascii="FrutigerLTStd-Light" w:hAnsi="FrutigerLTStd-Light"/>
      <w:i/>
      <w:sz w:val="24"/>
    </w:rPr>
  </w:style>
  <w:style w:type="paragraph" w:customStyle="1" w:styleId="Section2numbered">
    <w:name w:val="Section 2 numbered"/>
    <w:pPr>
      <w:tabs>
        <w:tab w:val="num" w:pos="1492"/>
      </w:tabs>
      <w:spacing w:after="227"/>
      <w:ind w:left="1492" w:hanging="360"/>
    </w:pPr>
    <w:rPr>
      <w:rFonts w:ascii="FrutigerLTStd-Light" w:hAnsi="FrutigerLTStd-Light"/>
      <w:color w:val="000000"/>
      <w:sz w:val="24"/>
      <w:lang w:val="en-GB" w:eastAsia="ko-KR"/>
    </w:rPr>
  </w:style>
  <w:style w:type="character" w:customStyle="1" w:styleId="Boldtext">
    <w:name w:val="Bold text"/>
    <w:rPr>
      <w:rFonts w:ascii="FrutigerLTStd-Bold" w:hAnsi="FrutigerLTStd-Bold" w:cs="Verdana"/>
      <w:b/>
      <w:bCs/>
    </w:rPr>
  </w:style>
  <w:style w:type="paragraph" w:customStyle="1" w:styleId="Section3numbered">
    <w:name w:val="Section 3 numbered"/>
    <w:pPr>
      <w:numPr>
        <w:numId w:val="30"/>
      </w:numPr>
      <w:tabs>
        <w:tab w:val="clear" w:pos="720"/>
        <w:tab w:val="num" w:pos="680"/>
      </w:tabs>
      <w:spacing w:after="227"/>
      <w:ind w:left="680" w:hanging="680"/>
    </w:pPr>
    <w:rPr>
      <w:rFonts w:ascii="FrutigerLTStd-Light" w:hAnsi="FrutigerLTStd-Light"/>
      <w:color w:val="000000"/>
      <w:sz w:val="24"/>
      <w:lang w:val="en-GB" w:eastAsia="ko-KR"/>
    </w:rPr>
  </w:style>
  <w:style w:type="paragraph" w:customStyle="1" w:styleId="Section6numbered">
    <w:name w:val="Section 6 numbered"/>
    <w:pPr>
      <w:tabs>
        <w:tab w:val="num" w:pos="0"/>
      </w:tabs>
      <w:spacing w:after="227"/>
      <w:ind w:left="578"/>
    </w:pPr>
    <w:rPr>
      <w:rFonts w:ascii="FrutigerLTStd-Light" w:hAnsi="FrutigerLTStd-Light"/>
      <w:color w:val="000000"/>
      <w:sz w:val="24"/>
      <w:lang w:val="en-GB" w:eastAsia="ko-KR"/>
    </w:rPr>
  </w:style>
  <w:style w:type="paragraph" w:customStyle="1" w:styleId="BasicParagraph">
    <w:name w:val="[Basic Paragraph]"/>
    <w:basedOn w:val="Normal"/>
    <w:pPr>
      <w:widowControl w:val="0"/>
      <w:numPr>
        <w:numId w:val="31"/>
      </w:numPr>
      <w:tabs>
        <w:tab w:val="clear" w:pos="720"/>
      </w:tabs>
      <w:autoSpaceDE w:val="0"/>
      <w:autoSpaceDN w:val="0"/>
      <w:adjustRightInd w:val="0"/>
      <w:spacing w:before="100" w:after="0" w:line="288" w:lineRule="auto"/>
      <w:ind w:left="0" w:right="720" w:firstLine="0"/>
      <w:textAlignment w:val="center"/>
    </w:pPr>
    <w:rPr>
      <w:rFonts w:ascii="Times-Roman" w:hAnsi="Times-Roman"/>
      <w:i/>
      <w:sz w:val="24"/>
      <w:lang w:val="en-US"/>
    </w:rPr>
  </w:style>
  <w:style w:type="character" w:customStyle="1" w:styleId="t1">
    <w:name w:val="t1"/>
    <w:basedOn w:val="DefaultParagraphFont"/>
  </w:style>
  <w:style w:type="paragraph" w:customStyle="1" w:styleId="Bulletstechnologytable">
    <w:name w:val="Bullets technology table"/>
    <w:basedOn w:val="BulletsinTable"/>
    <w:qFormat/>
    <w:pPr>
      <w:ind w:left="175" w:hanging="142"/>
    </w:pPr>
  </w:style>
  <w:style w:type="paragraph" w:customStyle="1" w:styleId="Recommendationsnumbered">
    <w:name w:val="Recommendations numbered"/>
    <w:basedOn w:val="Bulletsnumbered"/>
    <w:qFormat/>
    <w:pPr>
      <w:ind w:left="1134" w:hanging="425"/>
    </w:pPr>
  </w:style>
  <w:style w:type="paragraph" w:customStyle="1" w:styleId="wbtbullet1">
    <w:name w:val="wbtbullet1"/>
    <w:basedOn w:val="Normal"/>
    <w:pPr>
      <w:spacing w:before="100" w:after="0"/>
      <w:ind w:right="720"/>
      <w:jc w:val="both"/>
    </w:pPr>
    <w:rPr>
      <w:rFonts w:ascii="Verdana" w:hAnsi="Verdana"/>
      <w:i/>
      <w:color w:val="auto"/>
      <w:sz w:val="16"/>
    </w:rPr>
  </w:style>
  <w:style w:type="paragraph" w:customStyle="1" w:styleId="Box">
    <w:name w:val="Box"/>
    <w:basedOn w:val="BodyText"/>
    <w:qFormat/>
    <w:pPr>
      <w:numPr>
        <w:ilvl w:val="1"/>
        <w:numId w:val="7"/>
      </w:numPr>
      <w:pBdr>
        <w:top w:val="single" w:sz="4" w:space="1" w:color="auto"/>
        <w:left w:val="single" w:sz="4" w:space="4" w:color="auto"/>
        <w:bottom w:val="single" w:sz="4" w:space="1" w:color="auto"/>
        <w:right w:val="single" w:sz="4" w:space="4" w:color="auto"/>
      </w:pBdr>
      <w:spacing w:before="100" w:after="0" w:line="240" w:lineRule="auto"/>
      <w:ind w:right="720"/>
    </w:pPr>
    <w:rPr>
      <w:rFonts w:ascii="Calibri" w:hAnsi="Calibri"/>
      <w:i/>
      <w:color w:val="auto"/>
      <w:spacing w:val="-2"/>
      <w:sz w:val="18"/>
      <w:lang w:val="en-US"/>
    </w:rPr>
  </w:style>
  <w:style w:type="character" w:customStyle="1" w:styleId="content1">
    <w:name w:val="content1"/>
    <w:rPr>
      <w:rFonts w:ascii="Trebuchet MS" w:hAnsi="Trebuchet MS" w:hint="default"/>
      <w:color w:val="292929"/>
      <w:sz w:val="18"/>
      <w:szCs w:val="18"/>
    </w:rPr>
  </w:style>
  <w:style w:type="character" w:customStyle="1" w:styleId="smbody1">
    <w:name w:val="smbody1"/>
    <w:rPr>
      <w:rFonts w:ascii="Verdana" w:hAnsi="Verdana" w:hint="default"/>
      <w:color w:val="333333"/>
      <w:sz w:val="15"/>
      <w:szCs w:val="15"/>
    </w:rPr>
  </w:style>
  <w:style w:type="paragraph" w:customStyle="1" w:styleId="Text0">
    <w:name w:val="Text"/>
    <w:basedOn w:val="Normal"/>
    <w:pPr>
      <w:spacing w:before="100" w:after="0"/>
      <w:ind w:right="720"/>
      <w:jc w:val="both"/>
    </w:pPr>
    <w:rPr>
      <w:rFonts w:ascii="Arial" w:hAnsi="Arial"/>
      <w:i/>
      <w:color w:val="auto"/>
      <w:sz w:val="18"/>
      <w:lang w:val="en-US"/>
    </w:rPr>
  </w:style>
  <w:style w:type="paragraph" w:customStyle="1" w:styleId="SimonUberschrift">
    <w:name w:val="Simon Uberschrift"/>
    <w:basedOn w:val="Heading3"/>
    <w:next w:val="Heading1"/>
    <w:pPr>
      <w:keepLines w:val="0"/>
      <w:numPr>
        <w:ilvl w:val="2"/>
        <w:numId w:val="1"/>
      </w:numPr>
      <w:tabs>
        <w:tab w:val="num" w:pos="1800"/>
      </w:tabs>
      <w:spacing w:before="240" w:after="60"/>
      <w:ind w:left="1440" w:firstLine="0"/>
    </w:pPr>
    <w:rPr>
      <w:b w:val="0"/>
      <w:i/>
      <w:snapToGrid/>
    </w:rPr>
  </w:style>
  <w:style w:type="character" w:customStyle="1" w:styleId="TitleChar">
    <w:name w:val="Title Char"/>
    <w:uiPriority w:val="10"/>
    <w:rPr>
      <w:rFonts w:ascii="Arial" w:eastAsia="Times New Roman" w:hAnsi="Arial" w:cs="Arial"/>
      <w:b/>
      <w:bCs/>
      <w:kern w:val="28"/>
      <w:sz w:val="28"/>
      <w:szCs w:val="32"/>
      <w:lang w:eastAsia="en-US"/>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pacing w:before="100" w:after="100"/>
      <w:ind w:right="720"/>
      <w:jc w:val="both"/>
      <w:textAlignment w:val="top"/>
    </w:pPr>
    <w:rPr>
      <w:rFonts w:ascii="Arial" w:eastAsia="Arial Unicode MS" w:hAnsi="Arial"/>
      <w:i/>
      <w:color w:val="auto"/>
      <w:sz w:val="18"/>
      <w:lang w:val="en-US"/>
    </w:rPr>
  </w:style>
  <w:style w:type="paragraph" w:customStyle="1" w:styleId="xl23">
    <w:name w:val="xl23"/>
    <w:basedOn w:val="Normal"/>
    <w:pPr>
      <w:pBdr>
        <w:top w:val="single" w:sz="4" w:space="0" w:color="auto"/>
        <w:left w:val="single" w:sz="4" w:space="0" w:color="auto"/>
        <w:bottom w:val="single" w:sz="4" w:space="0" w:color="auto"/>
        <w:right w:val="single" w:sz="4" w:space="0" w:color="auto"/>
      </w:pBdr>
      <w:spacing w:before="100" w:after="100"/>
      <w:ind w:right="720"/>
      <w:jc w:val="both"/>
      <w:textAlignment w:val="top"/>
    </w:pPr>
    <w:rPr>
      <w:rFonts w:ascii="Arial" w:eastAsia="Arial Unicode MS" w:hAnsi="Arial"/>
      <w:i/>
      <w:color w:val="auto"/>
      <w:sz w:val="18"/>
      <w:lang w:val="en-US"/>
    </w:rPr>
  </w:style>
  <w:style w:type="character" w:customStyle="1" w:styleId="BodyText3Char">
    <w:name w:val="Body Text 3 Char"/>
    <w:rPr>
      <w:rFonts w:ascii="Arial" w:eastAsia="Times New Roman" w:hAnsi="Arial" w:cs="Times New Roman"/>
      <w:sz w:val="16"/>
      <w:szCs w:val="16"/>
      <w:lang w:eastAsia="en-US"/>
    </w:rPr>
  </w:style>
  <w:style w:type="paragraph" w:customStyle="1" w:styleId="TablesinAnnexlandscape">
    <w:name w:val="Tables in Annex landscape"/>
    <w:basedOn w:val="Table"/>
    <w:qFormat/>
    <w:pPr>
      <w:keepLines w:val="0"/>
      <w:spacing w:before="120" w:after="120"/>
      <w:ind w:left="709" w:right="720"/>
    </w:pPr>
    <w:rPr>
      <w:b/>
      <w:i/>
      <w:snapToGrid/>
    </w:rPr>
  </w:style>
  <w:style w:type="paragraph" w:customStyle="1" w:styleId="Tablefootnote">
    <w:name w:val="Table footnote"/>
    <w:basedOn w:val="Normal"/>
    <w:qFormat/>
    <w:pPr>
      <w:tabs>
        <w:tab w:val="left" w:pos="3000"/>
      </w:tabs>
      <w:spacing w:before="100" w:after="0"/>
      <w:ind w:left="709" w:right="720"/>
    </w:pPr>
    <w:rPr>
      <w:i/>
      <w:color w:val="auto"/>
      <w:sz w:val="18"/>
    </w:rPr>
  </w:style>
  <w:style w:type="paragraph" w:customStyle="1" w:styleId="TableinfrontwithmeandKJ">
    <w:name w:val="Table in front with me and KJ"/>
    <w:basedOn w:val="Normal"/>
    <w:qFormat/>
    <w:pPr>
      <w:spacing w:before="60" w:after="60"/>
      <w:ind w:right="720"/>
    </w:pPr>
    <w:rPr>
      <w:i/>
      <w:color w:val="auto"/>
      <w:sz w:val="18"/>
    </w:rPr>
  </w:style>
  <w:style w:type="paragraph" w:customStyle="1" w:styleId="ParaindentItalicsubheader">
    <w:name w:val="Para indent Italic subheader"/>
    <w:basedOn w:val="Paraindent"/>
    <w:qFormat/>
    <w:rPr>
      <w:i w:val="0"/>
    </w:rPr>
  </w:style>
  <w:style w:type="paragraph" w:customStyle="1" w:styleId="Paratextintable">
    <w:name w:val="Para text in table"/>
    <w:basedOn w:val="Normal"/>
    <w:qFormat/>
    <w:pPr>
      <w:spacing w:before="120" w:after="120"/>
      <w:ind w:right="720"/>
    </w:pPr>
    <w:rPr>
      <w:color w:val="auto"/>
      <w:sz w:val="18"/>
      <w:lang w:val="en-US"/>
    </w:rPr>
  </w:style>
  <w:style w:type="paragraph" w:customStyle="1" w:styleId="Bulletsnumberedintable">
    <w:name w:val="Bullets numbered in table"/>
    <w:basedOn w:val="ListParagraph1"/>
    <w:qFormat/>
    <w:pPr>
      <w:numPr>
        <w:numId w:val="10"/>
      </w:numPr>
      <w:spacing w:before="100" w:after="0"/>
      <w:ind w:right="720"/>
      <w:jc w:val="left"/>
    </w:pPr>
    <w:rPr>
      <w:rFonts w:ascii="Times New Roman" w:eastAsia="Times New Roman" w:hAnsi="Times New Roman"/>
      <w:i/>
      <w:sz w:val="18"/>
      <w:lang w:val="en-US"/>
    </w:rPr>
  </w:style>
  <w:style w:type="paragraph" w:customStyle="1" w:styleId="Paranumbered">
    <w:name w:val="Para numbered"/>
    <w:basedOn w:val="ListParagraph1"/>
    <w:qFormat/>
    <w:pPr>
      <w:numPr>
        <w:numId w:val="11"/>
      </w:numPr>
      <w:spacing w:before="120" w:after="120"/>
      <w:ind w:left="709" w:right="720" w:hanging="709"/>
      <w:jc w:val="left"/>
    </w:pPr>
    <w:rPr>
      <w:rFonts w:ascii="Times New Roman" w:eastAsia="Times New Roman" w:hAnsi="Times New Roman"/>
      <w:i/>
      <w:sz w:val="18"/>
      <w:lang w:val="en-US"/>
    </w:rPr>
  </w:style>
  <w:style w:type="paragraph" w:customStyle="1" w:styleId="Bulletsubindent">
    <w:name w:val="Bullet sub indent"/>
    <w:basedOn w:val="ListParagraph1"/>
    <w:qFormat/>
    <w:pPr>
      <w:numPr>
        <w:numId w:val="0"/>
      </w:numPr>
      <w:autoSpaceDE w:val="0"/>
      <w:autoSpaceDN w:val="0"/>
      <w:adjustRightInd w:val="0"/>
      <w:ind w:left="1985" w:right="720" w:hanging="360"/>
      <w:jc w:val="left"/>
    </w:pPr>
    <w:rPr>
      <w:rFonts w:ascii="Times New Roman" w:eastAsia="Times New Roman" w:hAnsi="Times New Roman"/>
      <w:i/>
      <w:color w:val="000000"/>
      <w:lang w:val="en"/>
    </w:rPr>
  </w:style>
  <w:style w:type="paragraph" w:customStyle="1" w:styleId="TableandFigureVol1">
    <w:name w:val="Table and Figure Vol 1"/>
    <w:basedOn w:val="Caption"/>
    <w:qFormat/>
    <w:pPr>
      <w:keepNext/>
      <w:spacing w:before="100" w:after="120" w:line="240" w:lineRule="auto"/>
      <w:ind w:left="709" w:right="720"/>
      <w:jc w:val="both"/>
    </w:pPr>
    <w:rPr>
      <w:rFonts w:ascii="Calibri" w:hAnsi="Calibri"/>
      <w:b/>
      <w:color w:val="auto"/>
      <w:sz w:val="20"/>
    </w:rPr>
  </w:style>
  <w:style w:type="paragraph" w:customStyle="1" w:styleId="GEFChar">
    <w:name w:val="GEF Char"/>
    <w:basedOn w:val="Normal"/>
    <w:pPr>
      <w:numPr>
        <w:numId w:val="33"/>
      </w:numPr>
      <w:spacing w:before="180" w:after="0" w:line="250" w:lineRule="exact"/>
      <w:ind w:left="0" w:right="720" w:firstLine="0"/>
      <w:jc w:val="both"/>
    </w:pPr>
    <w:rPr>
      <w:i/>
      <w:color w:val="auto"/>
      <w:sz w:val="20"/>
    </w:rPr>
  </w:style>
  <w:style w:type="character" w:customStyle="1" w:styleId="ft">
    <w:name w:val="ft"/>
  </w:style>
  <w:style w:type="character" w:customStyle="1" w:styleId="googqs-tidbit-0">
    <w:name w:val="goog_qs-tidbit-0"/>
    <w:basedOn w:val="DefaultParagraphFont"/>
  </w:style>
  <w:style w:type="character" w:customStyle="1" w:styleId="style81">
    <w:name w:val="style81"/>
    <w:rPr>
      <w:rFonts w:ascii="Verdana" w:hAnsi="Verdana" w:hint="default"/>
      <w:color w:val="008000"/>
      <w:sz w:val="27"/>
      <w:szCs w:val="27"/>
    </w:rPr>
  </w:style>
  <w:style w:type="character" w:customStyle="1" w:styleId="A6">
    <w:name w:val="A6"/>
    <w:rPr>
      <w:rFonts w:cs="Georgia"/>
      <w:color w:val="000000"/>
      <w:sz w:val="20"/>
      <w:szCs w:val="20"/>
    </w:rPr>
  </w:style>
  <w:style w:type="character" w:customStyle="1" w:styleId="googqs-tidbit1">
    <w:name w:val="goog_qs-tidbit1"/>
    <w:rPr>
      <w:vanish w:val="0"/>
      <w:webHidden w:val="0"/>
      <w:specVanish w:val="0"/>
    </w:rPr>
  </w:style>
  <w:style w:type="paragraph" w:customStyle="1" w:styleId="bodytext0">
    <w:name w:val="bodytext"/>
    <w:basedOn w:val="Normal"/>
    <w:pPr>
      <w:spacing w:before="100" w:after="100"/>
      <w:ind w:right="720"/>
    </w:pPr>
    <w:rPr>
      <w:i/>
      <w:color w:val="auto"/>
      <w:sz w:val="24"/>
    </w:rPr>
  </w:style>
  <w:style w:type="paragraph" w:customStyle="1" w:styleId="MeetingInfo">
    <w:name w:val="MeetingInfo"/>
    <w:basedOn w:val="Normal"/>
    <w:pPr>
      <w:pBdr>
        <w:top w:val="single" w:sz="12" w:space="6" w:color="auto"/>
        <w:left w:val="single" w:sz="12" w:space="6" w:color="auto"/>
        <w:bottom w:val="single" w:sz="12" w:space="6" w:color="auto"/>
        <w:right w:val="single" w:sz="12" w:space="6" w:color="auto"/>
      </w:pBdr>
      <w:spacing w:before="120" w:after="120"/>
      <w:ind w:right="720"/>
      <w:jc w:val="center"/>
    </w:pPr>
    <w:rPr>
      <w:b/>
      <w:i/>
      <w:noProof/>
      <w:color w:val="auto"/>
      <w:sz w:val="28"/>
    </w:rPr>
  </w:style>
  <w:style w:type="paragraph" w:customStyle="1" w:styleId="BlankLine">
    <w:name w:val="BlankLine"/>
    <w:basedOn w:val="Normal"/>
    <w:next w:val="Normal"/>
    <w:pPr>
      <w:numPr>
        <w:numId w:val="13"/>
      </w:numPr>
      <w:spacing w:before="100" w:after="0"/>
      <w:ind w:right="720"/>
    </w:pPr>
    <w:rPr>
      <w:i/>
      <w:noProof/>
      <w:color w:val="auto"/>
      <w:sz w:val="18"/>
    </w:rPr>
  </w:style>
  <w:style w:type="character" w:customStyle="1" w:styleId="Bold">
    <w:name w:val="Bold"/>
    <w:rPr>
      <w:b/>
    </w:rPr>
  </w:style>
  <w:style w:type="character" w:customStyle="1" w:styleId="BoldItalic">
    <w:name w:val="Bold Italic"/>
    <w:rPr>
      <w:b/>
      <w:i/>
    </w:rPr>
  </w:style>
  <w:style w:type="character" w:customStyle="1" w:styleId="BoldItalicUnderline">
    <w:name w:val="Bold Italic Underline"/>
    <w:rPr>
      <w:b/>
      <w:i/>
      <w:u w:val="single"/>
    </w:rPr>
  </w:style>
  <w:style w:type="character" w:customStyle="1" w:styleId="BoldUnderline">
    <w:name w:val="Bold Underline"/>
    <w:rPr>
      <w:b/>
      <w:u w:val="single"/>
    </w:rPr>
  </w:style>
  <w:style w:type="paragraph" w:customStyle="1" w:styleId="BoxText">
    <w:name w:val="Box Text"/>
    <w:basedOn w:val="BoxNewPara"/>
    <w:pPr>
      <w:tabs>
        <w:tab w:val="clear" w:pos="425"/>
        <w:tab w:val="left" w:pos="426"/>
      </w:tabs>
    </w:pPr>
  </w:style>
  <w:style w:type="paragraph" w:customStyle="1" w:styleId="BoxNewPara">
    <w:name w:val="Box NewPara"/>
    <w:basedOn w:val="Normal"/>
    <w:next w:val="Normal"/>
    <w:pPr>
      <w:pBdr>
        <w:left w:val="single" w:sz="6" w:space="1" w:color="auto"/>
        <w:right w:val="single" w:sz="6" w:space="1" w:color="auto"/>
      </w:pBdr>
      <w:shd w:val="pct10" w:color="auto" w:fill="auto"/>
      <w:tabs>
        <w:tab w:val="left" w:pos="425"/>
        <w:tab w:val="num" w:pos="720"/>
      </w:tabs>
      <w:spacing w:before="100" w:after="0"/>
      <w:ind w:left="720" w:right="720" w:hanging="360"/>
      <w:jc w:val="both"/>
    </w:pPr>
    <w:rPr>
      <w:i/>
      <w:noProof/>
      <w:color w:val="auto"/>
      <w:sz w:val="20"/>
    </w:rPr>
  </w:style>
  <w:style w:type="paragraph" w:customStyle="1" w:styleId="FigureCaption">
    <w:name w:val="Figure Caption"/>
    <w:basedOn w:val="Normal"/>
    <w:pPr>
      <w:spacing w:before="120" w:after="0"/>
      <w:ind w:right="720"/>
    </w:pPr>
    <w:rPr>
      <w:noProof/>
      <w:color w:val="auto"/>
      <w:sz w:val="18"/>
    </w:rPr>
  </w:style>
  <w:style w:type="paragraph" w:customStyle="1" w:styleId="BoxNote">
    <w:name w:val="Box Note"/>
    <w:basedOn w:val="Normal"/>
    <w:next w:val="Normal"/>
    <w:pPr>
      <w:pBdr>
        <w:left w:val="single" w:sz="6" w:space="1" w:color="auto"/>
        <w:right w:val="single" w:sz="6" w:space="1" w:color="auto"/>
      </w:pBdr>
      <w:shd w:val="pct10" w:color="auto" w:fill="auto"/>
      <w:suppressAutoHyphens/>
      <w:spacing w:before="100" w:after="0"/>
      <w:ind w:right="720"/>
      <w:jc w:val="both"/>
    </w:pPr>
    <w:rPr>
      <w:noProof/>
      <w:color w:val="auto"/>
      <w:sz w:val="20"/>
    </w:rPr>
  </w:style>
  <w:style w:type="paragraph" w:customStyle="1" w:styleId="NewPara">
    <w:name w:val="NewPara"/>
    <w:basedOn w:val="Normal"/>
    <w:next w:val="Normal"/>
    <w:pPr>
      <w:numPr>
        <w:numId w:val="35"/>
      </w:numPr>
      <w:tabs>
        <w:tab w:val="clear" w:pos="720"/>
        <w:tab w:val="left" w:pos="709"/>
      </w:tabs>
      <w:spacing w:before="160" w:after="20"/>
      <w:ind w:left="0" w:right="720" w:firstLine="0"/>
    </w:pPr>
    <w:rPr>
      <w:i/>
      <w:noProof/>
      <w:color w:val="auto"/>
      <w:sz w:val="18"/>
    </w:rPr>
  </w:style>
  <w:style w:type="paragraph" w:customStyle="1" w:styleId="BoxParaTitle">
    <w:name w:val="Box ParaTitle"/>
    <w:basedOn w:val="BoxNote"/>
    <w:rPr>
      <w:b/>
      <w:i/>
    </w:rPr>
  </w:style>
  <w:style w:type="paragraph" w:customStyle="1" w:styleId="BoxRandList1">
    <w:name w:val="Box RandList 1"/>
    <w:basedOn w:val="Normal"/>
    <w:pPr>
      <w:numPr>
        <w:numId w:val="15"/>
      </w:numPr>
      <w:pBdr>
        <w:left w:val="single" w:sz="6" w:space="10" w:color="auto"/>
        <w:right w:val="single" w:sz="6" w:space="10" w:color="auto"/>
      </w:pBdr>
      <w:shd w:val="pct10" w:color="auto" w:fill="auto"/>
      <w:tabs>
        <w:tab w:val="left" w:pos="437"/>
      </w:tabs>
      <w:spacing w:before="100" w:after="0" w:line="360" w:lineRule="auto"/>
      <w:ind w:left="437" w:right="181" w:hanging="256"/>
      <w:jc w:val="both"/>
    </w:pPr>
    <w:rPr>
      <w:i/>
      <w:noProof/>
      <w:color w:val="auto"/>
      <w:sz w:val="20"/>
    </w:rPr>
  </w:style>
  <w:style w:type="paragraph" w:customStyle="1" w:styleId="RandListLev1">
    <w:name w:val="Rand List Lev1"/>
    <w:basedOn w:val="Normal"/>
    <w:pPr>
      <w:numPr>
        <w:numId w:val="12"/>
      </w:numPr>
      <w:tabs>
        <w:tab w:val="left" w:pos="754"/>
      </w:tabs>
      <w:spacing w:before="100" w:after="0"/>
      <w:ind w:left="754" w:right="720" w:hanging="357"/>
    </w:pPr>
    <w:rPr>
      <w:i/>
      <w:noProof/>
      <w:color w:val="auto"/>
      <w:sz w:val="18"/>
    </w:rPr>
  </w:style>
  <w:style w:type="paragraph" w:customStyle="1" w:styleId="BoxRandList2">
    <w:name w:val="Box RandList 2"/>
    <w:basedOn w:val="BoxRandList1"/>
    <w:pPr>
      <w:pBdr>
        <w:left w:val="single" w:sz="6" w:space="20" w:color="auto"/>
        <w:right w:val="single" w:sz="6" w:space="20" w:color="auto"/>
      </w:pBdr>
      <w:tabs>
        <w:tab w:val="left" w:pos="635"/>
      </w:tabs>
      <w:ind w:left="635" w:right="380" w:hanging="255"/>
    </w:pPr>
  </w:style>
  <w:style w:type="paragraph" w:customStyle="1" w:styleId="BoxRandList3">
    <w:name w:val="Box RandList 3"/>
    <w:basedOn w:val="BoxRandList2"/>
    <w:pPr>
      <w:pBdr>
        <w:left w:val="single" w:sz="6" w:space="29" w:color="auto"/>
        <w:right w:val="single" w:sz="6" w:space="30" w:color="auto"/>
      </w:pBdr>
      <w:tabs>
        <w:tab w:val="left" w:pos="816"/>
      </w:tabs>
      <w:ind w:left="816" w:right="584"/>
    </w:pPr>
  </w:style>
  <w:style w:type="paragraph" w:customStyle="1" w:styleId="BoxSeqList1">
    <w:name w:val="Box SeqList 1"/>
    <w:basedOn w:val="Normal"/>
    <w:pPr>
      <w:numPr>
        <w:numId w:val="36"/>
      </w:numPr>
      <w:pBdr>
        <w:left w:val="single" w:sz="6" w:space="8" w:color="auto"/>
        <w:right w:val="single" w:sz="6" w:space="10" w:color="auto"/>
      </w:pBdr>
      <w:shd w:val="pct10" w:color="auto" w:fill="auto"/>
      <w:tabs>
        <w:tab w:val="num" w:pos="567"/>
      </w:tabs>
      <w:spacing w:before="100" w:after="0" w:line="360" w:lineRule="auto"/>
      <w:ind w:left="567" w:right="181" w:hanging="425"/>
      <w:jc w:val="both"/>
    </w:pPr>
    <w:rPr>
      <w:i/>
      <w:noProof/>
      <w:color w:val="auto"/>
      <w:sz w:val="20"/>
    </w:rPr>
  </w:style>
  <w:style w:type="paragraph" w:customStyle="1" w:styleId="BoxSeqList3">
    <w:name w:val="Box SeqList 3"/>
    <w:basedOn w:val="BoxSeqList2"/>
    <w:pPr>
      <w:numPr>
        <w:ilvl w:val="0"/>
        <w:numId w:val="34"/>
      </w:numPr>
      <w:pBdr>
        <w:left w:val="single" w:sz="6" w:space="30" w:color="auto"/>
        <w:right w:val="single" w:sz="6" w:space="30" w:color="auto"/>
      </w:pBdr>
      <w:tabs>
        <w:tab w:val="clear" w:pos="720"/>
        <w:tab w:val="num" w:pos="1009"/>
      </w:tabs>
      <w:ind w:left="1009" w:right="584" w:hanging="425"/>
    </w:pPr>
  </w:style>
  <w:style w:type="paragraph" w:customStyle="1" w:styleId="BoxSeqList2">
    <w:name w:val="Box SeqList 2"/>
    <w:basedOn w:val="BoxSeqList1"/>
    <w:pPr>
      <w:numPr>
        <w:ilvl w:val="2"/>
        <w:numId w:val="14"/>
      </w:numPr>
      <w:pBdr>
        <w:left w:val="single" w:sz="6" w:space="20" w:color="auto"/>
      </w:pBdr>
      <w:tabs>
        <w:tab w:val="clear" w:pos="2160"/>
      </w:tabs>
      <w:ind w:hanging="360"/>
    </w:pPr>
  </w:style>
  <w:style w:type="paragraph" w:customStyle="1" w:styleId="TableTitle">
    <w:name w:val="Table Title"/>
    <w:basedOn w:val="Normal"/>
    <w:pPr>
      <w:keepNext/>
      <w:spacing w:before="120" w:after="0"/>
      <w:ind w:right="720"/>
    </w:pPr>
    <w:rPr>
      <w:b/>
      <w:i/>
      <w:noProof/>
      <w:color w:val="auto"/>
      <w:sz w:val="18"/>
    </w:rPr>
  </w:style>
  <w:style w:type="paragraph" w:customStyle="1" w:styleId="TableEntry">
    <w:name w:val="TableEntry"/>
    <w:basedOn w:val="Normal"/>
    <w:pPr>
      <w:numPr>
        <w:ilvl w:val="1"/>
        <w:numId w:val="35"/>
      </w:numPr>
      <w:spacing w:before="80" w:after="0"/>
      <w:ind w:left="0" w:right="720" w:firstLine="0"/>
    </w:pPr>
    <w:rPr>
      <w:i/>
      <w:noProof/>
      <w:color w:val="auto"/>
      <w:sz w:val="18"/>
    </w:rPr>
  </w:style>
  <w:style w:type="paragraph" w:customStyle="1" w:styleId="BoxTitle">
    <w:name w:val="Box Title"/>
    <w:basedOn w:val="Normal"/>
    <w:next w:val="BoxText"/>
    <w:pPr>
      <w:numPr>
        <w:ilvl w:val="3"/>
        <w:numId w:val="35"/>
      </w:numPr>
      <w:pBdr>
        <w:top w:val="single" w:sz="6" w:space="7" w:color="auto"/>
        <w:left w:val="single" w:sz="6" w:space="7" w:color="auto"/>
        <w:right w:val="single" w:sz="6" w:space="7" w:color="auto"/>
      </w:pBdr>
      <w:shd w:val="pct10" w:color="auto" w:fill="auto"/>
      <w:spacing w:before="120" w:after="0" w:line="360" w:lineRule="auto"/>
      <w:ind w:left="119" w:right="119" w:firstLine="0"/>
      <w:jc w:val="center"/>
    </w:pPr>
    <w:rPr>
      <w:b/>
      <w:noProof/>
      <w:color w:val="auto"/>
      <w:sz w:val="20"/>
    </w:rPr>
  </w:style>
  <w:style w:type="character" w:customStyle="1" w:styleId="Chart">
    <w:name w:val="Chart"/>
    <w:basedOn w:val="DefaultParagraphFont"/>
  </w:style>
  <w:style w:type="paragraph" w:customStyle="1" w:styleId="RandListLev2">
    <w:name w:val="Rand List Lev2"/>
    <w:basedOn w:val="RandListLev1"/>
    <w:pPr>
      <w:tabs>
        <w:tab w:val="clear" w:pos="754"/>
        <w:tab w:val="left" w:pos="1134"/>
      </w:tabs>
      <w:ind w:left="1134"/>
    </w:pPr>
  </w:style>
  <w:style w:type="paragraph" w:customStyle="1" w:styleId="RandListLev3">
    <w:name w:val="Rand List Lev3"/>
    <w:basedOn w:val="RandListLev2"/>
    <w:pPr>
      <w:tabs>
        <w:tab w:val="clear" w:pos="1134"/>
        <w:tab w:val="left" w:pos="1559"/>
      </w:tabs>
      <w:ind w:left="1559"/>
    </w:pPr>
  </w:style>
  <w:style w:type="paragraph" w:customStyle="1" w:styleId="RandListLev4">
    <w:name w:val="Rand List Lev4"/>
    <w:basedOn w:val="RandListLev3"/>
    <w:pPr>
      <w:tabs>
        <w:tab w:val="clear" w:pos="1559"/>
        <w:tab w:val="left" w:pos="1984"/>
      </w:tabs>
      <w:ind w:left="1984"/>
    </w:pPr>
  </w:style>
  <w:style w:type="paragraph" w:customStyle="1" w:styleId="DefListHeader">
    <w:name w:val="Def List Header"/>
    <w:basedOn w:val="Normal"/>
    <w:next w:val="Normal"/>
    <w:pPr>
      <w:keepNext/>
      <w:tabs>
        <w:tab w:val="left" w:pos="2835"/>
      </w:tabs>
      <w:spacing w:before="120" w:after="0"/>
      <w:ind w:right="720"/>
    </w:pPr>
    <w:rPr>
      <w:b/>
      <w:i/>
      <w:caps/>
      <w:noProof/>
      <w:color w:val="auto"/>
      <w:sz w:val="28"/>
    </w:rPr>
  </w:style>
  <w:style w:type="paragraph" w:customStyle="1" w:styleId="DefinitionList">
    <w:name w:val="Definition List"/>
    <w:basedOn w:val="Normal"/>
    <w:next w:val="Normal"/>
    <w:pPr>
      <w:tabs>
        <w:tab w:val="left" w:pos="2835"/>
      </w:tabs>
      <w:spacing w:before="120" w:after="0"/>
      <w:ind w:left="2835" w:right="720" w:hanging="2835"/>
    </w:pPr>
    <w:rPr>
      <w:i/>
      <w:noProof/>
      <w:color w:val="auto"/>
      <w:sz w:val="18"/>
    </w:rPr>
  </w:style>
  <w:style w:type="paragraph" w:customStyle="1" w:styleId="DocTitle">
    <w:name w:val="DocTitle"/>
    <w:basedOn w:val="Normal"/>
    <w:next w:val="MeetingInfo"/>
    <w:pPr>
      <w:spacing w:before="120" w:after="480"/>
      <w:ind w:right="720"/>
      <w:jc w:val="center"/>
    </w:pPr>
    <w:rPr>
      <w:i/>
      <w:smallCaps/>
      <w:noProof/>
      <w:color w:val="808080"/>
      <w:sz w:val="56"/>
    </w:rPr>
  </w:style>
  <w:style w:type="paragraph" w:customStyle="1" w:styleId="EndBox">
    <w:name w:val="EndBox"/>
    <w:basedOn w:val="Normal"/>
    <w:next w:val="Normal"/>
    <w:pPr>
      <w:pBdr>
        <w:left w:val="single" w:sz="6" w:space="1" w:color="auto"/>
        <w:bottom w:val="single" w:sz="6" w:space="1" w:color="auto"/>
        <w:right w:val="single" w:sz="6" w:space="1" w:color="auto"/>
      </w:pBdr>
      <w:shd w:val="pct10" w:color="auto" w:fill="auto"/>
      <w:spacing w:before="100" w:after="0"/>
      <w:ind w:right="720"/>
    </w:pPr>
    <w:rPr>
      <w:i/>
      <w:noProof/>
      <w:color w:val="auto"/>
      <w:sz w:val="18"/>
    </w:rPr>
  </w:style>
  <w:style w:type="paragraph" w:customStyle="1" w:styleId="FigInfo-P">
    <w:name w:val="FigInfo-P"/>
    <w:basedOn w:val="Normal"/>
    <w:pPr>
      <w:spacing w:before="120" w:after="0"/>
      <w:ind w:right="720"/>
    </w:pPr>
    <w:rPr>
      <w:i/>
      <w:noProof/>
      <w:color w:val="auto"/>
      <w:sz w:val="18"/>
    </w:rPr>
  </w:style>
  <w:style w:type="paragraph" w:customStyle="1" w:styleId="FigureTitle">
    <w:name w:val="Figure Title"/>
    <w:basedOn w:val="Normal"/>
    <w:pPr>
      <w:keepNext/>
      <w:spacing w:before="120" w:after="0"/>
      <w:ind w:right="720"/>
    </w:pPr>
    <w:rPr>
      <w:b/>
      <w:noProof/>
      <w:color w:val="auto"/>
      <w:sz w:val="18"/>
    </w:rPr>
  </w:style>
  <w:style w:type="character" w:customStyle="1" w:styleId="Graph">
    <w:name w:val="Graph"/>
    <w:basedOn w:val="DefaultParagraphFont"/>
  </w:style>
  <w:style w:type="character" w:customStyle="1" w:styleId="Image">
    <w:name w:val="Image"/>
    <w:basedOn w:val="DefaultParagraphFont"/>
  </w:style>
  <w:style w:type="character" w:customStyle="1" w:styleId="ItalicUnderline">
    <w:name w:val="Italic Underline"/>
    <w:rPr>
      <w:i/>
      <w:u w:val="single"/>
    </w:rPr>
  </w:style>
  <w:style w:type="paragraph" w:customStyle="1" w:styleId="ListHeader">
    <w:name w:val="List Header"/>
    <w:basedOn w:val="Normal"/>
    <w:pPr>
      <w:keepNext/>
      <w:spacing w:before="120" w:after="0"/>
      <w:ind w:right="720"/>
    </w:pPr>
    <w:rPr>
      <w:i/>
      <w:noProof/>
      <w:color w:val="auto"/>
      <w:sz w:val="18"/>
    </w:rPr>
  </w:style>
  <w:style w:type="paragraph" w:customStyle="1" w:styleId="MeetInfo">
    <w:name w:val="MeetInfo"/>
    <w:basedOn w:val="Normal"/>
    <w:next w:val="Normal"/>
    <w:pPr>
      <w:tabs>
        <w:tab w:val="left" w:pos="426"/>
      </w:tabs>
      <w:spacing w:before="60" w:after="0"/>
      <w:ind w:right="720"/>
    </w:pPr>
    <w:rPr>
      <w:i/>
      <w:noProof/>
      <w:color w:val="auto"/>
      <w:sz w:val="18"/>
    </w:rPr>
  </w:style>
  <w:style w:type="paragraph" w:customStyle="1" w:styleId="SpacePara">
    <w:name w:val="SpacePara"/>
    <w:basedOn w:val="Normal"/>
    <w:next w:val="DocTitle"/>
    <w:pPr>
      <w:spacing w:before="100" w:after="0" w:line="480" w:lineRule="auto"/>
      <w:ind w:right="720"/>
    </w:pPr>
    <w:rPr>
      <w:i/>
      <w:noProof/>
      <w:color w:val="auto"/>
      <w:sz w:val="18"/>
    </w:rPr>
  </w:style>
  <w:style w:type="character" w:customStyle="1" w:styleId="NroPara">
    <w:name w:val="NroPara"/>
    <w:basedOn w:val="DefaultParagraphFont"/>
  </w:style>
  <w:style w:type="character" w:customStyle="1" w:styleId="NumBox">
    <w:name w:val="NumBox"/>
    <w:basedOn w:val="DefaultParagraphFont"/>
  </w:style>
  <w:style w:type="character" w:customStyle="1" w:styleId="NumFigure">
    <w:name w:val="NumFigure"/>
    <w:basedOn w:val="DefaultParagraphFont"/>
  </w:style>
  <w:style w:type="character" w:customStyle="1" w:styleId="NumTable">
    <w:name w:val="NumTable"/>
    <w:basedOn w:val="DefaultParagraphFont"/>
  </w:style>
  <w:style w:type="paragraph" w:customStyle="1" w:styleId="PgBrk">
    <w:name w:val="PgBrk"/>
    <w:basedOn w:val="Normal"/>
    <w:next w:val="Heading1"/>
    <w:pPr>
      <w:pageBreakBefore/>
      <w:spacing w:before="120" w:after="0" w:line="14" w:lineRule="exact"/>
      <w:ind w:right="720"/>
    </w:pPr>
    <w:rPr>
      <w:i/>
      <w:noProof/>
      <w:color w:val="auto"/>
      <w:sz w:val="18"/>
    </w:rPr>
  </w:style>
  <w:style w:type="paragraph" w:customStyle="1" w:styleId="StartBack">
    <w:name w:val="StartBack"/>
    <w:basedOn w:val="SpacePara"/>
    <w:next w:val="Normal"/>
  </w:style>
  <w:style w:type="paragraph" w:customStyle="1" w:styleId="StartBody">
    <w:name w:val="StartBody"/>
    <w:basedOn w:val="SpacePara"/>
    <w:next w:val="Normal"/>
  </w:style>
  <w:style w:type="paragraph" w:customStyle="1" w:styleId="TBL-COLMNhd">
    <w:name w:val="TBL-COLMNhd"/>
    <w:basedOn w:val="Normal"/>
    <w:pPr>
      <w:tabs>
        <w:tab w:val="left" w:pos="-720"/>
      </w:tabs>
      <w:suppressAutoHyphens/>
      <w:spacing w:before="60" w:after="20"/>
      <w:ind w:right="720"/>
      <w:jc w:val="center"/>
    </w:pPr>
    <w:rPr>
      <w:b/>
      <w:i/>
      <w:noProof/>
      <w:color w:val="auto"/>
      <w:sz w:val="18"/>
    </w:rPr>
  </w:style>
  <w:style w:type="character" w:customStyle="1" w:styleId="Term">
    <w:name w:val="Term"/>
    <w:rPr>
      <w:b/>
    </w:rPr>
  </w:style>
  <w:style w:type="character" w:customStyle="1" w:styleId="TermHeading">
    <w:name w:val="Term Heading"/>
    <w:rPr>
      <w:b/>
    </w:rPr>
  </w:style>
  <w:style w:type="paragraph" w:customStyle="1" w:styleId="TOCRef">
    <w:name w:val="TOCRef"/>
    <w:basedOn w:val="Normal"/>
    <w:next w:val="TOC1"/>
    <w:pPr>
      <w:spacing w:before="120" w:after="0" w:line="200" w:lineRule="exact"/>
      <w:ind w:right="720"/>
      <w:jc w:val="right"/>
    </w:pPr>
    <w:rPr>
      <w:i/>
      <w:noProof/>
      <w:color w:val="auto"/>
      <w:sz w:val="18"/>
    </w:rPr>
  </w:style>
  <w:style w:type="paragraph" w:customStyle="1" w:styleId="TOCTitle">
    <w:name w:val="TOCTitle"/>
    <w:basedOn w:val="Normal"/>
    <w:next w:val="TOCRef"/>
    <w:pPr>
      <w:pBdr>
        <w:top w:val="single" w:sz="6" w:space="5" w:color="auto"/>
        <w:bottom w:val="single" w:sz="6" w:space="5" w:color="auto"/>
      </w:pBdr>
      <w:spacing w:before="600" w:after="600" w:line="360" w:lineRule="auto"/>
      <w:ind w:left="-170" w:right="-170"/>
      <w:jc w:val="center"/>
    </w:pPr>
    <w:rPr>
      <w:b/>
      <w:i/>
      <w:noProof/>
      <w:color w:val="auto"/>
      <w:sz w:val="28"/>
    </w:rPr>
  </w:style>
  <w:style w:type="character" w:customStyle="1" w:styleId="Underline">
    <w:name w:val="Underline"/>
    <w:rPr>
      <w:u w:val="single"/>
    </w:rPr>
  </w:style>
  <w:style w:type="character" w:customStyle="1" w:styleId="XReference">
    <w:name w:val="XReference"/>
    <w:rPr>
      <w:color w:val="0000FF"/>
    </w:rPr>
  </w:style>
  <w:style w:type="paragraph" w:customStyle="1" w:styleId="Format1">
    <w:name w:val="Format1"/>
    <w:basedOn w:val="Normal"/>
    <w:pPr>
      <w:spacing w:before="60" w:after="0"/>
      <w:ind w:right="720"/>
    </w:pPr>
    <w:rPr>
      <w:rFonts w:ascii="Courier New" w:hAnsi="Courier New"/>
      <w:i/>
      <w:noProof/>
      <w:color w:val="auto"/>
      <w:sz w:val="18"/>
    </w:rPr>
  </w:style>
  <w:style w:type="paragraph" w:customStyle="1" w:styleId="Format2">
    <w:name w:val="Format2"/>
    <w:basedOn w:val="Normal"/>
    <w:pPr>
      <w:spacing w:before="60" w:after="0"/>
      <w:ind w:right="720"/>
    </w:pPr>
    <w:rPr>
      <w:rFonts w:ascii="Courier New" w:hAnsi="Courier New"/>
      <w:i/>
      <w:noProof/>
      <w:color w:val="auto"/>
      <w:sz w:val="16"/>
    </w:rPr>
  </w:style>
  <w:style w:type="paragraph" w:customStyle="1" w:styleId="RightJust">
    <w:name w:val="RightJust"/>
    <w:basedOn w:val="Normal"/>
    <w:pPr>
      <w:spacing w:before="120" w:after="0"/>
      <w:ind w:right="720"/>
      <w:jc w:val="right"/>
    </w:pPr>
    <w:rPr>
      <w:i/>
      <w:noProof/>
      <w:color w:val="auto"/>
      <w:sz w:val="18"/>
    </w:rPr>
  </w:style>
  <w:style w:type="paragraph" w:customStyle="1" w:styleId="BlockQuote">
    <w:name w:val="BlockQuote"/>
    <w:basedOn w:val="Normal"/>
    <w:pPr>
      <w:spacing w:before="60" w:after="0"/>
      <w:ind w:left="284" w:right="284"/>
    </w:pPr>
    <w:rPr>
      <w:noProof/>
      <w:color w:val="auto"/>
      <w:sz w:val="18"/>
    </w:rPr>
  </w:style>
  <w:style w:type="paragraph" w:customStyle="1" w:styleId="BoxBlankLine">
    <w:name w:val="Box BlankLine"/>
    <w:basedOn w:val="BlankLine"/>
    <w:next w:val="Normal"/>
    <w:pPr>
      <w:pBdr>
        <w:left w:val="single" w:sz="6" w:space="1" w:color="auto"/>
        <w:right w:val="single" w:sz="6" w:space="1" w:color="auto"/>
      </w:pBdr>
      <w:shd w:val="pct10" w:color="auto" w:fill="auto"/>
      <w:jc w:val="both"/>
    </w:pPr>
    <w:rPr>
      <w:sz w:val="20"/>
    </w:rPr>
  </w:style>
  <w:style w:type="paragraph" w:customStyle="1" w:styleId="BoxFigCaption">
    <w:name w:val="Box FigCaption"/>
    <w:basedOn w:val="Normal"/>
    <w:pPr>
      <w:shd w:val="pct10" w:color="auto" w:fill="auto"/>
      <w:spacing w:before="100" w:after="0"/>
      <w:ind w:right="720"/>
      <w:jc w:val="both"/>
    </w:pPr>
    <w:rPr>
      <w:noProof/>
      <w:color w:val="auto"/>
      <w:sz w:val="20"/>
    </w:rPr>
  </w:style>
  <w:style w:type="paragraph" w:customStyle="1" w:styleId="BoxTableTitle">
    <w:name w:val="Box Table Title"/>
    <w:basedOn w:val="Normal"/>
    <w:pPr>
      <w:keepNext/>
      <w:pBdr>
        <w:left w:val="single" w:sz="6" w:space="1" w:color="auto"/>
        <w:right w:val="single" w:sz="6" w:space="1" w:color="auto"/>
      </w:pBdr>
      <w:shd w:val="pct10" w:color="auto" w:fill="auto"/>
      <w:spacing w:before="120" w:after="0"/>
      <w:ind w:right="720"/>
      <w:jc w:val="both"/>
    </w:pPr>
    <w:rPr>
      <w:b/>
      <w:i/>
      <w:noProof/>
      <w:color w:val="auto"/>
      <w:sz w:val="20"/>
    </w:rPr>
  </w:style>
  <w:style w:type="paragraph" w:customStyle="1" w:styleId="BoxTblEntry">
    <w:name w:val="Box TblEntry"/>
    <w:basedOn w:val="Normal"/>
    <w:pPr>
      <w:shd w:val="pct10" w:color="auto" w:fill="auto"/>
      <w:spacing w:before="120" w:after="0"/>
      <w:ind w:right="720"/>
      <w:jc w:val="both"/>
    </w:pPr>
    <w:rPr>
      <w:i/>
      <w:noProof/>
      <w:color w:val="auto"/>
      <w:sz w:val="20"/>
    </w:rPr>
  </w:style>
  <w:style w:type="character" w:customStyle="1" w:styleId="BoxFigInfo-C">
    <w:name w:val="BoxFigInfo-C"/>
    <w:basedOn w:val="DefaultParagraphFont"/>
  </w:style>
  <w:style w:type="paragraph" w:customStyle="1" w:styleId="BoxFigInfo-P">
    <w:name w:val="BoxFigInfo-P"/>
    <w:basedOn w:val="BoxText"/>
  </w:style>
  <w:style w:type="paragraph" w:customStyle="1" w:styleId="BoxFigTitle">
    <w:name w:val="BoxFigTitle"/>
    <w:basedOn w:val="BoxFigCaption"/>
    <w:pPr>
      <w:keepNext/>
    </w:pPr>
    <w:rPr>
      <w:b/>
      <w:i/>
    </w:rPr>
  </w:style>
  <w:style w:type="paragraph" w:customStyle="1" w:styleId="BoxTblColHd">
    <w:name w:val="BoxTblColHd"/>
    <w:basedOn w:val="BoxTblEntry"/>
    <w:rPr>
      <w:b/>
    </w:rPr>
  </w:style>
  <w:style w:type="paragraph" w:customStyle="1" w:styleId="DashListLev1">
    <w:name w:val="Dash List Lev1"/>
    <w:basedOn w:val="Normal"/>
    <w:pPr>
      <w:tabs>
        <w:tab w:val="num" w:pos="720"/>
      </w:tabs>
      <w:spacing w:before="100" w:after="0"/>
      <w:ind w:left="720" w:right="720" w:hanging="360"/>
    </w:pPr>
    <w:rPr>
      <w:i/>
      <w:noProof/>
      <w:color w:val="auto"/>
      <w:sz w:val="18"/>
    </w:rPr>
  </w:style>
  <w:style w:type="paragraph" w:customStyle="1" w:styleId="DashListLev2">
    <w:name w:val="Dash List Lev2"/>
    <w:basedOn w:val="DashListLev1"/>
    <w:pPr>
      <w:numPr>
        <w:numId w:val="17"/>
      </w:numPr>
      <w:tabs>
        <w:tab w:val="num" w:pos="2892"/>
      </w:tabs>
      <w:ind w:left="981" w:hanging="357"/>
    </w:pPr>
  </w:style>
  <w:style w:type="paragraph" w:customStyle="1" w:styleId="DashListLev3">
    <w:name w:val="Dash List Lev3"/>
    <w:basedOn w:val="DashListLev2"/>
    <w:pPr>
      <w:numPr>
        <w:numId w:val="16"/>
      </w:numPr>
      <w:ind w:left="1208" w:hanging="357"/>
    </w:pPr>
  </w:style>
  <w:style w:type="paragraph" w:customStyle="1" w:styleId="DashListLev4">
    <w:name w:val="Dash List Lev4"/>
    <w:basedOn w:val="DashListLev3"/>
    <w:pPr>
      <w:numPr>
        <w:numId w:val="38"/>
      </w:numPr>
      <w:ind w:left="1434" w:hanging="357"/>
    </w:pPr>
  </w:style>
  <w:style w:type="paragraph" w:styleId="EndnoteText">
    <w:name w:val="endnote text"/>
    <w:basedOn w:val="Normal"/>
    <w:semiHidden/>
    <w:pPr>
      <w:numPr>
        <w:numId w:val="37"/>
      </w:numPr>
      <w:spacing w:before="120" w:after="0"/>
      <w:ind w:left="0" w:right="720" w:firstLine="0"/>
    </w:pPr>
    <w:rPr>
      <w:i/>
      <w:noProof/>
      <w:color w:val="auto"/>
      <w:sz w:val="18"/>
    </w:rPr>
  </w:style>
  <w:style w:type="character" w:customStyle="1" w:styleId="EndnoteTextChar">
    <w:name w:val="Endnote Text Char"/>
    <w:semiHidden/>
    <w:rPr>
      <w:rFonts w:ascii="Times New Roman" w:eastAsia="Times New Roman" w:hAnsi="Times New Roman" w:cs="Times New Roman"/>
      <w:noProof/>
      <w:szCs w:val="20"/>
    </w:rPr>
  </w:style>
  <w:style w:type="character" w:customStyle="1" w:styleId="FigInfo-C">
    <w:name w:val="FigInfo-C"/>
    <w:basedOn w:val="DefaultParagraphFont"/>
  </w:style>
  <w:style w:type="paragraph" w:customStyle="1" w:styleId="ParaNote">
    <w:name w:val="Para Note"/>
    <w:basedOn w:val="Note"/>
    <w:pPr>
      <w:keepLines w:val="0"/>
      <w:pBdr>
        <w:top w:val="single" w:sz="6" w:space="3" w:color="auto" w:shadow="1"/>
        <w:left w:val="single" w:sz="6" w:space="3" w:color="auto" w:shadow="1"/>
        <w:bottom w:val="single" w:sz="6" w:space="3" w:color="auto" w:shadow="1"/>
        <w:right w:val="single" w:sz="6" w:space="3" w:color="auto" w:shadow="1"/>
      </w:pBdr>
      <w:shd w:val="pct20" w:color="auto" w:fill="auto"/>
      <w:suppressAutoHyphens/>
      <w:spacing w:before="120"/>
      <w:ind w:right="720"/>
    </w:pPr>
    <w:rPr>
      <w:rFonts w:eastAsia="Times New Roman"/>
      <w:b/>
      <w:noProof/>
      <w:sz w:val="18"/>
    </w:rPr>
  </w:style>
  <w:style w:type="character" w:customStyle="1" w:styleId="Picture">
    <w:name w:val="Picture"/>
    <w:basedOn w:val="DefaultParagraphFont"/>
  </w:style>
  <w:style w:type="paragraph" w:customStyle="1" w:styleId="PlainList1">
    <w:name w:val="PlainList 1"/>
    <w:basedOn w:val="Normal"/>
    <w:pPr>
      <w:spacing w:before="100" w:after="0"/>
      <w:ind w:right="720"/>
    </w:pPr>
    <w:rPr>
      <w:i/>
      <w:noProof/>
      <w:color w:val="auto"/>
      <w:sz w:val="18"/>
    </w:rPr>
  </w:style>
  <w:style w:type="paragraph" w:customStyle="1" w:styleId="PlainList2">
    <w:name w:val="PlainList 2"/>
    <w:basedOn w:val="PlainList1"/>
    <w:pPr>
      <w:ind w:left="567"/>
    </w:pPr>
  </w:style>
  <w:style w:type="paragraph" w:customStyle="1" w:styleId="PlainList3">
    <w:name w:val="PlainList 3"/>
    <w:basedOn w:val="PlainList2"/>
    <w:pPr>
      <w:ind w:left="1134"/>
    </w:pPr>
  </w:style>
  <w:style w:type="paragraph" w:customStyle="1" w:styleId="PlainList4">
    <w:name w:val="PlainList 4"/>
    <w:basedOn w:val="PlainList3"/>
    <w:pPr>
      <w:ind w:left="1701"/>
    </w:pPr>
  </w:style>
  <w:style w:type="character" w:customStyle="1" w:styleId="Quote1">
    <w:name w:val="Quote1"/>
    <w:rPr>
      <w:rFonts w:ascii="Times New Roman" w:hAnsi="Times New Roman"/>
      <w:i/>
      <w:sz w:val="20"/>
    </w:rPr>
  </w:style>
  <w:style w:type="character" w:customStyle="1" w:styleId="NroSeq">
    <w:name w:val="NroSeq"/>
    <w:rPr>
      <w:color w:val="0000FF"/>
    </w:rPr>
  </w:style>
  <w:style w:type="character" w:customStyle="1" w:styleId="NroTOC">
    <w:name w:val="NroTOC"/>
    <w:rPr>
      <w:color w:val="auto"/>
      <w:sz w:val="22"/>
      <w:u w:val="none"/>
      <w:vertAlign w:val="baseline"/>
    </w:rPr>
  </w:style>
  <w:style w:type="paragraph" w:customStyle="1" w:styleId="PrelimNote">
    <w:name w:val="PrelimNote"/>
    <w:basedOn w:val="Normal"/>
    <w:next w:val="Normal"/>
    <w:pPr>
      <w:spacing w:before="120" w:after="0"/>
      <w:ind w:left="709" w:right="709"/>
    </w:pPr>
    <w:rPr>
      <w:i/>
      <w:noProof/>
      <w:color w:val="auto"/>
      <w:sz w:val="18"/>
    </w:rPr>
  </w:style>
  <w:style w:type="paragraph" w:customStyle="1" w:styleId="CentredJust">
    <w:name w:val="CentredJust"/>
    <w:basedOn w:val="Normal"/>
    <w:pPr>
      <w:spacing w:before="120" w:after="0"/>
      <w:ind w:right="720"/>
      <w:jc w:val="center"/>
    </w:pPr>
    <w:rPr>
      <w:i/>
      <w:noProof/>
      <w:color w:val="auto"/>
      <w:sz w:val="18"/>
    </w:rPr>
  </w:style>
  <w:style w:type="character" w:customStyle="1" w:styleId="Subscript">
    <w:name w:val="Subscript"/>
    <w:rPr>
      <w:noProof w:val="0"/>
      <w:vertAlign w:val="subscript"/>
      <w:lang w:val="en-GB"/>
    </w:rPr>
  </w:style>
  <w:style w:type="character" w:customStyle="1" w:styleId="Superscript">
    <w:name w:val="Superscript"/>
    <w:rPr>
      <w:noProof w:val="0"/>
      <w:vertAlign w:val="superscript"/>
      <w:lang w:val="en-GB"/>
    </w:rPr>
  </w:style>
  <w:style w:type="paragraph" w:customStyle="1" w:styleId="ListDel">
    <w:name w:val="ListDel"/>
    <w:basedOn w:val="Normal"/>
    <w:next w:val="Country"/>
    <w:pPr>
      <w:spacing w:before="120" w:after="0"/>
      <w:ind w:right="720"/>
      <w:jc w:val="center"/>
    </w:pPr>
    <w:rPr>
      <w:b/>
      <w:i/>
      <w:noProof/>
      <w:color w:val="auto"/>
      <w:sz w:val="18"/>
    </w:rPr>
  </w:style>
  <w:style w:type="paragraph" w:customStyle="1" w:styleId="Country">
    <w:name w:val="Country"/>
    <w:basedOn w:val="Normal"/>
    <w:next w:val="Role"/>
    <w:pPr>
      <w:keepNext/>
      <w:spacing w:before="120" w:after="0"/>
      <w:ind w:right="720"/>
    </w:pPr>
    <w:rPr>
      <w:b/>
      <w:i/>
      <w:caps/>
      <w:noProof/>
      <w:color w:val="auto"/>
      <w:sz w:val="18"/>
    </w:rPr>
  </w:style>
  <w:style w:type="paragraph" w:customStyle="1" w:styleId="Role">
    <w:name w:val="Role"/>
    <w:basedOn w:val="Normal"/>
    <w:next w:val="Name"/>
    <w:pPr>
      <w:keepNext/>
      <w:spacing w:before="120" w:after="0"/>
      <w:ind w:right="720"/>
    </w:pPr>
    <w:rPr>
      <w:i/>
      <w:noProof/>
      <w:color w:val="auto"/>
      <w:sz w:val="18"/>
    </w:rPr>
  </w:style>
  <w:style w:type="paragraph" w:customStyle="1" w:styleId="Name">
    <w:name w:val="Name"/>
    <w:basedOn w:val="Normal"/>
    <w:pPr>
      <w:keepLines/>
      <w:spacing w:before="120" w:after="0"/>
      <w:ind w:left="284" w:right="720"/>
    </w:pPr>
    <w:rPr>
      <w:i/>
      <w:noProof/>
      <w:color w:val="auto"/>
      <w:sz w:val="18"/>
    </w:rPr>
  </w:style>
  <w:style w:type="paragraph" w:customStyle="1" w:styleId="ColumnBreak">
    <w:name w:val="ColumnBreak"/>
    <w:basedOn w:val="Normal"/>
    <w:next w:val="Normal"/>
    <w:pPr>
      <w:spacing w:before="100" w:after="0" w:line="10" w:lineRule="exact"/>
      <w:ind w:right="720"/>
    </w:pPr>
    <w:rPr>
      <w:rFonts w:ascii="Courier New" w:hAnsi="Courier New"/>
      <w:i/>
      <w:noProof/>
      <w:color w:val="auto"/>
      <w:sz w:val="18"/>
    </w:rPr>
  </w:style>
  <w:style w:type="paragraph" w:customStyle="1" w:styleId="ContBrk">
    <w:name w:val="ContBrk"/>
    <w:basedOn w:val="Normal"/>
    <w:next w:val="Normal"/>
    <w:pPr>
      <w:spacing w:before="120" w:after="0" w:line="360" w:lineRule="auto"/>
      <w:ind w:right="720"/>
    </w:pPr>
    <w:rPr>
      <w:rFonts w:ascii="Courier New" w:hAnsi="Courier New"/>
      <w:i/>
      <w:noProof/>
      <w:color w:val="auto"/>
      <w:sz w:val="18"/>
    </w:rPr>
  </w:style>
  <w:style w:type="paragraph" w:customStyle="1" w:styleId="SectionBreak">
    <w:name w:val="SectionBreak"/>
    <w:basedOn w:val="Normal"/>
    <w:next w:val="Heading1"/>
    <w:pPr>
      <w:spacing w:before="100" w:after="0" w:line="10" w:lineRule="exact"/>
      <w:ind w:right="720"/>
    </w:pPr>
    <w:rPr>
      <w:rFonts w:ascii="Courier New" w:hAnsi="Courier New"/>
      <w:i/>
      <w:noProof/>
      <w:color w:val="auto"/>
      <w:sz w:val="18"/>
    </w:rPr>
  </w:style>
  <w:style w:type="paragraph" w:customStyle="1" w:styleId="HeadingAnnex">
    <w:name w:val="Heading Annex"/>
    <w:basedOn w:val="Normal"/>
    <w:next w:val="Normal"/>
    <w:pPr>
      <w:keepNext/>
      <w:pBdr>
        <w:top w:val="single" w:sz="6" w:space="1" w:color="auto"/>
        <w:bottom w:val="single" w:sz="6" w:space="1" w:color="auto"/>
      </w:pBdr>
      <w:spacing w:before="240" w:after="0"/>
      <w:ind w:left="709" w:right="720" w:hanging="709"/>
      <w:jc w:val="center"/>
    </w:pPr>
    <w:rPr>
      <w:rFonts w:ascii="Times New Roman Bold" w:hAnsi="Times New Roman Bold"/>
      <w:b/>
      <w:i/>
      <w:caps/>
      <w:noProof/>
      <w:color w:val="auto"/>
      <w:sz w:val="24"/>
    </w:rPr>
  </w:style>
  <w:style w:type="paragraph" w:customStyle="1" w:styleId="SeqListLev1">
    <w:name w:val="Seq List Lev1"/>
    <w:basedOn w:val="Normal"/>
    <w:pPr>
      <w:numPr>
        <w:ilvl w:val="1"/>
        <w:numId w:val="13"/>
      </w:numPr>
      <w:spacing w:before="100" w:after="0"/>
      <w:ind w:right="720"/>
    </w:pPr>
    <w:rPr>
      <w:i/>
      <w:noProof/>
      <w:color w:val="auto"/>
      <w:sz w:val="18"/>
    </w:rPr>
  </w:style>
  <w:style w:type="paragraph" w:customStyle="1" w:styleId="SeqListLev2">
    <w:name w:val="Seq List Lev2"/>
    <w:basedOn w:val="SeqListLev1"/>
    <w:pPr>
      <w:numPr>
        <w:ilvl w:val="2"/>
      </w:numPr>
    </w:pPr>
  </w:style>
  <w:style w:type="paragraph" w:customStyle="1" w:styleId="SeqListLev3">
    <w:name w:val="Seq List Lev3"/>
    <w:basedOn w:val="SeqListLev2"/>
    <w:pPr>
      <w:numPr>
        <w:ilvl w:val="3"/>
      </w:numPr>
    </w:pPr>
  </w:style>
  <w:style w:type="paragraph" w:customStyle="1" w:styleId="SeqListLev4">
    <w:name w:val="Seq List Lev4"/>
    <w:basedOn w:val="SeqListLev3"/>
    <w:pPr>
      <w:numPr>
        <w:ilvl w:val="0"/>
        <w:numId w:val="0"/>
      </w:numPr>
      <w:tabs>
        <w:tab w:val="num" w:pos="567"/>
        <w:tab w:val="num" w:pos="1440"/>
        <w:tab w:val="num" w:pos="2126"/>
      </w:tabs>
      <w:ind w:left="2126" w:hanging="425"/>
    </w:pPr>
  </w:style>
  <w:style w:type="paragraph" w:customStyle="1" w:styleId="CarCar">
    <w:name w:val="Car Car"/>
    <w:basedOn w:val="Normal"/>
    <w:pPr>
      <w:numPr>
        <w:ilvl w:val="2"/>
        <w:numId w:val="35"/>
      </w:numPr>
      <w:tabs>
        <w:tab w:val="num" w:pos="805"/>
      </w:tabs>
      <w:spacing w:before="100" w:after="160" w:line="240" w:lineRule="exact"/>
      <w:ind w:left="0" w:right="720" w:firstLine="0"/>
    </w:pPr>
    <w:rPr>
      <w:rFonts w:ascii="Tahoma" w:eastAsia="MS Mincho" w:hAnsi="Tahoma"/>
      <w:i/>
      <w:color w:val="auto"/>
      <w:sz w:val="20"/>
      <w:lang w:val="en-US"/>
    </w:rPr>
  </w:style>
  <w:style w:type="paragraph" w:customStyle="1" w:styleId="ListParagraph12">
    <w:name w:val="List Paragraph12"/>
    <w:basedOn w:val="Normal"/>
    <w:qFormat/>
    <w:pPr>
      <w:spacing w:before="100" w:after="100"/>
      <w:ind w:left="720" w:right="720"/>
    </w:pPr>
    <w:rPr>
      <w:rFonts w:eastAsia="Calibri"/>
      <w:i/>
      <w:color w:val="auto"/>
      <w:sz w:val="24"/>
    </w:rPr>
  </w:style>
  <w:style w:type="paragraph" w:customStyle="1" w:styleId="CharChar">
    <w:name w:val="(文字) (文字) Char (文字) (文字) Char"/>
    <w:basedOn w:val="Normal"/>
    <w:pPr>
      <w:tabs>
        <w:tab w:val="num" w:pos="2160"/>
      </w:tabs>
      <w:spacing w:before="100" w:after="160" w:line="240" w:lineRule="exact"/>
      <w:ind w:right="720"/>
    </w:pPr>
    <w:rPr>
      <w:rFonts w:ascii="Tahoma" w:eastAsia="MS Mincho" w:hAnsi="Tahoma"/>
      <w:i/>
      <w:color w:val="auto"/>
      <w:sz w:val="20"/>
      <w:lang w:val="en-US"/>
    </w:rPr>
  </w:style>
  <w:style w:type="paragraph" w:customStyle="1" w:styleId="IPPBullet2">
    <w:name w:val="IPP Bullet2"/>
    <w:basedOn w:val="IPPNormal"/>
    <w:next w:val="IPPBullet1"/>
    <w:qFormat/>
    <w:pPr>
      <w:numPr>
        <w:numId w:val="0"/>
      </w:numPr>
      <w:tabs>
        <w:tab w:val="left" w:pos="567"/>
      </w:tabs>
      <w:spacing w:after="60"/>
      <w:ind w:left="720" w:hanging="360"/>
    </w:pPr>
  </w:style>
  <w:style w:type="paragraph" w:customStyle="1" w:styleId="IPPNormal">
    <w:name w:val="IPP Normal"/>
    <w:basedOn w:val="Normal"/>
    <w:qFormat/>
    <w:pPr>
      <w:numPr>
        <w:numId w:val="39"/>
      </w:numPr>
      <w:spacing w:before="100" w:after="180"/>
      <w:ind w:left="0" w:right="720" w:firstLine="0"/>
      <w:jc w:val="both"/>
    </w:pPr>
    <w:rPr>
      <w:rFonts w:eastAsia="Times"/>
      <w:i/>
      <w:color w:val="auto"/>
      <w:sz w:val="18"/>
    </w:rPr>
  </w:style>
  <w:style w:type="paragraph" w:customStyle="1" w:styleId="IPPBullet1">
    <w:name w:val="IPP Bullet1"/>
    <w:basedOn w:val="Normal"/>
    <w:qFormat/>
    <w:pPr>
      <w:numPr>
        <w:numId w:val="22"/>
      </w:numPr>
      <w:spacing w:before="100" w:after="60"/>
      <w:ind w:right="720"/>
      <w:jc w:val="both"/>
    </w:pPr>
    <w:rPr>
      <w:rFonts w:eastAsia="Times"/>
      <w:i/>
      <w:color w:val="auto"/>
      <w:sz w:val="18"/>
    </w:rPr>
  </w:style>
  <w:style w:type="paragraph" w:customStyle="1" w:styleId="IPPTitle16ptIndent">
    <w:name w:val="IPP Title16pt Indent"/>
    <w:basedOn w:val="Normal"/>
    <w:qFormat/>
    <w:pPr>
      <w:spacing w:before="100" w:after="720"/>
      <w:ind w:left="1701" w:right="1701"/>
      <w:jc w:val="center"/>
    </w:pPr>
    <w:rPr>
      <w:rFonts w:ascii="Arial" w:hAnsi="Arial"/>
      <w:b/>
      <w:i/>
      <w:color w:val="auto"/>
      <w:sz w:val="32"/>
    </w:rPr>
  </w:style>
  <w:style w:type="paragraph" w:customStyle="1" w:styleId="IPPHeadSection">
    <w:name w:val="IPP HeadSection"/>
    <w:basedOn w:val="Normal"/>
    <w:next w:val="Normal"/>
    <w:qFormat/>
    <w:pPr>
      <w:keepNext/>
      <w:numPr>
        <w:numId w:val="41"/>
      </w:numPr>
      <w:tabs>
        <w:tab w:val="left" w:pos="851"/>
      </w:tabs>
      <w:spacing w:before="360" w:after="120"/>
      <w:ind w:left="851" w:right="720" w:hanging="851"/>
      <w:jc w:val="both"/>
      <w:outlineLvl w:val="0"/>
    </w:pPr>
    <w:rPr>
      <w:rFonts w:eastAsia="Times"/>
      <w:b/>
      <w:i/>
      <w:caps/>
      <w:color w:val="auto"/>
      <w:sz w:val="24"/>
    </w:rPr>
  </w:style>
  <w:style w:type="paragraph" w:customStyle="1" w:styleId="IPPHeading1">
    <w:name w:val="IPP Heading1"/>
    <w:basedOn w:val="IPPNormal"/>
    <w:next w:val="IPPNormal"/>
    <w:qFormat/>
    <w:pPr>
      <w:keepNext/>
      <w:tabs>
        <w:tab w:val="left" w:pos="567"/>
      </w:tabs>
      <w:spacing w:before="240" w:after="120"/>
      <w:ind w:left="567" w:hanging="567"/>
      <w:jc w:val="left"/>
      <w:outlineLvl w:val="1"/>
    </w:pPr>
    <w:rPr>
      <w:b/>
      <w:sz w:val="24"/>
    </w:rPr>
  </w:style>
  <w:style w:type="paragraph" w:customStyle="1" w:styleId="IPPSubhead">
    <w:name w:val="IPP Subhead"/>
    <w:basedOn w:val="Normal"/>
    <w:qFormat/>
    <w:pPr>
      <w:keepNext/>
      <w:spacing w:before="100" w:after="0"/>
      <w:ind w:left="567" w:right="720" w:hanging="567"/>
    </w:pPr>
    <w:rPr>
      <w:b/>
      <w:i/>
      <w:color w:val="auto"/>
      <w:sz w:val="18"/>
    </w:rPr>
  </w:style>
  <w:style w:type="paragraph" w:customStyle="1" w:styleId="IPPBullet1Last">
    <w:name w:val="IPP Bullet1Last"/>
    <w:basedOn w:val="IPPNormal"/>
    <w:next w:val="IPPBullet1"/>
    <w:qFormat/>
    <w:pPr>
      <w:numPr>
        <w:numId w:val="20"/>
      </w:numPr>
      <w:tabs>
        <w:tab w:val="num" w:pos="360"/>
      </w:tabs>
      <w:ind w:left="360"/>
    </w:pPr>
    <w:rPr>
      <w:lang w:val="en-US"/>
    </w:rPr>
  </w:style>
  <w:style w:type="paragraph" w:customStyle="1" w:styleId="IPPTitle16pt">
    <w:name w:val="IPP Title16pt"/>
    <w:basedOn w:val="Normal"/>
    <w:qFormat/>
    <w:pPr>
      <w:spacing w:before="100" w:after="720"/>
      <w:ind w:left="1701" w:right="1701"/>
      <w:jc w:val="center"/>
    </w:pPr>
    <w:rPr>
      <w:rFonts w:ascii="Arial" w:hAnsi="Arial"/>
      <w:b/>
      <w:i/>
      <w:color w:val="auto"/>
      <w:sz w:val="32"/>
    </w:rPr>
  </w:style>
  <w:style w:type="paragraph" w:customStyle="1" w:styleId="IPPTitle18pt">
    <w:name w:val="IPP Title18pt"/>
    <w:basedOn w:val="Normal"/>
    <w:qFormat/>
    <w:pPr>
      <w:spacing w:before="100" w:after="360"/>
      <w:ind w:right="720"/>
      <w:jc w:val="center"/>
    </w:pPr>
    <w:rPr>
      <w:rFonts w:ascii="Arial" w:hAnsi="Arial"/>
      <w:b/>
      <w:i/>
      <w:color w:val="auto"/>
      <w:sz w:val="36"/>
    </w:rPr>
  </w:style>
  <w:style w:type="paragraph" w:customStyle="1" w:styleId="IPPAnnexHead">
    <w:name w:val="IPP AnnexHead"/>
    <w:basedOn w:val="IPPNormal"/>
    <w:next w:val="IPPNormal"/>
    <w:qFormat/>
    <w:pPr>
      <w:keepNext/>
      <w:numPr>
        <w:numId w:val="42"/>
      </w:numPr>
      <w:tabs>
        <w:tab w:val="left" w:pos="567"/>
      </w:tabs>
      <w:spacing w:before="120"/>
      <w:ind w:left="0" w:firstLine="0"/>
      <w:jc w:val="left"/>
      <w:outlineLvl w:val="1"/>
    </w:pPr>
    <w:rPr>
      <w:b/>
      <w:sz w:val="24"/>
    </w:rPr>
  </w:style>
  <w:style w:type="paragraph" w:customStyle="1" w:styleId="IPPNormalCloseSpace">
    <w:name w:val="IPP NormalCloseSpace"/>
    <w:basedOn w:val="Normal"/>
    <w:qFormat/>
    <w:pPr>
      <w:keepNext/>
      <w:numPr>
        <w:numId w:val="40"/>
      </w:numPr>
      <w:spacing w:before="100" w:after="60"/>
      <w:ind w:left="0" w:right="720" w:firstLine="0"/>
      <w:jc w:val="both"/>
    </w:pPr>
    <w:rPr>
      <w:i/>
      <w:color w:val="auto"/>
      <w:sz w:val="18"/>
    </w:rPr>
  </w:style>
  <w:style w:type="paragraph" w:customStyle="1" w:styleId="IPPHeading2">
    <w:name w:val="IPP Heading2"/>
    <w:basedOn w:val="IPPNormal"/>
    <w:next w:val="IPPNormal"/>
    <w:qFormat/>
    <w:pPr>
      <w:keepNext/>
      <w:tabs>
        <w:tab w:val="left" w:pos="567"/>
      </w:tabs>
      <w:spacing w:before="120" w:after="120"/>
      <w:ind w:left="567" w:hanging="567"/>
      <w:jc w:val="left"/>
      <w:outlineLvl w:val="2"/>
    </w:pPr>
    <w:rPr>
      <w:b/>
      <w:sz w:val="24"/>
    </w:rPr>
  </w:style>
  <w:style w:type="paragraph" w:customStyle="1" w:styleId="IPPReferences">
    <w:name w:val="IPP References"/>
    <w:basedOn w:val="IPPNormal"/>
    <w:qFormat/>
    <w:pPr>
      <w:spacing w:after="60"/>
      <w:ind w:left="567" w:hanging="567"/>
    </w:pPr>
  </w:style>
  <w:style w:type="paragraph" w:customStyle="1" w:styleId="IPPArial">
    <w:name w:val="IPP Arial"/>
    <w:basedOn w:val="IPPNormal"/>
    <w:qFormat/>
    <w:pPr>
      <w:spacing w:after="0"/>
    </w:pPr>
    <w:rPr>
      <w:rFonts w:ascii="Arial" w:hAnsi="Arial"/>
    </w:rPr>
  </w:style>
  <w:style w:type="paragraph" w:customStyle="1" w:styleId="IPPArialTable">
    <w:name w:val="IPP Arial Table"/>
    <w:basedOn w:val="IPPArial"/>
    <w:qFormat/>
    <w:pPr>
      <w:spacing w:before="60" w:after="60"/>
      <w:jc w:val="left"/>
    </w:pPr>
  </w:style>
  <w:style w:type="paragraph" w:customStyle="1" w:styleId="IPPSubheadSpace">
    <w:name w:val="IPP Subhead Space"/>
    <w:basedOn w:val="IPPSubhead"/>
    <w:qFormat/>
    <w:pPr>
      <w:tabs>
        <w:tab w:val="left" w:pos="567"/>
      </w:tabs>
      <w:spacing w:before="60" w:after="60"/>
    </w:pPr>
  </w:style>
  <w:style w:type="paragraph" w:customStyle="1" w:styleId="IPPNumberedList">
    <w:name w:val="IPP NumberedList"/>
    <w:basedOn w:val="IPPBullet1"/>
    <w:qFormat/>
    <w:pPr>
      <w:numPr>
        <w:numId w:val="0"/>
      </w:numPr>
      <w:ind w:left="720" w:hanging="360"/>
    </w:pPr>
  </w:style>
  <w:style w:type="paragraph" w:customStyle="1" w:styleId="IPPNumberedListLast0">
    <w:name w:val="IPP NumberedListLast"/>
    <w:basedOn w:val="IPPNumberedList"/>
    <w:qFormat/>
    <w:pPr>
      <w:spacing w:after="180"/>
    </w:pPr>
  </w:style>
  <w:style w:type="paragraph" w:customStyle="1" w:styleId="IPPHdg1Num">
    <w:name w:val="IPP Hdg1Num"/>
    <w:basedOn w:val="IPPNormal"/>
    <w:next w:val="IPPNormal"/>
    <w:qFormat/>
    <w:pPr>
      <w:keepNext/>
      <w:tabs>
        <w:tab w:val="num" w:pos="0"/>
        <w:tab w:val="left" w:pos="567"/>
      </w:tabs>
      <w:spacing w:before="240" w:after="120"/>
      <w:ind w:hanging="482"/>
      <w:outlineLvl w:val="1"/>
    </w:pPr>
    <w:rPr>
      <w:b/>
      <w:sz w:val="24"/>
    </w:rPr>
  </w:style>
  <w:style w:type="paragraph" w:customStyle="1" w:styleId="IPPNumberedList0">
    <w:name w:val="IPPNumberedList"/>
    <w:basedOn w:val="IPPBullet1"/>
    <w:qFormat/>
    <w:pPr>
      <w:numPr>
        <w:numId w:val="0"/>
      </w:numPr>
      <w:tabs>
        <w:tab w:val="num" w:pos="720"/>
      </w:tabs>
      <w:ind w:left="720" w:hanging="360"/>
    </w:pPr>
  </w:style>
  <w:style w:type="paragraph" w:customStyle="1" w:styleId="IPPLetterList">
    <w:name w:val="IPP LetterList"/>
    <w:basedOn w:val="IPPBullet2"/>
    <w:qFormat/>
    <w:pPr>
      <w:numPr>
        <w:numId w:val="24"/>
      </w:numPr>
      <w:jc w:val="left"/>
    </w:pPr>
  </w:style>
  <w:style w:type="paragraph" w:customStyle="1" w:styleId="IPPSubheadSpace3">
    <w:name w:val="IPP Subhead Space3"/>
    <w:basedOn w:val="IPPSubhead"/>
    <w:qFormat/>
    <w:pPr>
      <w:spacing w:before="60" w:after="60"/>
    </w:pPr>
  </w:style>
  <w:style w:type="paragraph" w:customStyle="1" w:styleId="font1">
    <w:name w:val="font1"/>
    <w:basedOn w:val="Normal"/>
    <w:pPr>
      <w:spacing w:before="100" w:after="100"/>
      <w:ind w:right="720"/>
    </w:pPr>
    <w:rPr>
      <w:rFonts w:ascii="Arial" w:hAnsi="Arial"/>
      <w:i/>
      <w:color w:val="auto"/>
      <w:sz w:val="20"/>
      <w:lang w:val="en-US"/>
    </w:rPr>
  </w:style>
  <w:style w:type="paragraph" w:customStyle="1" w:styleId="Contents">
    <w:name w:val="Contents"/>
    <w:pPr>
      <w:tabs>
        <w:tab w:val="left" w:pos="-1440"/>
        <w:tab w:val="left" w:pos="-720"/>
        <w:tab w:val="left" w:pos="0"/>
        <w:tab w:val="left" w:pos="835"/>
        <w:tab w:val="left" w:pos="1392"/>
      </w:tabs>
      <w:suppressAutoHyphens/>
      <w:jc w:val="both"/>
    </w:pPr>
    <w:rPr>
      <w:rFonts w:ascii="Courier" w:hAnsi="Courier"/>
      <w:spacing w:val="-3"/>
      <w:sz w:val="24"/>
      <w:lang w:val="en-GB" w:eastAsia="ko-KR"/>
    </w:rPr>
  </w:style>
  <w:style w:type="paragraph" w:customStyle="1" w:styleId="IPPQuote">
    <w:name w:val="IPP Quote"/>
    <w:basedOn w:val="IPPNormal"/>
    <w:qFormat/>
    <w:pPr>
      <w:ind w:left="851" w:right="851"/>
    </w:pPr>
    <w:rPr>
      <w:sz w:val="19"/>
    </w:rPr>
  </w:style>
  <w:style w:type="character" w:customStyle="1" w:styleId="NewParaChar">
    <w:name w:val="NewPara Char"/>
    <w:rPr>
      <w:rFonts w:ascii="Times New Roman" w:eastAsia="Times New Roman" w:hAnsi="Times New Roman" w:cs="Times New Roman"/>
      <w:noProof/>
      <w:szCs w:val="20"/>
    </w:rPr>
  </w:style>
  <w:style w:type="paragraph" w:customStyle="1" w:styleId="IPPHeading1Appendix">
    <w:name w:val="IPP Heading1 Appendix"/>
    <w:basedOn w:val="IPPHeading1"/>
    <w:qFormat/>
    <w:pPr>
      <w:ind w:left="720" w:hanging="360"/>
      <w:outlineLvl w:val="9"/>
    </w:pPr>
  </w:style>
  <w:style w:type="paragraph" w:customStyle="1" w:styleId="IPPHeadSectionAppendix">
    <w:name w:val="IPP HeadSection Appendix"/>
    <w:basedOn w:val="IPPHeadSection"/>
    <w:qFormat/>
    <w:pPr>
      <w:ind w:left="720" w:hanging="360"/>
      <w:outlineLvl w:val="9"/>
    </w:pPr>
  </w:style>
  <w:style w:type="paragraph" w:customStyle="1" w:styleId="IPPHeading2Appendix">
    <w:name w:val="IPP Heading2 Appendix"/>
    <w:basedOn w:val="IPPHeading2"/>
    <w:qFormat/>
    <w:pPr>
      <w:tabs>
        <w:tab w:val="left" w:pos="851"/>
        <w:tab w:val="left" w:pos="1134"/>
      </w:tabs>
      <w:ind w:left="720" w:hanging="360"/>
      <w:outlineLvl w:val="9"/>
    </w:pPr>
  </w:style>
  <w:style w:type="paragraph" w:customStyle="1" w:styleId="IPPAnnexHeadAppendix">
    <w:name w:val="IPP AnnexHead Appendix"/>
    <w:basedOn w:val="IPPAnnexHead"/>
    <w:qFormat/>
    <w:pPr>
      <w:numPr>
        <w:numId w:val="25"/>
      </w:numPr>
      <w:tabs>
        <w:tab w:val="clear" w:pos="567"/>
        <w:tab w:val="num" w:pos="1440"/>
      </w:tabs>
      <w:ind w:left="1440"/>
      <w:outlineLvl w:val="9"/>
    </w:pPr>
  </w:style>
  <w:style w:type="paragraph" w:customStyle="1" w:styleId="IPPIndent">
    <w:name w:val="IPP Indent"/>
    <w:basedOn w:val="Normal"/>
    <w:qFormat/>
    <w:pPr>
      <w:tabs>
        <w:tab w:val="left" w:pos="2835"/>
      </w:tabs>
      <w:spacing w:before="100" w:after="180"/>
      <w:ind w:left="567" w:right="720"/>
      <w:jc w:val="both"/>
    </w:pPr>
    <w:rPr>
      <w:rFonts w:eastAsia="Times"/>
      <w:i/>
      <w:color w:val="auto"/>
      <w:sz w:val="18"/>
    </w:rPr>
  </w:style>
  <w:style w:type="paragraph" w:customStyle="1" w:styleId="FooterLandscape">
    <w:name w:val="FooterLandscape"/>
    <w:basedOn w:val="Footer"/>
    <w:qFormat/>
    <w:pPr>
      <w:tabs>
        <w:tab w:val="clear" w:pos="4320"/>
        <w:tab w:val="clear" w:pos="8640"/>
        <w:tab w:val="right" w:pos="13892"/>
      </w:tabs>
      <w:spacing w:before="100" w:after="0"/>
      <w:ind w:right="720"/>
    </w:pPr>
    <w:rPr>
      <w:rFonts w:ascii="Arial" w:eastAsia="Times" w:hAnsi="Arial"/>
      <w:i/>
      <w:color w:val="auto"/>
      <w:sz w:val="18"/>
    </w:rPr>
  </w:style>
  <w:style w:type="paragraph" w:customStyle="1" w:styleId="IPPNumberClose">
    <w:name w:val="IPP NumberClose"/>
    <w:basedOn w:val="IPPNumber"/>
    <w:qFormat/>
    <w:pPr>
      <w:keepNext/>
      <w:spacing w:after="60"/>
    </w:pPr>
  </w:style>
  <w:style w:type="paragraph" w:customStyle="1" w:styleId="IPPNumber">
    <w:name w:val="IPP Number"/>
    <w:basedOn w:val="IPPNormal"/>
    <w:qFormat/>
    <w:pPr>
      <w:numPr>
        <w:numId w:val="0"/>
      </w:numPr>
      <w:tabs>
        <w:tab w:val="num" w:pos="720"/>
        <w:tab w:val="num" w:pos="2892"/>
      </w:tabs>
      <w:ind w:left="2892" w:hanging="579"/>
    </w:pPr>
  </w:style>
  <w:style w:type="paragraph" w:customStyle="1" w:styleId="IPPNumberedListLast">
    <w:name w:val="IPPNumberedListLast"/>
    <w:basedOn w:val="IPPNumberedList0"/>
    <w:qFormat/>
    <w:pPr>
      <w:numPr>
        <w:numId w:val="43"/>
      </w:numPr>
      <w:tabs>
        <w:tab w:val="num" w:pos="680"/>
      </w:tabs>
      <w:spacing w:after="180"/>
      <w:ind w:left="680" w:hanging="680"/>
    </w:pPr>
  </w:style>
  <w:style w:type="paragraph" w:customStyle="1" w:styleId="Comments">
    <w:name w:val="Comments"/>
    <w:basedOn w:val="Normal"/>
    <w:pPr>
      <w:spacing w:before="100" w:after="0"/>
      <w:ind w:left="284" w:right="720" w:hanging="284"/>
      <w:jc w:val="both"/>
    </w:pPr>
    <w:rPr>
      <w:i/>
      <w:color w:val="auto"/>
      <w:sz w:val="18"/>
    </w:rPr>
  </w:style>
  <w:style w:type="paragraph" w:customStyle="1" w:styleId="Indent1">
    <w:name w:val="Indent 1"/>
    <w:basedOn w:val="Normal"/>
    <w:qFormat/>
    <w:pPr>
      <w:spacing w:before="100" w:after="60"/>
      <w:ind w:left="567" w:right="720"/>
    </w:pPr>
    <w:rPr>
      <w:rFonts w:ascii="Georgia" w:eastAsia="Times" w:hAnsi="Georgia"/>
      <w:i/>
      <w:color w:val="auto"/>
      <w:sz w:val="18"/>
      <w:lang w:val="en-AU"/>
    </w:rPr>
  </w:style>
  <w:style w:type="paragraph" w:customStyle="1" w:styleId="Subhead">
    <w:name w:val="Subhead"/>
    <w:basedOn w:val="Normal"/>
    <w:qFormat/>
    <w:pPr>
      <w:keepNext/>
      <w:spacing w:before="120" w:after="60"/>
      <w:ind w:right="720"/>
    </w:pPr>
    <w:rPr>
      <w:rFonts w:ascii="Georgia" w:eastAsia="Times" w:hAnsi="Georgia"/>
      <w:b/>
      <w:i/>
      <w:color w:val="auto"/>
      <w:sz w:val="19"/>
      <w:lang w:val="en-AU"/>
    </w:rPr>
  </w:style>
  <w:style w:type="paragraph" w:customStyle="1" w:styleId="IPPNumberSubhead">
    <w:name w:val="IPP NumberSubhead"/>
    <w:basedOn w:val="IPPNumber"/>
    <w:qFormat/>
    <w:pPr>
      <w:keepNext/>
      <w:numPr>
        <w:numId w:val="44"/>
      </w:numPr>
      <w:tabs>
        <w:tab w:val="num" w:pos="567"/>
      </w:tabs>
      <w:spacing w:after="60"/>
      <w:ind w:firstLine="0"/>
    </w:pPr>
    <w:rPr>
      <w:b/>
    </w:rPr>
  </w:style>
  <w:style w:type="paragraph" w:customStyle="1" w:styleId="IPPSubheadNumber">
    <w:name w:val="IPP SubheadNumber"/>
    <w:basedOn w:val="IPPSubhead"/>
    <w:qFormat/>
    <w:pPr>
      <w:numPr>
        <w:numId w:val="27"/>
      </w:numPr>
      <w:tabs>
        <w:tab w:val="num" w:pos="720"/>
      </w:tabs>
      <w:ind w:left="720"/>
    </w:pPr>
  </w:style>
  <w:style w:type="paragraph" w:customStyle="1" w:styleId="IPPLetterListIndent">
    <w:name w:val="IPP LetterList Indent"/>
    <w:basedOn w:val="IPPLetterList"/>
    <w:qFormat/>
    <w:pPr>
      <w:numPr>
        <w:numId w:val="28"/>
      </w:numPr>
      <w:tabs>
        <w:tab w:val="clear" w:pos="567"/>
        <w:tab w:val="num" w:pos="720"/>
      </w:tabs>
      <w:ind w:left="720"/>
    </w:pPr>
  </w:style>
  <w:style w:type="paragraph" w:customStyle="1" w:styleId="IPPSubheadSpaceAfter">
    <w:name w:val="IPP Subhead SpaceAfter"/>
    <w:basedOn w:val="IPPSubhead"/>
    <w:qFormat/>
    <w:pPr>
      <w:spacing w:after="60"/>
    </w:pPr>
  </w:style>
  <w:style w:type="paragraph" w:customStyle="1" w:styleId="IPPArialFootnote">
    <w:name w:val="IPP Arial Footnote"/>
    <w:basedOn w:val="IPPArialTable"/>
    <w:qFormat/>
    <w:pPr>
      <w:tabs>
        <w:tab w:val="left" w:pos="567"/>
      </w:tabs>
      <w:ind w:left="567" w:hanging="567"/>
    </w:pPr>
    <w:rPr>
      <w:sz w:val="16"/>
    </w:rPr>
  </w:style>
  <w:style w:type="paragraph" w:customStyle="1" w:styleId="IPPContentsHead">
    <w:name w:val="IPP ContentsHead"/>
    <w:basedOn w:val="IPPSubhead"/>
    <w:next w:val="IPPNormal"/>
    <w:qFormat/>
    <w:pPr>
      <w:spacing w:after="240"/>
    </w:pPr>
    <w:rPr>
      <w:sz w:val="24"/>
    </w:rPr>
  </w:style>
  <w:style w:type="paragraph" w:customStyle="1" w:styleId="IPPNumberedListArial">
    <w:name w:val="IPP NumberedListArial"/>
    <w:basedOn w:val="IPPNumberedList"/>
    <w:qFormat/>
    <w:pPr>
      <w:numPr>
        <w:numId w:val="45"/>
      </w:numPr>
      <w:tabs>
        <w:tab w:val="num" w:pos="567"/>
      </w:tabs>
      <w:ind w:left="567" w:hanging="567"/>
    </w:pPr>
    <w:rPr>
      <w:rFonts w:ascii="Arial" w:hAnsi="Arial"/>
    </w:rPr>
  </w:style>
  <w:style w:type="paragraph" w:customStyle="1" w:styleId="IPPIndentClose">
    <w:name w:val="IPP Indent Close"/>
    <w:basedOn w:val="IPPNormal"/>
    <w:qFormat/>
    <w:pPr>
      <w:numPr>
        <w:numId w:val="46"/>
      </w:numPr>
      <w:tabs>
        <w:tab w:val="left" w:pos="2835"/>
      </w:tabs>
      <w:spacing w:after="60"/>
      <w:ind w:left="567" w:firstLine="0"/>
    </w:pPr>
  </w:style>
  <w:style w:type="paragraph" w:customStyle="1" w:styleId="IPPHdg2Num">
    <w:name w:val="IPP Hdg2Num"/>
    <w:basedOn w:val="IPPNormal"/>
    <w:next w:val="IPPNormal"/>
    <w:qFormat/>
    <w:pPr>
      <w:keepNext/>
      <w:tabs>
        <w:tab w:val="left" w:pos="567"/>
        <w:tab w:val="num" w:pos="680"/>
      </w:tabs>
      <w:spacing w:before="120" w:after="120"/>
      <w:ind w:left="680" w:hanging="680"/>
      <w:outlineLvl w:val="2"/>
    </w:pPr>
    <w:rPr>
      <w:b/>
      <w:sz w:val="24"/>
    </w:rPr>
  </w:style>
  <w:style w:type="character" w:customStyle="1" w:styleId="FollowedHyperlink1">
    <w:name w:val="FollowedHyperlink1"/>
    <w:rPr>
      <w:color w:val="800080"/>
      <w:u w:val="single"/>
    </w:rPr>
  </w:style>
  <w:style w:type="character" w:customStyle="1" w:styleId="txt">
    <w:name w:val="txt"/>
    <w:basedOn w:val="DefaultParagraphFont"/>
  </w:style>
  <w:style w:type="character" w:customStyle="1" w:styleId="highlight">
    <w:name w:val="highlight"/>
    <w:rPr>
      <w:rFonts w:cs="Times New Roman"/>
    </w:rPr>
  </w:style>
  <w:style w:type="paragraph" w:styleId="HTMLPreformatted">
    <w:name w:val="HTML Preformatted"/>
    <w:basedOn w:val="Normal"/>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i/>
      <w:color w:val="auto"/>
      <w:sz w:val="20"/>
    </w:rPr>
  </w:style>
  <w:style w:type="character" w:customStyle="1" w:styleId="txtboldonly">
    <w:name w:val="txtboldonly"/>
    <w:basedOn w:val="DefaultParagraphFont"/>
  </w:style>
  <w:style w:type="paragraph" w:styleId="BodyTextFirstIndent2">
    <w:name w:val="Body Text First Indent 2"/>
    <w:basedOn w:val="BodyTextIndent"/>
    <w:semiHidden/>
    <w:pPr>
      <w:spacing w:after="120" w:line="240" w:lineRule="auto"/>
      <w:ind w:left="283" w:firstLine="210"/>
    </w:pPr>
    <w:rPr>
      <w:i/>
      <w:color w:val="auto"/>
      <w:sz w:val="24"/>
      <w:lang w:val="en-US"/>
    </w:rPr>
  </w:style>
  <w:style w:type="character" w:customStyle="1" w:styleId="pagination">
    <w:name w:val="pagination"/>
    <w:basedOn w:val="DefaultParagraphFont"/>
  </w:style>
  <w:style w:type="character" w:customStyle="1" w:styleId="CarCar5">
    <w:name w:val="Car Car5"/>
    <w:rPr>
      <w:rFonts w:cs="Consolas"/>
      <w:noProof w:val="0"/>
      <w:szCs w:val="24"/>
      <w:u w:val="single"/>
      <w:lang w:val="en-US" w:eastAsia="ja-JP" w:bidi="he-IL"/>
    </w:rPr>
  </w:style>
  <w:style w:type="character" w:customStyle="1" w:styleId="CarCar4">
    <w:name w:val="Car Car4"/>
    <w:rPr>
      <w:rFonts w:eastAsia="MS Mincho" w:cs="Arial"/>
      <w:b/>
      <w:bCs/>
      <w:iCs/>
      <w:noProof w:val="0"/>
      <w:kern w:val="32"/>
      <w:sz w:val="24"/>
      <w:szCs w:val="24"/>
      <w:lang w:val="en-US" w:eastAsia="ja-JP" w:bidi="ar-SA"/>
    </w:rPr>
  </w:style>
  <w:style w:type="character" w:customStyle="1" w:styleId="CarCar3">
    <w:name w:val="Car Car3"/>
    <w:locked/>
    <w:rPr>
      <w:rFonts w:eastAsia="MS Mincho" w:cs="Arial"/>
      <w:b/>
      <w:bCs/>
      <w:i/>
      <w:iCs/>
      <w:noProof w:val="0"/>
      <w:kern w:val="32"/>
      <w:sz w:val="24"/>
      <w:szCs w:val="26"/>
      <w:lang w:val="it-IT" w:eastAsia="ja-JP" w:bidi="ar-SA"/>
    </w:rPr>
  </w:style>
  <w:style w:type="paragraph" w:customStyle="1" w:styleId="CM7">
    <w:name w:val="CM7"/>
    <w:basedOn w:val="Normal"/>
    <w:next w:val="Normal"/>
    <w:pPr>
      <w:autoSpaceDE w:val="0"/>
      <w:autoSpaceDN w:val="0"/>
      <w:adjustRightInd w:val="0"/>
      <w:spacing w:after="0" w:line="198" w:lineRule="atLeast"/>
    </w:pPr>
    <w:rPr>
      <w:rFonts w:ascii="OJFKL G+ Melior" w:eastAsia="Calibri" w:hAnsi="OJFKL G+ Melior"/>
      <w:i/>
      <w:color w:val="auto"/>
      <w:sz w:val="18"/>
      <w:lang w:val="fr-FR"/>
    </w:rPr>
  </w:style>
  <w:style w:type="paragraph" w:customStyle="1" w:styleId="mainheader">
    <w:name w:val="mainheader"/>
    <w:basedOn w:val="Normal"/>
    <w:pPr>
      <w:spacing w:before="100" w:after="100"/>
    </w:pPr>
    <w:rPr>
      <w:rFonts w:eastAsia="MS Mincho"/>
      <w:i/>
      <w:color w:val="auto"/>
      <w:sz w:val="18"/>
      <w:lang w:val="fr-FR" w:eastAsia="ja-JP"/>
    </w:rPr>
  </w:style>
  <w:style w:type="character" w:customStyle="1" w:styleId="surname">
    <w:name w:val="surname"/>
    <w:basedOn w:val="DefaultParagraphFont"/>
  </w:style>
  <w:style w:type="character" w:customStyle="1" w:styleId="CarCar7">
    <w:name w:val="Car Car7"/>
    <w:locked/>
    <w:rPr>
      <w:rFonts w:eastAsia="MS Mincho"/>
      <w:noProof w:val="0"/>
      <w:sz w:val="24"/>
      <w:szCs w:val="24"/>
      <w:lang w:val="fr-FR" w:eastAsia="ja-JP" w:bidi="ar-SA"/>
    </w:rPr>
  </w:style>
  <w:style w:type="character" w:customStyle="1" w:styleId="name0">
    <w:name w:val="name"/>
    <w:basedOn w:val="DefaultParagraphFont"/>
  </w:style>
  <w:style w:type="character" w:customStyle="1" w:styleId="forenames">
    <w:name w:val="forenames"/>
    <w:basedOn w:val="DefaultParagraphFont"/>
  </w:style>
  <w:style w:type="character" w:customStyle="1" w:styleId="txtsmall">
    <w:name w:val="txtsmall"/>
    <w:basedOn w:val="DefaultParagraphFont"/>
  </w:style>
  <w:style w:type="character" w:customStyle="1" w:styleId="mw-formatted-date">
    <w:name w:val="mw-formatted-date"/>
    <w:basedOn w:val="DefaultParagraphFont"/>
  </w:style>
  <w:style w:type="paragraph" w:customStyle="1" w:styleId="MediumGrid1-Accent22">
    <w:name w:val="Medium Grid 1 - Accent 22"/>
    <w:basedOn w:val="Normal"/>
    <w:qFormat/>
    <w:pPr>
      <w:spacing w:after="200" w:line="276" w:lineRule="auto"/>
      <w:ind w:left="720"/>
    </w:pPr>
    <w:rPr>
      <w:rFonts w:ascii="Calibri" w:eastAsia="Calibri" w:hAnsi="Calibri"/>
      <w:i/>
      <w:color w:val="auto"/>
    </w:rPr>
  </w:style>
  <w:style w:type="character" w:customStyle="1" w:styleId="CharChar3">
    <w:name w:val="Char Char3"/>
    <w:rPr>
      <w:sz w:val="22"/>
      <w:szCs w:val="22"/>
    </w:rPr>
  </w:style>
  <w:style w:type="character" w:customStyle="1" w:styleId="fm-citation-ids-label1">
    <w:name w:val="fm-citation-ids-label1"/>
    <w:rPr>
      <w:color w:val="333333"/>
    </w:rPr>
  </w:style>
  <w:style w:type="character" w:customStyle="1" w:styleId="citation-abbreviation2">
    <w:name w:val="citation-abbreviation2"/>
    <w:basedOn w:val="DefaultParagraphFont"/>
  </w:style>
  <w:style w:type="character" w:customStyle="1" w:styleId="citation-publication-date">
    <w:name w:val="citation-publication-date"/>
    <w:basedOn w:val="DefaultParagraphFont"/>
  </w:style>
  <w:style w:type="character" w:customStyle="1" w:styleId="citation-volume">
    <w:name w:val="citation-volume"/>
    <w:basedOn w:val="DefaultParagraphFont"/>
  </w:style>
  <w:style w:type="character" w:customStyle="1" w:styleId="citation-issue">
    <w:name w:val="citation-issue"/>
    <w:basedOn w:val="DefaultParagraphFont"/>
  </w:style>
  <w:style w:type="character" w:customStyle="1" w:styleId="citation-flpages">
    <w:name w:val="citation-flpages"/>
    <w:basedOn w:val="DefaultParagraphFont"/>
  </w:style>
  <w:style w:type="paragraph" w:customStyle="1" w:styleId="citation">
    <w:name w:val="citation"/>
    <w:basedOn w:val="Normal"/>
    <w:pPr>
      <w:spacing w:before="100" w:after="100"/>
    </w:pPr>
    <w:rPr>
      <w:i/>
      <w:color w:val="auto"/>
      <w:sz w:val="18"/>
    </w:rPr>
  </w:style>
  <w:style w:type="paragraph" w:customStyle="1" w:styleId="authlist">
    <w:name w:val="auth_list"/>
    <w:basedOn w:val="Normal"/>
    <w:pPr>
      <w:spacing w:before="100" w:after="100"/>
    </w:pPr>
    <w:rPr>
      <w:i/>
      <w:color w:val="auto"/>
      <w:sz w:val="18"/>
    </w:rPr>
  </w:style>
  <w:style w:type="paragraph" w:customStyle="1" w:styleId="MDthesisHeading2">
    <w:name w:val="MD thesis Heading 2"/>
    <w:basedOn w:val="Heading2"/>
    <w:next w:val="Normal"/>
    <w:autoRedefine/>
    <w:pPr>
      <w:tabs>
        <w:tab w:val="left" w:pos="709"/>
      </w:tabs>
      <w:spacing w:before="120" w:after="60" w:line="360" w:lineRule="auto"/>
      <w:ind w:left="709" w:firstLine="720"/>
    </w:pPr>
    <w:rPr>
      <w:b w:val="0"/>
      <w:i/>
      <w:snapToGrid/>
    </w:rPr>
  </w:style>
  <w:style w:type="paragraph" w:customStyle="1" w:styleId="title1">
    <w:name w:val="title1"/>
    <w:basedOn w:val="Normal"/>
    <w:pPr>
      <w:spacing w:after="0"/>
    </w:pPr>
    <w:rPr>
      <w:i/>
      <w:color w:val="auto"/>
      <w:sz w:val="29"/>
    </w:rPr>
  </w:style>
  <w:style w:type="paragraph" w:customStyle="1" w:styleId="rprtbody1">
    <w:name w:val="rprtbody1"/>
    <w:basedOn w:val="Normal"/>
    <w:pPr>
      <w:spacing w:before="34" w:after="34"/>
    </w:pPr>
    <w:rPr>
      <w:i/>
      <w:color w:val="auto"/>
      <w:sz w:val="28"/>
    </w:rPr>
  </w:style>
  <w:style w:type="paragraph" w:customStyle="1" w:styleId="aux1">
    <w:name w:val="aux1"/>
    <w:basedOn w:val="Normal"/>
    <w:pPr>
      <w:spacing w:after="0" w:line="320" w:lineRule="atLeast"/>
    </w:pPr>
    <w:rPr>
      <w:i/>
      <w:color w:val="auto"/>
      <w:sz w:val="18"/>
    </w:rPr>
  </w:style>
  <w:style w:type="character" w:customStyle="1" w:styleId="src1">
    <w:name w:val="src1"/>
    <w:rPr>
      <w:vanish w:val="0"/>
      <w:webHidden w:val="0"/>
      <w:specVanish w:val="0"/>
    </w:rPr>
  </w:style>
  <w:style w:type="character" w:customStyle="1" w:styleId="jrnl">
    <w:name w:val="jrnl"/>
    <w:basedOn w:val="DefaultParagraphFont"/>
  </w:style>
  <w:style w:type="character" w:customStyle="1" w:styleId="prevauthlinks1">
    <w:name w:val="prevauthlinks1"/>
    <w:rPr>
      <w:color w:val="C0C0C0"/>
      <w:u w:val="single"/>
    </w:rPr>
  </w:style>
  <w:style w:type="character" w:customStyle="1" w:styleId="nbapihighlight">
    <w:name w:val="nbapihighlight"/>
    <w:basedOn w:val="DefaultParagraphFont"/>
  </w:style>
  <w:style w:type="character" w:customStyle="1" w:styleId="bf">
    <w:name w:val="bf"/>
    <w:basedOn w:val="DefaultParagraphFont"/>
  </w:style>
  <w:style w:type="character" w:customStyle="1" w:styleId="it">
    <w:name w:val="it"/>
    <w:basedOn w:val="DefaultParagraphFont"/>
  </w:style>
  <w:style w:type="paragraph" w:customStyle="1" w:styleId="ptdocpara">
    <w:name w:val="ptdocpara"/>
    <w:basedOn w:val="Normal"/>
    <w:pPr>
      <w:spacing w:before="100" w:after="100"/>
    </w:pPr>
    <w:rPr>
      <w:i/>
      <w:color w:val="auto"/>
      <w:sz w:val="18"/>
    </w:rPr>
  </w:style>
  <w:style w:type="character" w:customStyle="1" w:styleId="ptdocpublication">
    <w:name w:val="ptdocpublication"/>
    <w:basedOn w:val="DefaultParagraphFont"/>
  </w:style>
  <w:style w:type="character" w:customStyle="1" w:styleId="ptdocissuevolume">
    <w:name w:val="ptdocissuevolume"/>
    <w:basedOn w:val="DefaultParagraphFont"/>
  </w:style>
  <w:style w:type="character" w:customStyle="1" w:styleId="ptdocissuedate">
    <w:name w:val="ptdocissuedate"/>
    <w:basedOn w:val="DefaultParagraphFont"/>
  </w:style>
  <w:style w:type="character" w:customStyle="1" w:styleId="ptdocissuepage">
    <w:name w:val="ptdocissuepage"/>
    <w:basedOn w:val="DefaultParagraphFont"/>
  </w:style>
  <w:style w:type="paragraph" w:customStyle="1" w:styleId="Referencetext121">
    <w:name w:val="סגנון Reference text + ‏12 נק מודגש1"/>
    <w:basedOn w:val="Normal"/>
    <w:autoRedefine/>
    <w:pPr>
      <w:spacing w:after="0" w:line="480" w:lineRule="auto"/>
      <w:jc w:val="both"/>
    </w:pPr>
    <w:rPr>
      <w:i/>
      <w:color w:val="auto"/>
      <w:sz w:val="18"/>
    </w:rPr>
  </w:style>
  <w:style w:type="paragraph" w:customStyle="1" w:styleId="10">
    <w:name w:val="סגנון כותרת 1 +"/>
    <w:basedOn w:val="Heading1"/>
    <w:pPr>
      <w:spacing w:before="240" w:after="60"/>
    </w:pPr>
    <w:rPr>
      <w:rFonts w:ascii="Arial" w:hAnsi="Arial"/>
      <w:i/>
      <w:color w:val="auto"/>
      <w:kern w:val="32"/>
      <w:sz w:val="32"/>
    </w:rPr>
  </w:style>
  <w:style w:type="paragraph" w:customStyle="1" w:styleId="14">
    <w:name w:val="אותיות גדולות 14"/>
    <w:basedOn w:val="10"/>
    <w:rPr>
      <w:b w:val="0"/>
    </w:rPr>
  </w:style>
  <w:style w:type="paragraph" w:customStyle="1" w:styleId="a3">
    <w:name w:val="טקסט מרכזי"/>
    <w:basedOn w:val="Normal"/>
    <w:pPr>
      <w:spacing w:after="0" w:line="480" w:lineRule="auto"/>
      <w:jc w:val="both"/>
    </w:pPr>
    <w:rPr>
      <w:rFonts w:ascii="Arial" w:hAnsi="Arial"/>
      <w:i/>
      <w:color w:val="auto"/>
      <w:sz w:val="18"/>
    </w:rPr>
  </w:style>
  <w:style w:type="character" w:customStyle="1" w:styleId="search1">
    <w:name w:val="search1"/>
    <w:rPr>
      <w:color w:val="228622"/>
    </w:rPr>
  </w:style>
  <w:style w:type="character" w:customStyle="1" w:styleId="style221">
    <w:name w:val="style221"/>
    <w:rPr>
      <w:color w:val="006633"/>
    </w:rPr>
  </w:style>
  <w:style w:type="character" w:customStyle="1" w:styleId="medium-normal1">
    <w:name w:val="medium-normal1"/>
    <w:rPr>
      <w:rFonts w:ascii="Arial" w:hAnsi="Arial" w:cs="Arial" w:hint="default"/>
      <w:b w:val="0"/>
      <w:bCs w:val="0"/>
      <w:i w:val="0"/>
      <w:iCs w:val="0"/>
      <w:sz w:val="20"/>
      <w:szCs w:val="20"/>
    </w:rPr>
  </w:style>
  <w:style w:type="character" w:styleId="HTMLVariable">
    <w:name w:val="HTML Variable"/>
    <w:rPr>
      <w:rFonts w:ascii="Verdana" w:hAnsi="Verdana" w:hint="default"/>
      <w:i w:val="0"/>
      <w:iCs w:val="0"/>
      <w:color w:val="000000"/>
      <w:sz w:val="20"/>
      <w:szCs w:val="20"/>
    </w:rPr>
  </w:style>
  <w:style w:type="paragraph" w:customStyle="1" w:styleId="last">
    <w:name w:val="last"/>
    <w:basedOn w:val="Normal"/>
    <w:pPr>
      <w:spacing w:before="100" w:after="100"/>
    </w:pPr>
    <w:rPr>
      <w:rFonts w:eastAsia="Calibri"/>
      <w:i/>
      <w:color w:val="auto"/>
      <w:sz w:val="18"/>
    </w:rPr>
  </w:style>
  <w:style w:type="paragraph" w:customStyle="1" w:styleId="firstlast">
    <w:name w:val="first last"/>
    <w:basedOn w:val="Normal"/>
    <w:pPr>
      <w:spacing w:before="100" w:after="100"/>
    </w:pPr>
    <w:rPr>
      <w:rFonts w:eastAsia="Calibri"/>
      <w:i/>
      <w:color w:val="auto"/>
      <w:sz w:val="18"/>
    </w:rPr>
  </w:style>
  <w:style w:type="character" w:customStyle="1" w:styleId="databold1">
    <w:name w:val="data_bold1"/>
    <w:rPr>
      <w:b/>
      <w:bCs/>
    </w:rPr>
  </w:style>
  <w:style w:type="paragraph" w:customStyle="1" w:styleId="normaltext">
    <w:name w:val="normaltext"/>
    <w:basedOn w:val="Normal"/>
    <w:pPr>
      <w:spacing w:before="120" w:after="60"/>
    </w:pPr>
    <w:rPr>
      <w:rFonts w:ascii="Arial" w:hAnsi="Arial"/>
      <w:i/>
      <w:sz w:val="20"/>
    </w:rPr>
  </w:style>
  <w:style w:type="paragraph" w:customStyle="1" w:styleId="heading10">
    <w:name w:val="heading1"/>
    <w:basedOn w:val="Normal"/>
    <w:next w:val="Normal"/>
    <w:pPr>
      <w:keepNext/>
      <w:keepLines/>
      <w:tabs>
        <w:tab w:val="left" w:pos="454"/>
      </w:tabs>
      <w:suppressAutoHyphens/>
      <w:overflowPunct w:val="0"/>
      <w:autoSpaceDE w:val="0"/>
      <w:autoSpaceDN w:val="0"/>
      <w:adjustRightInd w:val="0"/>
      <w:spacing w:before="600" w:after="320" w:line="240" w:lineRule="atLeast"/>
      <w:textAlignment w:val="baseline"/>
    </w:pPr>
    <w:rPr>
      <w:rFonts w:ascii="Times" w:hAnsi="Times"/>
      <w:b/>
      <w:i/>
      <w:color w:val="auto"/>
      <w:sz w:val="18"/>
    </w:rPr>
  </w:style>
  <w:style w:type="character" w:customStyle="1" w:styleId="heading1Carattere">
    <w:name w:val="heading1 Carattere"/>
    <w:rPr>
      <w:rFonts w:ascii="Times" w:hAnsi="Times"/>
      <w:b/>
      <w:noProof w:val="0"/>
      <w:sz w:val="24"/>
      <w:lang w:val="en-US" w:eastAsia="de-DE" w:bidi="ar-SA"/>
    </w:rPr>
  </w:style>
  <w:style w:type="paragraph" w:customStyle="1" w:styleId="literaturelist">
    <w:name w:val="literature list"/>
    <w:basedOn w:val="Normal"/>
    <w:pPr>
      <w:tabs>
        <w:tab w:val="num" w:pos="720"/>
        <w:tab w:val="left" w:pos="5760"/>
      </w:tabs>
      <w:spacing w:after="0" w:line="480" w:lineRule="auto"/>
      <w:ind w:left="720" w:right="170" w:hanging="360"/>
      <w:jc w:val="both"/>
      <w:outlineLvl w:val="0"/>
    </w:pPr>
    <w:rPr>
      <w:i/>
      <w:noProof/>
      <w:color w:val="auto"/>
      <w:sz w:val="18"/>
    </w:rPr>
  </w:style>
  <w:style w:type="character" w:customStyle="1" w:styleId="body1">
    <w:name w:val="body1"/>
    <w:rPr>
      <w:rFonts w:ascii="Verdana" w:hAnsi="Verdana" w:hint="default"/>
      <w:sz w:val="20"/>
      <w:szCs w:val="20"/>
    </w:rPr>
  </w:style>
  <w:style w:type="character" w:customStyle="1" w:styleId="bodybold1">
    <w:name w:val="bodybold1"/>
    <w:rPr>
      <w:rFonts w:ascii="Verdana" w:hAnsi="Verdana" w:hint="default"/>
      <w:b/>
      <w:bCs/>
      <w:sz w:val="20"/>
      <w:szCs w:val="20"/>
    </w:rPr>
  </w:style>
  <w:style w:type="paragraph" w:customStyle="1" w:styleId="CM1">
    <w:name w:val="CM1"/>
    <w:basedOn w:val="Default"/>
    <w:next w:val="Default"/>
    <w:pPr>
      <w:widowControl w:val="0"/>
    </w:pPr>
    <w:rPr>
      <w:color w:val="auto"/>
    </w:rPr>
  </w:style>
  <w:style w:type="paragraph" w:customStyle="1" w:styleId="CM2">
    <w:name w:val="CM2"/>
    <w:basedOn w:val="Default"/>
    <w:next w:val="Default"/>
    <w:pPr>
      <w:widowControl w:val="0"/>
      <w:spacing w:line="553" w:lineRule="atLeast"/>
    </w:pPr>
    <w:rPr>
      <w:color w:val="auto"/>
    </w:rPr>
  </w:style>
  <w:style w:type="paragraph" w:customStyle="1" w:styleId="CM27">
    <w:name w:val="CM27"/>
    <w:basedOn w:val="Default"/>
    <w:next w:val="Default"/>
    <w:pPr>
      <w:widowControl w:val="0"/>
      <w:spacing w:after="78"/>
    </w:pPr>
    <w:rPr>
      <w:color w:val="auto"/>
    </w:rPr>
  </w:style>
  <w:style w:type="paragraph" w:customStyle="1" w:styleId="CM3">
    <w:name w:val="CM3"/>
    <w:basedOn w:val="Default"/>
    <w:next w:val="Default"/>
    <w:pPr>
      <w:widowControl w:val="0"/>
      <w:numPr>
        <w:numId w:val="32"/>
      </w:numPr>
      <w:tabs>
        <w:tab w:val="clear" w:pos="720"/>
        <w:tab w:val="num" w:pos="680"/>
      </w:tabs>
      <w:spacing w:line="551" w:lineRule="atLeast"/>
      <w:ind w:left="0" w:firstLine="0"/>
    </w:pPr>
    <w:rPr>
      <w:color w:val="auto"/>
    </w:rPr>
  </w:style>
  <w:style w:type="paragraph" w:customStyle="1" w:styleId="CM28">
    <w:name w:val="CM28"/>
    <w:basedOn w:val="Default"/>
    <w:next w:val="Default"/>
    <w:pPr>
      <w:widowControl w:val="0"/>
      <w:spacing w:after="412"/>
    </w:pPr>
    <w:rPr>
      <w:color w:val="auto"/>
    </w:rPr>
  </w:style>
  <w:style w:type="paragraph" w:customStyle="1" w:styleId="CM30">
    <w:name w:val="CM30"/>
    <w:basedOn w:val="Default"/>
    <w:next w:val="Default"/>
    <w:pPr>
      <w:widowControl w:val="0"/>
      <w:spacing w:after="75"/>
    </w:pPr>
    <w:rPr>
      <w:color w:val="auto"/>
    </w:rPr>
  </w:style>
  <w:style w:type="paragraph" w:customStyle="1" w:styleId="CM10">
    <w:name w:val="CM10"/>
    <w:basedOn w:val="Default"/>
    <w:next w:val="Default"/>
    <w:pPr>
      <w:widowControl w:val="0"/>
      <w:spacing w:line="556" w:lineRule="atLeast"/>
    </w:pPr>
    <w:rPr>
      <w:color w:val="auto"/>
    </w:rPr>
  </w:style>
  <w:style w:type="paragraph" w:customStyle="1" w:styleId="CM32">
    <w:name w:val="CM32"/>
    <w:basedOn w:val="Default"/>
    <w:next w:val="Default"/>
    <w:pPr>
      <w:widowControl w:val="0"/>
      <w:spacing w:after="725"/>
    </w:pPr>
    <w:rPr>
      <w:color w:val="auto"/>
    </w:rPr>
  </w:style>
  <w:style w:type="paragraph" w:customStyle="1" w:styleId="CM33">
    <w:name w:val="CM33"/>
    <w:basedOn w:val="Default"/>
    <w:next w:val="Default"/>
    <w:pPr>
      <w:widowControl w:val="0"/>
      <w:numPr>
        <w:numId w:val="47"/>
      </w:numPr>
      <w:spacing w:after="538"/>
      <w:ind w:left="0" w:firstLine="0"/>
    </w:pPr>
    <w:rPr>
      <w:color w:val="auto"/>
    </w:rPr>
  </w:style>
  <w:style w:type="paragraph" w:customStyle="1" w:styleId="CM16">
    <w:name w:val="CM16"/>
    <w:basedOn w:val="Default"/>
    <w:next w:val="Default"/>
    <w:pPr>
      <w:widowControl w:val="0"/>
      <w:spacing w:line="553" w:lineRule="atLeast"/>
    </w:pPr>
    <w:rPr>
      <w:color w:val="auto"/>
    </w:rPr>
  </w:style>
  <w:style w:type="paragraph" w:customStyle="1" w:styleId="CM19">
    <w:name w:val="CM19"/>
    <w:basedOn w:val="Default"/>
    <w:next w:val="Default"/>
    <w:pPr>
      <w:widowControl w:val="0"/>
      <w:spacing w:line="268" w:lineRule="atLeast"/>
    </w:pPr>
    <w:rPr>
      <w:color w:val="auto"/>
    </w:rPr>
  </w:style>
  <w:style w:type="character" w:customStyle="1" w:styleId="ZchnZchn16">
    <w:name w:val="Zchn Zchn16"/>
    <w:rPr>
      <w:rFonts w:ascii="Arial" w:hAnsi="Arial" w:cs="Arial"/>
      <w:b/>
      <w:bCs/>
      <w:noProof w:val="0"/>
      <w:kern w:val="32"/>
      <w:sz w:val="32"/>
      <w:szCs w:val="32"/>
      <w:lang w:val="en-US" w:eastAsia="en-US" w:bidi="ar-SA"/>
    </w:rPr>
  </w:style>
  <w:style w:type="character" w:customStyle="1" w:styleId="ZchnZchn1">
    <w:name w:val="Zchn Zchn1"/>
    <w:rPr>
      <w:rFonts w:ascii="Cambria" w:hAnsi="Cambria"/>
      <w:b/>
      <w:bCs/>
      <w:noProof w:val="0"/>
      <w:kern w:val="28"/>
      <w:sz w:val="32"/>
      <w:szCs w:val="32"/>
      <w:lang w:val="ca-ES" w:eastAsia="en-US" w:bidi="ar-SA"/>
    </w:rPr>
  </w:style>
  <w:style w:type="paragraph" w:styleId="NoSpacing">
    <w:name w:val="No Spacing"/>
    <w:uiPriority w:val="1"/>
    <w:qFormat/>
    <w:rPr>
      <w:rFonts w:ascii="Times New Roman" w:hAnsi="Times New Roman"/>
      <w:sz w:val="24"/>
      <w:lang w:val="en-US" w:eastAsia="ko-KR"/>
    </w:rPr>
  </w:style>
  <w:style w:type="character" w:customStyle="1" w:styleId="ZchnZchn">
    <w:name w:val="Zchn Zchn"/>
    <w:rPr>
      <w:rFonts w:ascii="Calibri" w:hAnsi="Calibri"/>
      <w:noProof w:val="0"/>
      <w:lang w:val="ca-ES" w:eastAsia="en-US" w:bidi="ar-SA"/>
    </w:rPr>
  </w:style>
  <w:style w:type="paragraph" w:customStyle="1" w:styleId="references0">
    <w:name w:val="references"/>
    <w:basedOn w:val="Normal"/>
    <w:pPr>
      <w:spacing w:before="60" w:after="60"/>
      <w:ind w:left="1134" w:hanging="1134"/>
      <w:jc w:val="both"/>
    </w:pPr>
    <w:rPr>
      <w:rFonts w:ascii="Garamond" w:hAnsi="Garamond"/>
      <w:i/>
      <w:color w:val="auto"/>
      <w:sz w:val="20"/>
    </w:rPr>
  </w:style>
  <w:style w:type="paragraph" w:customStyle="1" w:styleId="refs">
    <w:name w:val="refs"/>
    <w:basedOn w:val="Normal"/>
    <w:pPr>
      <w:spacing w:before="100" w:after="100"/>
    </w:pPr>
    <w:rPr>
      <w:i/>
      <w:color w:val="auto"/>
      <w:sz w:val="18"/>
    </w:rPr>
  </w:style>
  <w:style w:type="character" w:customStyle="1" w:styleId="ital">
    <w:name w:val="ital"/>
    <w:basedOn w:val="DefaultParagraphFont"/>
  </w:style>
  <w:style w:type="paragraph" w:customStyle="1" w:styleId="Literaturverzeichnis">
    <w:name w:val="Literaturverzeichnis"/>
    <w:basedOn w:val="Normal"/>
    <w:next w:val="Normal"/>
    <w:unhideWhenUsed/>
    <w:pPr>
      <w:spacing w:after="200" w:line="276" w:lineRule="auto"/>
    </w:pPr>
    <w:rPr>
      <w:rFonts w:ascii="Calibri" w:hAnsi="Calibri"/>
      <w:i/>
      <w:color w:val="auto"/>
      <w:lang w:val="de-DE"/>
    </w:rPr>
  </w:style>
  <w:style w:type="character" w:customStyle="1" w:styleId="databold">
    <w:name w:val="data_bold"/>
    <w:basedOn w:val="DefaultParagraphFont"/>
  </w:style>
  <w:style w:type="character" w:customStyle="1" w:styleId="cmpparsedlocationcmpparsedstyle">
    <w:name w:val="cmp_parsed_location cmp_parsed_style"/>
    <w:basedOn w:val="DefaultParagraphFont"/>
  </w:style>
  <w:style w:type="paragraph" w:customStyle="1" w:styleId="MediumGrid1-Accent21">
    <w:name w:val="Medium Grid 1 - Accent 21"/>
    <w:basedOn w:val="Normal"/>
    <w:qFormat/>
    <w:pPr>
      <w:spacing w:after="200" w:line="276" w:lineRule="auto"/>
      <w:ind w:left="720"/>
    </w:pPr>
    <w:rPr>
      <w:rFonts w:ascii="Calibri" w:eastAsia="Calibri" w:hAnsi="Calibri"/>
      <w:b/>
      <w:i/>
      <w:color w:val="auto"/>
    </w:rPr>
  </w:style>
  <w:style w:type="paragraph" w:customStyle="1" w:styleId="ReferencesNIPIndia">
    <w:name w:val="References NIP India"/>
    <w:basedOn w:val="Normal"/>
    <w:qFormat/>
    <w:pPr>
      <w:spacing w:before="20" w:after="20"/>
      <w:ind w:left="709" w:right="720" w:hanging="709"/>
    </w:pPr>
    <w:rPr>
      <w:b/>
      <w:i/>
      <w:color w:val="auto"/>
      <w:sz w:val="18"/>
      <w:lang w:val="en-CA"/>
    </w:rPr>
  </w:style>
  <w:style w:type="character" w:customStyle="1" w:styleId="FootnoteTextChar">
    <w:name w:val="Footnote Text Char"/>
    <w:aliases w:val="Geneva 9 Char,Font: Geneva 9 Char,Boston 10 Char,f Char"/>
    <w:uiPriority w:val="99"/>
    <w:rPr>
      <w:sz w:val="20"/>
      <w:szCs w:val="20"/>
    </w:rPr>
  </w:style>
  <w:style w:type="character" w:customStyle="1" w:styleId="BodyTextIndent2Char">
    <w:name w:val="Body Text Indent 2 Char"/>
    <w:basedOn w:val="DefaultParagraphFont"/>
    <w:semiHidden/>
  </w:style>
  <w:style w:type="paragraph" w:customStyle="1" w:styleId="Textedebulles">
    <w:name w:val="Texte de bulles"/>
    <w:basedOn w:val="Normal"/>
    <w:semiHidden/>
    <w:pPr>
      <w:spacing w:before="100" w:after="0"/>
      <w:ind w:right="720"/>
      <w:jc w:val="both"/>
    </w:pPr>
    <w:rPr>
      <w:rFonts w:ascii="Tahoma" w:hAnsi="Tahoma"/>
      <w:color w:val="auto"/>
      <w:sz w:val="16"/>
    </w:rPr>
  </w:style>
  <w:style w:type="character" w:customStyle="1" w:styleId="CarCar2">
    <w:name w:val="Car Car2"/>
    <w:semiHidden/>
    <w:locked/>
    <w:rPr>
      <w:rFonts w:cs="MS Gothic"/>
      <w:noProof w:val="0"/>
      <w:lang w:val="en-US" w:eastAsia="ja-JP" w:bidi="he-IL"/>
    </w:rPr>
  </w:style>
  <w:style w:type="character" w:customStyle="1" w:styleId="CarCar1">
    <w:name w:val="Car Car1"/>
    <w:semiHidden/>
    <w:locked/>
    <w:rPr>
      <w:rFonts w:cs="MS Gothic"/>
      <w:noProof w:val="0"/>
      <w:lang w:val="en-US" w:eastAsia="ja-JP" w:bidi="he-IL"/>
    </w:rPr>
  </w:style>
  <w:style w:type="character" w:customStyle="1" w:styleId="CharChar4">
    <w:name w:val="Char Char4"/>
    <w:semiHidden/>
    <w:rPr>
      <w:sz w:val="22"/>
      <w:szCs w:val="22"/>
    </w:rPr>
  </w:style>
  <w:style w:type="character" w:customStyle="1" w:styleId="ZchnZchn15">
    <w:name w:val="Zchn Zchn15"/>
    <w:semiHidden/>
    <w:rPr>
      <w:rFonts w:ascii="Arial" w:hAnsi="Arial" w:cs="Arial"/>
      <w:b/>
      <w:bCs/>
      <w:i/>
      <w:iCs/>
      <w:noProof w:val="0"/>
      <w:sz w:val="28"/>
      <w:szCs w:val="28"/>
      <w:lang w:val="en-US" w:eastAsia="en-US" w:bidi="ar-SA"/>
    </w:rPr>
  </w:style>
  <w:style w:type="character" w:customStyle="1" w:styleId="ZchnZchn14">
    <w:name w:val="Zchn Zchn14"/>
    <w:semiHidden/>
    <w:rPr>
      <w:rFonts w:ascii="Arial" w:hAnsi="Arial" w:cs="Arial"/>
      <w:b/>
      <w:bCs/>
      <w:noProof w:val="0"/>
      <w:sz w:val="26"/>
      <w:szCs w:val="26"/>
      <w:lang w:val="en-US" w:eastAsia="en-US" w:bidi="ar-SA"/>
    </w:rPr>
  </w:style>
  <w:style w:type="character" w:customStyle="1" w:styleId="ZchnZchn13">
    <w:name w:val="Zchn Zchn13"/>
    <w:semiHidden/>
    <w:rPr>
      <w:rFonts w:ascii="Arial" w:hAnsi="Arial" w:cs="Arial"/>
      <w:b/>
      <w:bCs/>
      <w:noProof w:val="0"/>
      <w:sz w:val="24"/>
      <w:szCs w:val="24"/>
      <w:lang w:val="de-DE" w:eastAsia="de-DE" w:bidi="ar-SA"/>
    </w:rPr>
  </w:style>
  <w:style w:type="character" w:customStyle="1" w:styleId="ZchnZchn12">
    <w:name w:val="Zchn Zchn12"/>
    <w:semiHidden/>
    <w:rPr>
      <w:rFonts w:ascii="Arial" w:hAnsi="Arial" w:cs="Arial"/>
      <w:b/>
      <w:bCs/>
      <w:noProof w:val="0"/>
      <w:sz w:val="24"/>
      <w:szCs w:val="24"/>
      <w:lang w:val="de-DE" w:eastAsia="de-DE" w:bidi="ar-SA"/>
    </w:rPr>
  </w:style>
  <w:style w:type="character" w:customStyle="1" w:styleId="ZchnZchn11">
    <w:name w:val="Zchn Zchn11"/>
    <w:semiHidden/>
    <w:rPr>
      <w:rFonts w:ascii="Arial" w:hAnsi="Arial" w:cs="Arial"/>
      <w:b/>
      <w:bCs/>
      <w:noProof w:val="0"/>
      <w:lang w:val="de-DE" w:eastAsia="de-DE" w:bidi="ar-SA"/>
    </w:rPr>
  </w:style>
  <w:style w:type="character" w:customStyle="1" w:styleId="ZchnZchn10">
    <w:name w:val="Zchn Zchn10"/>
    <w:semiHidden/>
    <w:rPr>
      <w:rFonts w:ascii="Arial" w:hAnsi="Arial" w:cs="Arial"/>
      <w:b/>
      <w:bCs/>
      <w:noProof w:val="0"/>
      <w:sz w:val="28"/>
      <w:szCs w:val="28"/>
      <w:lang w:val="de-DE" w:eastAsia="de-DE" w:bidi="ar-SA"/>
    </w:rPr>
  </w:style>
  <w:style w:type="character" w:customStyle="1" w:styleId="ZchnZchn9">
    <w:name w:val="Zchn Zchn9"/>
    <w:semiHidden/>
    <w:rPr>
      <w:rFonts w:ascii="Arial" w:hAnsi="Arial" w:cs="Arial"/>
      <w:b/>
      <w:bCs/>
      <w:noProof w:val="0"/>
      <w:lang w:val="de-DE" w:eastAsia="de-DE" w:bidi="ar-SA"/>
    </w:rPr>
  </w:style>
  <w:style w:type="character" w:customStyle="1" w:styleId="ZchnZchn8">
    <w:name w:val="Zchn Zchn8"/>
    <w:semiHidden/>
    <w:rPr>
      <w:rFonts w:ascii="Arial" w:hAnsi="Arial" w:cs="Arial"/>
      <w:noProof w:val="0"/>
      <w:sz w:val="24"/>
      <w:szCs w:val="24"/>
      <w:lang w:val="de-DE" w:eastAsia="de-DE" w:bidi="ar-SA"/>
    </w:rPr>
  </w:style>
  <w:style w:type="character" w:customStyle="1" w:styleId="CharCharZchn">
    <w:name w:val="Char Char Zchn"/>
    <w:aliases w:val="Body Text Char Char Char Char Char Zchn,Body Text Char Char Char Char Zchn Zchn"/>
    <w:semiHidden/>
    <w:locked/>
    <w:rPr>
      <w:rFonts w:eastAsia="MS Mincho"/>
      <w:noProof w:val="0"/>
      <w:color w:val="000000"/>
      <w:sz w:val="24"/>
      <w:lang w:val="en-GB" w:eastAsia="zh-CN" w:bidi="ar-SA"/>
    </w:rPr>
  </w:style>
  <w:style w:type="character" w:customStyle="1" w:styleId="ZchnZchn4">
    <w:name w:val="Zchn Zchn4"/>
    <w:semiHidden/>
    <w:rPr>
      <w:noProof w:val="0"/>
      <w:sz w:val="24"/>
      <w:szCs w:val="24"/>
      <w:lang w:val="en-US" w:eastAsia="en-US" w:bidi="ar-SA"/>
    </w:rPr>
  </w:style>
  <w:style w:type="character" w:customStyle="1" w:styleId="ZchnZchn7">
    <w:name w:val="Zchn Zchn7"/>
    <w:semiHidden/>
    <w:rPr>
      <w:noProof w:val="0"/>
      <w:sz w:val="24"/>
      <w:szCs w:val="24"/>
      <w:lang w:val="en-US" w:eastAsia="en-US" w:bidi="ar-SA"/>
    </w:rPr>
  </w:style>
  <w:style w:type="character" w:customStyle="1" w:styleId="ZchnZchn6">
    <w:name w:val="Zchn Zchn6"/>
    <w:semiHidden/>
    <w:rPr>
      <w:rFonts w:ascii="Courier New" w:hAnsi="Courier New" w:cs="MS Gothic"/>
      <w:noProof w:val="0"/>
      <w:lang w:val="de-DE" w:eastAsia="de-DE" w:bidi="ar-SA"/>
    </w:rPr>
  </w:style>
  <w:style w:type="character" w:customStyle="1" w:styleId="ZchnZchn5">
    <w:name w:val="Zchn Zchn5"/>
    <w:semiHidden/>
    <w:rPr>
      <w:rFonts w:ascii="Arial" w:hAnsi="Arial" w:cs="Arial"/>
      <w:noProof w:val="0"/>
      <w:sz w:val="24"/>
      <w:szCs w:val="24"/>
      <w:lang w:val="de-DE" w:eastAsia="de-DE" w:bidi="ar-SA"/>
    </w:rPr>
  </w:style>
  <w:style w:type="character" w:customStyle="1" w:styleId="ZchnZchn3">
    <w:name w:val="Zchn Zchn3"/>
    <w:semiHidden/>
    <w:rPr>
      <w:rFonts w:ascii="Arial" w:hAnsi="Arial" w:cs="Arial"/>
      <w:noProof w:val="0"/>
      <w:sz w:val="24"/>
      <w:szCs w:val="24"/>
      <w:lang w:val="de-DE" w:eastAsia="de-DE" w:bidi="ar-SA"/>
    </w:rPr>
  </w:style>
  <w:style w:type="paragraph" w:customStyle="1" w:styleId="11">
    <w:name w:val="コメント内容1"/>
    <w:basedOn w:val="CommentText"/>
    <w:next w:val="CommentText"/>
    <w:semiHidden/>
    <w:pPr>
      <w:spacing w:after="0"/>
    </w:pPr>
    <w:rPr>
      <w:rFonts w:ascii="Century" w:eastAsia="MS Mincho" w:hAnsi="Century"/>
      <w:b/>
      <w:bCs/>
      <w:kern w:val="2"/>
      <w:sz w:val="24"/>
      <w:szCs w:val="24"/>
      <w:lang w:val="en-US" w:eastAsia="ja-JP"/>
    </w:rPr>
  </w:style>
  <w:style w:type="paragraph" w:customStyle="1" w:styleId="12">
    <w:name w:val="吹き出し1"/>
    <w:basedOn w:val="Normal"/>
    <w:semiHidden/>
    <w:pPr>
      <w:widowControl w:val="0"/>
      <w:spacing w:after="0"/>
      <w:jc w:val="both"/>
    </w:pPr>
    <w:rPr>
      <w:rFonts w:ascii="Arial" w:eastAsia="MS Gothic" w:hAnsi="Arial"/>
      <w:color w:val="auto"/>
      <w:kern w:val="2"/>
      <w:sz w:val="18"/>
      <w:szCs w:val="18"/>
      <w:lang w:val="en-US" w:eastAsia="ja-JP"/>
    </w:rPr>
  </w:style>
  <w:style w:type="paragraph" w:customStyle="1" w:styleId="a4">
    <w:name w:val="批注框文本"/>
    <w:basedOn w:val="Normal"/>
    <w:semiHidden/>
    <w:pPr>
      <w:widowControl w:val="0"/>
      <w:spacing w:after="0"/>
      <w:jc w:val="both"/>
    </w:pPr>
    <w:rPr>
      <w:rFonts w:eastAsia="MS Mincho"/>
      <w:color w:val="auto"/>
      <w:kern w:val="2"/>
      <w:sz w:val="18"/>
      <w:szCs w:val="18"/>
      <w:lang w:val="en-US" w:eastAsia="ja-JP"/>
    </w:rPr>
  </w:style>
  <w:style w:type="paragraph" w:customStyle="1" w:styleId="a5">
    <w:name w:val="批注主题"/>
    <w:basedOn w:val="CommentText"/>
    <w:next w:val="CommentText"/>
    <w:semiHidden/>
    <w:pPr>
      <w:spacing w:after="0"/>
    </w:pPr>
    <w:rPr>
      <w:rFonts w:ascii="Century" w:eastAsia="MS Mincho" w:hAnsi="Century"/>
      <w:b/>
      <w:bCs/>
      <w:kern w:val="2"/>
      <w:sz w:val="24"/>
      <w:szCs w:val="24"/>
      <w:lang w:val="en-US" w:eastAsia="ja-JP"/>
    </w:rPr>
  </w:style>
  <w:style w:type="paragraph" w:customStyle="1" w:styleId="Textodeglobo1">
    <w:name w:val="Texto de globo1"/>
    <w:basedOn w:val="Normal"/>
    <w:semiHidden/>
    <w:pPr>
      <w:widowControl w:val="0"/>
      <w:spacing w:after="0"/>
      <w:jc w:val="both"/>
    </w:pPr>
    <w:rPr>
      <w:rFonts w:ascii="Tahoma" w:eastAsia="MS Mincho" w:hAnsi="Tahoma" w:cs="Times New Roman Bold"/>
      <w:color w:val="auto"/>
      <w:kern w:val="2"/>
      <w:sz w:val="16"/>
      <w:szCs w:val="16"/>
      <w:lang w:val="en-US" w:eastAsia="ja-JP"/>
    </w:rPr>
  </w:style>
  <w:style w:type="paragraph" w:customStyle="1" w:styleId="a7">
    <w:name w:val="スタイル"/>
    <w:pPr>
      <w:widowControl w:val="0"/>
      <w:autoSpaceDE w:val="0"/>
      <w:autoSpaceDN w:val="0"/>
      <w:adjustRightInd w:val="0"/>
    </w:pPr>
    <w:rPr>
      <w:rFonts w:ascii="Times New Roman" w:eastAsia="MS Mincho" w:hAnsi="Times New Roman"/>
      <w:sz w:val="24"/>
      <w:szCs w:val="24"/>
      <w:lang w:val="en-US" w:eastAsia="ja-JP"/>
    </w:rPr>
  </w:style>
  <w:style w:type="paragraph" w:customStyle="1" w:styleId="BodyText12">
    <w:name w:val="Body Text12"/>
    <w:basedOn w:val="Normal"/>
    <w:rPr>
      <w:szCs w:val="24"/>
    </w:rPr>
  </w:style>
  <w:style w:type="paragraph" w:customStyle="1" w:styleId="Tableandfigureheaders">
    <w:name w:val="Table and figure headers"/>
    <w:basedOn w:val="Caption"/>
    <w:autoRedefine/>
    <w:rsid w:val="00DA0F78"/>
    <w:pPr>
      <w:keepNext/>
      <w:spacing w:after="200" w:line="240" w:lineRule="auto"/>
      <w:ind w:left="1417" w:hanging="992"/>
      <w:jc w:val="both"/>
    </w:pPr>
    <w:rPr>
      <w:b/>
      <w:bCs/>
      <w:color w:val="auto"/>
      <w:sz w:val="24"/>
      <w:szCs w:val="24"/>
      <w:lang w:eastAsia="en-US"/>
    </w:rPr>
  </w:style>
  <w:style w:type="paragraph" w:customStyle="1" w:styleId="Tableandfigfooter">
    <w:name w:val="Table and fig footer"/>
    <w:basedOn w:val="Paraindent"/>
    <w:pPr>
      <w:spacing w:before="0" w:after="0"/>
      <w:ind w:left="425" w:right="0"/>
    </w:pPr>
    <w:rPr>
      <w:rFonts w:ascii="Calibri" w:hAnsi="Calibri"/>
      <w:i w:val="0"/>
      <w:noProof/>
      <w:color w:val="auto"/>
      <w:sz w:val="18"/>
      <w:szCs w:val="22"/>
      <w:lang w:eastAsia="en-GB"/>
    </w:rPr>
  </w:style>
  <w:style w:type="character" w:customStyle="1" w:styleId="CharChar22">
    <w:name w:val="Char Char22"/>
    <w:locked/>
    <w:rPr>
      <w:b/>
      <w:bCs w:val="0"/>
      <w:noProof w:val="0"/>
      <w:color w:val="000000"/>
      <w:sz w:val="28"/>
      <w:lang w:val="en-GB" w:eastAsia="zh-CN" w:bidi="ar-SA"/>
    </w:rPr>
  </w:style>
  <w:style w:type="character" w:customStyle="1" w:styleId="CharChar12">
    <w:name w:val="Char Char12"/>
    <w:rPr>
      <w:rFonts w:ascii="Arial" w:hAnsi="Arial" w:cs="Arial" w:hint="default"/>
      <w:noProof w:val="0"/>
      <w:lang w:val="en-GB" w:eastAsia="zh-CN" w:bidi="ar-SA"/>
    </w:rPr>
  </w:style>
  <w:style w:type="character" w:customStyle="1" w:styleId="110">
    <w:name w:val="(文字) (文字)11"/>
    <w:rPr>
      <w:rFonts w:ascii="SimSun" w:eastAsia="SimSun" w:hint="eastAsia"/>
      <w:noProof w:val="0"/>
      <w:sz w:val="24"/>
      <w:szCs w:val="24"/>
      <w:lang w:val="en-US" w:eastAsia="zh-CN" w:bidi="ar-SA"/>
    </w:rPr>
  </w:style>
  <w:style w:type="character" w:customStyle="1" w:styleId="2">
    <w:name w:val="(文字) (文字)2"/>
    <w:rPr>
      <w:rFonts w:ascii="SimSun" w:eastAsia="SimSun" w:hint="eastAsia"/>
      <w:b/>
      <w:bCs/>
      <w:noProof w:val="0"/>
      <w:sz w:val="24"/>
      <w:szCs w:val="24"/>
      <w:lang w:val="en-US" w:eastAsia="en-US" w:bidi="ar-SA"/>
    </w:rPr>
  </w:style>
  <w:style w:type="character" w:customStyle="1" w:styleId="CarCar192">
    <w:name w:val="Car Car192"/>
    <w:locked/>
    <w:rPr>
      <w:rFonts w:ascii="MS Mincho" w:eastAsia="MS Mincho" w:hint="eastAsia"/>
      <w:noProof w:val="0"/>
      <w:color w:val="000000"/>
      <w:sz w:val="24"/>
      <w:szCs w:val="24"/>
      <w:lang w:val="en-GB" w:eastAsia="zh-CN" w:bidi="ar-SA"/>
    </w:rPr>
  </w:style>
  <w:style w:type="character" w:customStyle="1" w:styleId="Heading1Char3">
    <w:name w:val="Heading 1 Char3"/>
    <w:aliases w:val="Para (1) Char2,Heading 1 Char1 Char Char2,Heading 1 Char Char Char Char1,Para (1) Char Char Char Char1,Para (1) Char1 Char Char1,Heading 1 Char1 Char2,Heading 1 Char Char Char2,Para (1) Char Char Char2,Para (1) Char1 Char2"/>
    <w:rsid w:val="00F95F7D"/>
    <w:rPr>
      <w:sz w:val="28"/>
      <w:lang w:eastAsia="en-US"/>
    </w:rPr>
  </w:style>
  <w:style w:type="character" w:customStyle="1" w:styleId="Heading3Char1">
    <w:name w:val="Heading 3 Char1"/>
    <w:aliases w:val="Heading 3 Char1 Char Char,Heading 3 Char Char Char Char,Char Char Char Char Char,Char Char1 Char Char,Heading 3 Char1 Char Char1,Heading 3 Char Char Char Char1,Char Char Char Char Char1,Char Char1 Char Char1,Heading 3 Char1 Char Char11"/>
    <w:rPr>
      <w:b/>
      <w:bCs w:val="0"/>
      <w:i/>
      <w:iCs w:val="0"/>
      <w:noProof w:val="0"/>
      <w:color w:val="000000"/>
      <w:sz w:val="24"/>
      <w:lang w:val="en-GB" w:eastAsia="en-US"/>
    </w:rPr>
  </w:style>
  <w:style w:type="character" w:customStyle="1" w:styleId="Heading4Char1">
    <w:name w:val="Heading 4 Char1"/>
    <w:rPr>
      <w:b/>
      <w:bCs w:val="0"/>
      <w:i/>
      <w:iCs w:val="0"/>
      <w:noProof w:val="0"/>
      <w:snapToGrid w:val="0"/>
      <w:color w:val="000000"/>
      <w:sz w:val="24"/>
      <w:lang w:val="en-GB" w:eastAsia="zh-CN"/>
    </w:rPr>
  </w:style>
  <w:style w:type="character" w:customStyle="1" w:styleId="Heading311ptBoldChar">
    <w:name w:val="Heading 3 + 11 pt Bold Char"/>
    <w:rPr>
      <w:b/>
      <w:sz w:val="24"/>
    </w:rPr>
  </w:style>
  <w:style w:type="character" w:customStyle="1" w:styleId="A20">
    <w:name w:val="A2"/>
    <w:uiPriority w:val="99"/>
    <w:rPr>
      <w:b/>
      <w:bCs w:val="0"/>
      <w:color w:val="000000"/>
      <w:sz w:val="12"/>
    </w:rPr>
  </w:style>
  <w:style w:type="character" w:customStyle="1" w:styleId="StyleHeading4Left0Firstline0Char">
    <w:name w:val="Style Heading 4 + Left:  0&quot; First line:  0&quot; Char"/>
    <w:rPr>
      <w:b/>
      <w:bCs w:val="0"/>
      <w:i/>
      <w:iCs w:val="0"/>
      <w:noProof w:val="0"/>
      <w:snapToGrid w:val="0"/>
      <w:color w:val="000000"/>
      <w:sz w:val="24"/>
      <w:lang w:val="en-GB" w:eastAsia="zh-CN"/>
    </w:rPr>
  </w:style>
  <w:style w:type="character" w:customStyle="1" w:styleId="ECMStableheaderChar">
    <w:name w:val="ECMS table header Char"/>
    <w:rPr>
      <w:b/>
      <w:bCs w:val="0"/>
      <w:noProof w:val="0"/>
      <w:sz w:val="24"/>
      <w:lang w:val="en-GB" w:eastAsia="en-GB"/>
    </w:rPr>
  </w:style>
  <w:style w:type="character" w:customStyle="1" w:styleId="maintext1">
    <w:name w:val="maintext1"/>
    <w:rPr>
      <w:rFonts w:ascii="Verdana" w:hAnsi="Verdana" w:hint="default"/>
      <w:sz w:val="20"/>
    </w:rPr>
  </w:style>
  <w:style w:type="character" w:customStyle="1" w:styleId="CharChar42">
    <w:name w:val="Char Char42"/>
    <w:locked/>
    <w:rPr>
      <w:noProof w:val="0"/>
      <w:sz w:val="24"/>
      <w:lang w:val="en-US" w:eastAsia="en-AU"/>
    </w:rPr>
  </w:style>
  <w:style w:type="character" w:customStyle="1" w:styleId="apple-style-span">
    <w:name w:val="apple-style-span"/>
    <w:rPr>
      <w:rFonts w:ascii="Times New Roman" w:hAnsi="Times New Roman" w:cs="Times New Roman" w:hint="default"/>
    </w:rPr>
  </w:style>
  <w:style w:type="character" w:customStyle="1" w:styleId="CharChar5">
    <w:name w:val="Char Char5"/>
    <w:locked/>
    <w:rPr>
      <w:rFonts w:ascii="Tahoma" w:hAnsi="Tahoma" w:cs="Times New Roman Bold" w:hint="default"/>
      <w:noProof w:val="0"/>
      <w:sz w:val="16"/>
      <w:lang w:val="en-US" w:eastAsia="en-US"/>
    </w:rPr>
  </w:style>
  <w:style w:type="character" w:customStyle="1" w:styleId="apple-converted-space">
    <w:name w:val="apple-converted-space"/>
    <w:rPr>
      <w:rFonts w:ascii="Times New Roman" w:hAnsi="Times New Roman" w:cs="Times New Roman" w:hint="default"/>
    </w:rPr>
  </w:style>
  <w:style w:type="character" w:customStyle="1" w:styleId="CharChar32">
    <w:name w:val="Char Char32"/>
    <w:locked/>
    <w:rPr>
      <w:noProof w:val="0"/>
      <w:color w:val="000000"/>
      <w:sz w:val="24"/>
      <w:lang w:val="en-GB" w:eastAsia="en-US"/>
    </w:rPr>
  </w:style>
  <w:style w:type="paragraph" w:customStyle="1" w:styleId="listparagraphcxspmiddle">
    <w:name w:val="listparagraphcxspmiddle"/>
    <w:basedOn w:val="Normal"/>
    <w:pPr>
      <w:spacing w:before="100" w:after="100"/>
    </w:pPr>
    <w:rPr>
      <w:color w:val="auto"/>
      <w:lang w:val="en-US"/>
    </w:rPr>
  </w:style>
  <w:style w:type="paragraph" w:customStyle="1" w:styleId="StyleBodyText1After6pt">
    <w:name w:val="Style Body Text1 + After:  6 pt"/>
    <w:basedOn w:val="BodyText12"/>
    <w:rPr>
      <w:szCs w:val="20"/>
    </w:rPr>
  </w:style>
  <w:style w:type="character" w:customStyle="1" w:styleId="DocumentMapChar">
    <w:name w:val="Document Map Char"/>
    <w:uiPriority w:val="99"/>
    <w:semiHidden/>
    <w:rPr>
      <w:rFonts w:ascii="Times New Roman" w:hAnsi="Times New Roman" w:cs="Times New Roman"/>
      <w:color w:val="000000"/>
      <w:sz w:val="0"/>
      <w:szCs w:val="0"/>
    </w:rPr>
  </w:style>
  <w:style w:type="character" w:customStyle="1" w:styleId="SubtitleChar">
    <w:name w:val="Subtitle Char"/>
    <w:uiPriority w:val="11"/>
    <w:rPr>
      <w:rFonts w:ascii="Cambria" w:eastAsia="Times New Roman" w:hAnsi="Cambria" w:cs="Times New Roman"/>
      <w:color w:val="000000"/>
      <w:sz w:val="24"/>
      <w:szCs w:val="24"/>
    </w:rPr>
  </w:style>
  <w:style w:type="character" w:customStyle="1" w:styleId="QuoteChar">
    <w:name w:val="Quote Char"/>
    <w:rPr>
      <w:rFonts w:ascii="Times New Roman" w:hAnsi="Times New Roman"/>
      <w:i/>
      <w:iCs/>
      <w:color w:val="000000"/>
      <w:sz w:val="24"/>
      <w:szCs w:val="24"/>
    </w:rPr>
  </w:style>
  <w:style w:type="character" w:customStyle="1" w:styleId="IntenseQuoteChar">
    <w:name w:val="Intense Quote Char"/>
    <w:rPr>
      <w:rFonts w:ascii="Times New Roman" w:hAnsi="Times New Roman"/>
      <w:b/>
      <w:bCs/>
      <w:i/>
      <w:iCs/>
      <w:color w:val="4F81BD"/>
      <w:sz w:val="24"/>
      <w:szCs w:val="24"/>
    </w:rPr>
  </w:style>
  <w:style w:type="character" w:customStyle="1" w:styleId="A00">
    <w:name w:val="A0"/>
    <w:rPr>
      <w:rFonts w:cs="Arial Unicode MS"/>
      <w:color w:val="000000"/>
      <w:sz w:val="22"/>
      <w:szCs w:val="22"/>
    </w:rPr>
  </w:style>
  <w:style w:type="character" w:customStyle="1" w:styleId="HTMLPreformattedChar">
    <w:name w:val="HTML Preformatted Char"/>
    <w:rPr>
      <w:rFonts w:ascii="Courier New" w:eastAsia="Times New Roman" w:hAnsi="Courier New" w:cs="Times"/>
    </w:rPr>
  </w:style>
  <w:style w:type="character" w:customStyle="1" w:styleId="srch-url21">
    <w:name w:val="srch-url21"/>
    <w:rPr>
      <w:color w:val="5E4606"/>
      <w:u w:val="single"/>
    </w:rPr>
  </w:style>
  <w:style w:type="character" w:customStyle="1" w:styleId="Titre2Car">
    <w:name w:val="Titre 2 Car"/>
    <w:aliases w:val="SubPara (a) Car,Heading 2 Char1 Char Car,SubPara (a) Char1 Char Car,Heading 2 Char3 Char Char Car,Heading 2 Char Char2 Char Char Car,Heading 2 Char1 Char Char1 Char Char Car,SubPara (a) Char Char Char1 Char Char Car,Heading 2 C.. Car"/>
    <w:locked/>
    <w:rPr>
      <w:rFonts w:ascii="Cambria" w:hAnsi="Cambria" w:cs="Times New Roman"/>
      <w:b/>
      <w:bCs/>
      <w:i/>
      <w:iCs/>
      <w:noProof w:val="0"/>
      <w:sz w:val="28"/>
      <w:szCs w:val="28"/>
      <w:lang w:val="en-AU" w:eastAsia="en-AU"/>
    </w:rPr>
  </w:style>
  <w:style w:type="character" w:customStyle="1" w:styleId="Titre3Car">
    <w:name w:val="Titre 3 Car"/>
    <w:aliases w:val="Heading 3 Char1 Char Car,Heading 3 Char Char Char Car,Char Char Char Char Car,Char Char1 Char Car,Sec Car"/>
    <w:locked/>
    <w:rPr>
      <w:rFonts w:cs="Times New Roman"/>
      <w:b/>
      <w:i/>
      <w:iCs/>
      <w:noProof w:val="0"/>
      <w:color w:val="000000"/>
      <w:sz w:val="24"/>
      <w:szCs w:val="24"/>
      <w:lang w:val="en-GB" w:eastAsia="en-US"/>
    </w:rPr>
  </w:style>
  <w:style w:type="character" w:customStyle="1" w:styleId="Titre4Car">
    <w:name w:val="Titre 4 Car"/>
    <w:aliases w:val="MainPara Car"/>
    <w:locked/>
    <w:rPr>
      <w:rFonts w:cs="Times New Roman"/>
      <w:bCs/>
      <w:i/>
      <w:noProof w:val="0"/>
      <w:sz w:val="28"/>
      <w:szCs w:val="28"/>
      <w:lang w:val="en-AU" w:eastAsia="en-AU"/>
    </w:rPr>
  </w:style>
  <w:style w:type="character" w:customStyle="1" w:styleId="Titre5Car">
    <w:name w:val="Titre 5 Car"/>
    <w:aliases w:val="Subpara 2 Car"/>
    <w:semiHidden/>
    <w:locked/>
    <w:rPr>
      <w:rFonts w:ascii="Calibri" w:hAnsi="Calibri" w:cs="Arial"/>
      <w:b/>
      <w:bCs/>
      <w:i/>
      <w:iCs/>
      <w:noProof w:val="0"/>
      <w:sz w:val="26"/>
      <w:szCs w:val="26"/>
      <w:lang w:val="en-AU" w:eastAsia="en-AU"/>
    </w:rPr>
  </w:style>
  <w:style w:type="character" w:customStyle="1" w:styleId="Titre6Car">
    <w:name w:val="Titre 6 Car"/>
    <w:semiHidden/>
    <w:locked/>
    <w:rPr>
      <w:rFonts w:ascii="Calibri" w:hAnsi="Calibri" w:cs="Arial"/>
      <w:b/>
      <w:bCs/>
      <w:noProof w:val="0"/>
      <w:lang w:val="en-AU" w:eastAsia="en-AU"/>
    </w:rPr>
  </w:style>
  <w:style w:type="character" w:customStyle="1" w:styleId="Titre7Car">
    <w:name w:val="Titre 7 Car"/>
    <w:aliases w:val="Subpara 4 Car"/>
    <w:semiHidden/>
    <w:locked/>
    <w:rPr>
      <w:rFonts w:ascii="Calibri" w:hAnsi="Calibri" w:cs="Arial"/>
      <w:noProof w:val="0"/>
      <w:sz w:val="24"/>
      <w:szCs w:val="24"/>
      <w:lang w:val="en-AU" w:eastAsia="en-AU"/>
    </w:rPr>
  </w:style>
  <w:style w:type="character" w:customStyle="1" w:styleId="Titre8Car">
    <w:name w:val="Titre 8 Car"/>
    <w:aliases w:val="Subpara 5 Car"/>
    <w:semiHidden/>
    <w:locked/>
    <w:rPr>
      <w:rFonts w:ascii="Calibri" w:hAnsi="Calibri" w:cs="Arial"/>
      <w:i/>
      <w:iCs/>
      <w:noProof w:val="0"/>
      <w:sz w:val="24"/>
      <w:szCs w:val="24"/>
      <w:lang w:val="en-AU" w:eastAsia="en-AU"/>
    </w:rPr>
  </w:style>
  <w:style w:type="character" w:customStyle="1" w:styleId="Titre9Car">
    <w:name w:val="Titre 9 Car"/>
    <w:aliases w:val="Subpara 6 Car"/>
    <w:semiHidden/>
    <w:locked/>
    <w:rPr>
      <w:rFonts w:ascii="Cambria" w:hAnsi="Cambria" w:cs="Times New Roman"/>
      <w:noProof w:val="0"/>
      <w:lang w:val="en-AU" w:eastAsia="en-AU"/>
    </w:rPr>
  </w:style>
  <w:style w:type="character" w:customStyle="1" w:styleId="TextedebullesCar">
    <w:name w:val="Texte de bulles Car"/>
    <w:semiHidden/>
    <w:locked/>
    <w:rPr>
      <w:rFonts w:cs="Times New Roman"/>
      <w:noProof w:val="0"/>
      <w:sz w:val="2"/>
      <w:lang w:val="en-AU" w:eastAsia="en-AU"/>
    </w:rPr>
  </w:style>
  <w:style w:type="character" w:customStyle="1" w:styleId="CorpsdetexteCar">
    <w:name w:val="Corps de texte Car"/>
    <w:aliases w:val="Char Char Car,Body Text Char Char Char Char Char Car,Body Text Char Char Char Char Car"/>
    <w:locked/>
    <w:rPr>
      <w:rFonts w:cs="Times New Roman"/>
      <w:noProof w:val="0"/>
      <w:sz w:val="24"/>
      <w:szCs w:val="24"/>
      <w:lang w:val="en-AU" w:eastAsia="en-AU"/>
    </w:rPr>
  </w:style>
  <w:style w:type="paragraph" w:customStyle="1" w:styleId="PrformatHTML">
    <w:name w:val="Préformaté HTML"/>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color w:val="auto"/>
      <w:sz w:val="20"/>
      <w:lang w:val="en-US"/>
    </w:rPr>
  </w:style>
  <w:style w:type="character" w:customStyle="1" w:styleId="PrformatHTMLCar">
    <w:name w:val="Préformaté HTML Car"/>
    <w:semiHidden/>
    <w:locked/>
    <w:rPr>
      <w:rFonts w:ascii="Courier New" w:hAnsi="Courier New" w:cs="Chicago"/>
      <w:noProof w:val="0"/>
      <w:sz w:val="20"/>
      <w:szCs w:val="20"/>
      <w:lang w:val="en-AU" w:eastAsia="en-AU"/>
    </w:rPr>
  </w:style>
  <w:style w:type="character" w:customStyle="1" w:styleId="RetraitcorpsdetexteCar">
    <w:name w:val="Retrait corps de texte Car"/>
    <w:semiHidden/>
    <w:locked/>
    <w:rPr>
      <w:rFonts w:cs="Times New Roman"/>
      <w:noProof w:val="0"/>
      <w:sz w:val="24"/>
      <w:szCs w:val="24"/>
      <w:lang w:val="en-AU" w:eastAsia="en-AU"/>
    </w:rPr>
  </w:style>
  <w:style w:type="character" w:customStyle="1" w:styleId="Retraitcorpset1religCar">
    <w:name w:val="Retrait corps et 1re lig. Car"/>
    <w:basedOn w:val="RetraitcorpsdetexteCar"/>
    <w:semiHidden/>
    <w:locked/>
    <w:rPr>
      <w:rFonts w:cs="Times New Roman"/>
      <w:noProof w:val="0"/>
      <w:sz w:val="24"/>
      <w:szCs w:val="24"/>
      <w:lang w:val="en-AU" w:eastAsia="en-AU"/>
    </w:rPr>
  </w:style>
  <w:style w:type="character" w:customStyle="1" w:styleId="CommentaireCar">
    <w:name w:val="Commentaire Car"/>
    <w:locked/>
    <w:rPr>
      <w:rFonts w:eastAsia="Times New Roman"/>
      <w:noProof w:val="0"/>
      <w:lang w:val="en-AU" w:eastAsia="en-AU"/>
    </w:rPr>
  </w:style>
  <w:style w:type="paragraph" w:customStyle="1" w:styleId="Objetducommentaire">
    <w:name w:val="Objet du commentaire"/>
    <w:basedOn w:val="CommentText"/>
    <w:next w:val="CommentText"/>
    <w:semiHidden/>
    <w:pPr>
      <w:widowControl/>
      <w:spacing w:after="0"/>
    </w:pPr>
    <w:rPr>
      <w:rFonts w:ascii="Times New Roman" w:hAnsi="Times New Roman"/>
      <w:b/>
      <w:lang w:val="en-AU"/>
    </w:rPr>
  </w:style>
  <w:style w:type="character" w:customStyle="1" w:styleId="ObjetducommentaireCar">
    <w:name w:val="Objet du commentaire Car"/>
    <w:locked/>
    <w:rPr>
      <w:rFonts w:eastAsia="Times New Roman" w:cs="Times New Roman"/>
      <w:b/>
      <w:noProof w:val="0"/>
      <w:lang w:val="en-AU" w:eastAsia="en-AU"/>
    </w:rPr>
  </w:style>
  <w:style w:type="paragraph" w:customStyle="1" w:styleId="En-ttedetabledesmatires">
    <w:name w:val="En-tête de table des matières"/>
    <w:basedOn w:val="Heading1"/>
    <w:next w:val="Normal"/>
    <w:qFormat/>
    <w:pPr>
      <w:keepLines/>
      <w:spacing w:before="480" w:after="0" w:line="276" w:lineRule="auto"/>
      <w:ind w:left="0" w:firstLine="0"/>
      <w:outlineLvl w:val="9"/>
    </w:pPr>
    <w:rPr>
      <w:rFonts w:ascii="Cambria" w:eastAsia="MS Mincho" w:hAnsi="Cambria"/>
      <w:color w:val="808080"/>
      <w:lang w:val="fr-FR"/>
    </w:rPr>
  </w:style>
  <w:style w:type="paragraph" w:customStyle="1" w:styleId="Paragraphedeliste">
    <w:name w:val="Paragraphe de liste"/>
    <w:basedOn w:val="Normal"/>
    <w:qFormat/>
    <w:pPr>
      <w:spacing w:after="0"/>
    </w:pPr>
    <w:rPr>
      <w:rFonts w:eastAsia="MS Mincho"/>
      <w:color w:val="auto"/>
      <w:sz w:val="24"/>
      <w:lang w:val="en-AU"/>
    </w:rPr>
  </w:style>
  <w:style w:type="character" w:customStyle="1" w:styleId="bold0">
    <w:name w:val="bold"/>
    <w:rPr>
      <w:rFonts w:cs="Times New Roman"/>
    </w:rPr>
  </w:style>
  <w:style w:type="paragraph" w:customStyle="1" w:styleId="first">
    <w:name w:val="first"/>
    <w:basedOn w:val="Normal"/>
    <w:pPr>
      <w:spacing w:before="100" w:after="100"/>
    </w:pPr>
    <w:rPr>
      <w:rFonts w:eastAsia="MS Mincho"/>
      <w:color w:val="auto"/>
      <w:sz w:val="24"/>
      <w:lang w:val="fr-FR"/>
    </w:rPr>
  </w:style>
  <w:style w:type="character" w:customStyle="1" w:styleId="En-tteCar">
    <w:name w:val="En-tête Car"/>
    <w:locked/>
    <w:rPr>
      <w:rFonts w:cs="Times New Roman"/>
      <w:noProof w:val="0"/>
      <w:sz w:val="24"/>
      <w:szCs w:val="24"/>
      <w:lang w:val="en-AU" w:eastAsia="en-AU"/>
    </w:rPr>
  </w:style>
  <w:style w:type="character" w:customStyle="1" w:styleId="PieddepageCar">
    <w:name w:val="Pied de page Car"/>
    <w:locked/>
    <w:rPr>
      <w:rFonts w:cs="Times New Roman"/>
      <w:noProof w:val="0"/>
      <w:sz w:val="24"/>
      <w:szCs w:val="24"/>
      <w:lang w:val="en-AU" w:eastAsia="en-AU"/>
    </w:rPr>
  </w:style>
  <w:style w:type="character" w:customStyle="1" w:styleId="TitreCar">
    <w:name w:val="Titre Car"/>
    <w:locked/>
    <w:rPr>
      <w:rFonts w:ascii="Cambria" w:hAnsi="Cambria" w:cs="Times New Roman"/>
      <w:b/>
      <w:bCs/>
      <w:noProof w:val="0"/>
      <w:kern w:val="28"/>
      <w:sz w:val="32"/>
      <w:szCs w:val="32"/>
      <w:lang w:val="en-AU" w:eastAsia="en-AU"/>
    </w:rPr>
  </w:style>
  <w:style w:type="paragraph" w:customStyle="1" w:styleId="Sansinterligne">
    <w:name w:val="Sans interligne"/>
    <w:qFormat/>
    <w:rPr>
      <w:rFonts w:ascii="Times New Roman" w:eastAsia="MS Mincho" w:hAnsi="Times New Roman"/>
      <w:noProof/>
      <w:sz w:val="24"/>
      <w:lang w:val="nl-NL" w:eastAsia="nl-NL"/>
    </w:rPr>
  </w:style>
  <w:style w:type="character" w:customStyle="1" w:styleId="ExplorateurdedocumentsCar">
    <w:name w:val="Explorateur de documents Car"/>
    <w:semiHidden/>
    <w:locked/>
    <w:rPr>
      <w:rFonts w:ascii="Tahoma" w:hAnsi="Tahoma" w:cs="Times New Roman Bold"/>
      <w:noProof w:val="0"/>
      <w:sz w:val="16"/>
      <w:szCs w:val="16"/>
      <w:lang w:val="en-AU" w:eastAsia="en-AU"/>
    </w:rPr>
  </w:style>
  <w:style w:type="character" w:customStyle="1" w:styleId="hit">
    <w:name w:val="hit"/>
    <w:rPr>
      <w:rFonts w:cs="Times New Roman"/>
    </w:rPr>
  </w:style>
  <w:style w:type="character" w:customStyle="1" w:styleId="NotedebasdepageCar">
    <w:name w:val="Note de bas de page Car"/>
    <w:locked/>
    <w:rPr>
      <w:rFonts w:cs="Times New Roman"/>
      <w:noProof w:val="0"/>
      <w:sz w:val="24"/>
      <w:szCs w:val="24"/>
      <w:lang w:val="en-AU" w:eastAsia="en-AU"/>
    </w:rPr>
  </w:style>
  <w:style w:type="paragraph" w:customStyle="1" w:styleId="Rvision">
    <w:name w:val="Révision"/>
    <w:hidden/>
    <w:semiHidden/>
    <w:rPr>
      <w:rFonts w:ascii="Times New Roman" w:eastAsia="MS Mincho" w:hAnsi="Times New Roman"/>
      <w:sz w:val="24"/>
      <w:lang w:eastAsia="nl-NL"/>
    </w:rPr>
  </w:style>
  <w:style w:type="paragraph" w:customStyle="1" w:styleId="Ref">
    <w:name w:val="Ref"/>
    <w:basedOn w:val="Footnote"/>
    <w:pPr>
      <w:autoSpaceDE w:val="0"/>
      <w:autoSpaceDN w:val="0"/>
      <w:adjustRightInd w:val="0"/>
    </w:pPr>
    <w:rPr>
      <w:rFonts w:ascii="Calibri" w:eastAsia="MS Mincho" w:hAnsi="Calibri"/>
    </w:rPr>
  </w:style>
  <w:style w:type="character" w:customStyle="1" w:styleId="SansinterligneCar">
    <w:name w:val="Sans interligne Car"/>
    <w:rPr>
      <w:sz w:val="24"/>
      <w:szCs w:val="24"/>
      <w:lang w:bidi="ar-SA"/>
    </w:rPr>
  </w:style>
  <w:style w:type="paragraph" w:customStyle="1" w:styleId="Hea">
    <w:name w:val="Hea"/>
    <w:pPr>
      <w:autoSpaceDE w:val="0"/>
      <w:autoSpaceDN w:val="0"/>
    </w:pPr>
    <w:rPr>
      <w:rFonts w:ascii="Times New Roman" w:hAnsi="Times New Roman"/>
      <w:sz w:val="24"/>
      <w:lang w:val="en-US" w:eastAsia="nl-NL"/>
    </w:rPr>
  </w:style>
  <w:style w:type="paragraph" w:customStyle="1" w:styleId="PageImage">
    <w:name w:val="PageImage"/>
    <w:pPr>
      <w:autoSpaceDE w:val="0"/>
      <w:autoSpaceDN w:val="0"/>
      <w:spacing w:before="240"/>
      <w:jc w:val="center"/>
    </w:pPr>
    <w:rPr>
      <w:rFonts w:ascii="Times New Roman" w:hAnsi="Times New Roman"/>
      <w:lang w:eastAsia="nl-NL"/>
    </w:rPr>
  </w:style>
  <w:style w:type="paragraph" w:customStyle="1" w:styleId="Italicindent">
    <w:name w:val="Italic indent"/>
    <w:pPr>
      <w:autoSpaceDE w:val="0"/>
      <w:autoSpaceDN w:val="0"/>
      <w:spacing w:after="200" w:line="276" w:lineRule="auto"/>
      <w:ind w:left="1701" w:right="662"/>
    </w:pPr>
    <w:rPr>
      <w:rFonts w:ascii="Calibri" w:hAnsi="Calibri"/>
      <w:i/>
      <w:color w:val="000000"/>
      <w:lang w:val="en-GB" w:eastAsia="nl-NL"/>
    </w:rPr>
  </w:style>
  <w:style w:type="paragraph" w:customStyle="1" w:styleId="a8">
    <w:name w:val="("/>
    <w:pPr>
      <w:autoSpaceDE w:val="0"/>
      <w:autoSpaceDN w:val="0"/>
      <w:spacing w:after="160" w:line="240" w:lineRule="exact"/>
    </w:pPr>
    <w:rPr>
      <w:rFonts w:ascii="Times New Roman" w:hAnsi="Times New Roman"/>
      <w:lang w:val="en-US" w:eastAsia="nl-NL"/>
    </w:rPr>
  </w:style>
  <w:style w:type="character" w:customStyle="1" w:styleId="style61">
    <w:name w:val="style61"/>
    <w:rPr>
      <w:rFonts w:ascii="Verdana" w:hAnsi="Verdana" w:cs="Arial Narrow"/>
      <w:b/>
      <w:bCs/>
      <w:color w:val="808080"/>
      <w:sz w:val="24"/>
      <w:szCs w:val="24"/>
    </w:rPr>
  </w:style>
  <w:style w:type="paragraph" w:customStyle="1" w:styleId="Rvision1">
    <w:name w:val="Révision1"/>
    <w:hidden/>
    <w:semiHidden/>
    <w:rPr>
      <w:rFonts w:ascii="Times New Roman" w:eastAsia="MS Mincho" w:hAnsi="Times New Roman"/>
      <w:sz w:val="24"/>
      <w:szCs w:val="24"/>
      <w:lang w:val="en-US"/>
    </w:rPr>
  </w:style>
  <w:style w:type="paragraph" w:customStyle="1" w:styleId="Bibliographie1">
    <w:name w:val="Bibliographie1"/>
    <w:basedOn w:val="Normal"/>
    <w:next w:val="Normal"/>
    <w:pPr>
      <w:spacing w:before="120" w:after="120"/>
      <w:ind w:left="1134"/>
      <w:jc w:val="both"/>
    </w:pPr>
    <w:rPr>
      <w:rFonts w:ascii="Calibri" w:hAnsi="Calibri"/>
      <w:color w:val="auto"/>
      <w:szCs w:val="22"/>
    </w:rPr>
  </w:style>
  <w:style w:type="paragraph" w:customStyle="1" w:styleId="Sansinterligne1">
    <w:name w:val="Sans interligne1"/>
    <w:basedOn w:val="Normal"/>
    <w:locked/>
    <w:pPr>
      <w:spacing w:after="0"/>
    </w:pPr>
    <w:rPr>
      <w:rFonts w:ascii="Arial" w:hAnsi="Arial" w:cs="Century"/>
      <w:color w:val="auto"/>
      <w:szCs w:val="22"/>
      <w:lang w:eastAsia="en-US"/>
    </w:rPr>
  </w:style>
  <w:style w:type="paragraph" w:customStyle="1" w:styleId="Citation1">
    <w:name w:val="Citation1"/>
    <w:basedOn w:val="Normal"/>
    <w:next w:val="Normal"/>
    <w:locked/>
    <w:pPr>
      <w:spacing w:before="200" w:after="0"/>
      <w:ind w:left="360" w:right="360"/>
    </w:pPr>
    <w:rPr>
      <w:i/>
      <w:iCs/>
      <w:sz w:val="24"/>
      <w:szCs w:val="24"/>
      <w:lang w:val="en-US" w:eastAsia="en-US"/>
    </w:rPr>
  </w:style>
  <w:style w:type="paragraph" w:customStyle="1" w:styleId="Citationintense1">
    <w:name w:val="Citation intense1"/>
    <w:basedOn w:val="Normal"/>
    <w:next w:val="Normal"/>
    <w:locked/>
    <w:pPr>
      <w:pBdr>
        <w:bottom w:val="single" w:sz="4" w:space="1" w:color="auto"/>
      </w:pBdr>
      <w:spacing w:before="200" w:after="280"/>
      <w:ind w:left="1008" w:right="1152"/>
      <w:jc w:val="both"/>
    </w:pPr>
    <w:rPr>
      <w:b/>
      <w:bCs/>
      <w:i/>
      <w:iCs/>
      <w:color w:val="4F81BD"/>
      <w:sz w:val="24"/>
      <w:szCs w:val="24"/>
      <w:lang w:val="en-US" w:eastAsia="en-US"/>
    </w:rPr>
  </w:style>
  <w:style w:type="character" w:customStyle="1" w:styleId="Emphaseple1">
    <w:name w:val="Emphase pâle1"/>
    <w:locked/>
    <w:rPr>
      <w:i/>
    </w:rPr>
  </w:style>
  <w:style w:type="character" w:customStyle="1" w:styleId="Emphaseintense1">
    <w:name w:val="Emphase intense1"/>
    <w:locked/>
    <w:rPr>
      <w:b/>
    </w:rPr>
  </w:style>
  <w:style w:type="character" w:customStyle="1" w:styleId="Rfrenceple1">
    <w:name w:val="Référence pâle1"/>
    <w:locked/>
    <w:rPr>
      <w:smallCaps/>
    </w:rPr>
  </w:style>
  <w:style w:type="character" w:customStyle="1" w:styleId="Rfrenceintense1">
    <w:name w:val="Référence intense1"/>
    <w:locked/>
    <w:rPr>
      <w:smallCaps/>
      <w:spacing w:val="5"/>
      <w:u w:val="single"/>
    </w:rPr>
  </w:style>
  <w:style w:type="character" w:customStyle="1" w:styleId="Titredulivre1">
    <w:name w:val="Titre du livre1"/>
    <w:locked/>
    <w:rPr>
      <w:i/>
      <w:smallCaps/>
      <w:spacing w:val="5"/>
    </w:rPr>
  </w:style>
  <w:style w:type="paragraph" w:customStyle="1" w:styleId="En-ttedetabledesmatires1">
    <w:name w:val="En-tête de table des matières1"/>
    <w:basedOn w:val="Heading1"/>
    <w:next w:val="Normal"/>
    <w:locked/>
    <w:pPr>
      <w:keepLines/>
      <w:tabs>
        <w:tab w:val="left" w:pos="851"/>
      </w:tabs>
      <w:spacing w:before="0"/>
      <w:ind w:left="1100" w:hanging="660"/>
      <w:outlineLvl w:val="9"/>
    </w:pPr>
    <w:rPr>
      <w:rFonts w:ascii="Arial" w:hAnsi="Arial"/>
      <w:bCs/>
      <w:color w:val="auto"/>
      <w:sz w:val="32"/>
      <w:szCs w:val="28"/>
      <w:lang w:val="nb-NO" w:eastAsia="en-US"/>
    </w:rPr>
  </w:style>
  <w:style w:type="paragraph" w:customStyle="1" w:styleId="BodyText11">
    <w:name w:val="Body Text11"/>
    <w:basedOn w:val="Normal"/>
    <w:pPr>
      <w:spacing w:after="0"/>
    </w:pPr>
  </w:style>
  <w:style w:type="paragraph" w:customStyle="1" w:styleId="paraindentFootnoteQPS">
    <w:name w:val="para indent Footnote QPS"/>
    <w:basedOn w:val="FootnoteText"/>
    <w:pPr>
      <w:widowControl/>
      <w:spacing w:after="0"/>
      <w:ind w:left="426" w:hanging="284"/>
    </w:pPr>
    <w:rPr>
      <w:rFonts w:ascii="Calibri" w:hAnsi="Calibri"/>
      <w:color w:val="000000"/>
      <w:sz w:val="16"/>
      <w:lang w:val="en-NZ" w:eastAsia="en-US"/>
    </w:rPr>
  </w:style>
  <w:style w:type="paragraph" w:customStyle="1" w:styleId="Paragraphedeliste1">
    <w:name w:val="Paragraphe de liste1"/>
    <w:basedOn w:val="Normal"/>
    <w:pPr>
      <w:ind w:left="720"/>
      <w:contextualSpacing/>
    </w:pPr>
  </w:style>
  <w:style w:type="paragraph" w:customStyle="1" w:styleId="yiv587168716msonormal">
    <w:name w:val="yiv587168716msonormal"/>
    <w:basedOn w:val="Normal"/>
    <w:pPr>
      <w:spacing w:before="100" w:beforeAutospacing="1" w:after="100" w:afterAutospacing="1"/>
    </w:pPr>
    <w:rPr>
      <w:color w:val="auto"/>
      <w:sz w:val="24"/>
      <w:szCs w:val="24"/>
      <w:lang w:val="en-AU" w:eastAsia="en-AU"/>
    </w:rPr>
  </w:style>
  <w:style w:type="paragraph" w:customStyle="1" w:styleId="Paragraphedeliste11">
    <w:name w:val="Paragraphe de liste11"/>
    <w:basedOn w:val="Normal"/>
    <w:pPr>
      <w:ind w:left="720"/>
      <w:contextualSpacing/>
    </w:pPr>
  </w:style>
  <w:style w:type="character" w:customStyle="1" w:styleId="st1">
    <w:name w:val="st1"/>
  </w:style>
  <w:style w:type="character" w:customStyle="1" w:styleId="Heading1Char21">
    <w:name w:val="Heading 1 Char21"/>
    <w:aliases w:val="Para (1) Char3,Heading 1 Char1 Char Char11,Heading 1 Char Char Char Char2,Para (1) Char Char Char Char2,Para (1) Char1 Char Char2,Heading 1 Char1 Char11,Heading 1 Char Char Char11,Para (1) Char Char Char11,Para (1) Char1 Char11"/>
    <w:rPr>
      <w:b/>
      <w:bCs/>
      <w:noProof w:val="0"/>
      <w:color w:val="000000"/>
      <w:sz w:val="28"/>
      <w:szCs w:val="28"/>
      <w:lang w:val="en-GB"/>
    </w:rPr>
  </w:style>
  <w:style w:type="character" w:customStyle="1" w:styleId="CharChar8">
    <w:name w:val="Char Char8"/>
    <w:locked/>
    <w:rPr>
      <w:rFonts w:ascii="Times New Roman" w:hAnsi="Times New Roman"/>
      <w:noProof w:val="0"/>
      <w:sz w:val="24"/>
      <w:lang w:eastAsia="ja-JP"/>
    </w:rPr>
  </w:style>
  <w:style w:type="character" w:customStyle="1" w:styleId="CharChar10">
    <w:name w:val="Char Char10"/>
    <w:semiHidden/>
    <w:locked/>
    <w:rPr>
      <w:rFonts w:ascii="Times New Roman" w:hAnsi="Times New Roman"/>
      <w:noProof w:val="0"/>
      <w:color w:val="000000"/>
      <w:sz w:val="20"/>
      <w:lang w:val="en-GB" w:eastAsia="zh-CN"/>
    </w:rPr>
  </w:style>
  <w:style w:type="character" w:styleId="HTMLCite">
    <w:name w:val="HTML Cite"/>
    <w:uiPriority w:val="99"/>
    <w:semiHidden/>
    <w:rPr>
      <w:rFonts w:cs="Times New Roman"/>
      <w:i/>
      <w:iCs/>
    </w:rPr>
  </w:style>
  <w:style w:type="character" w:customStyle="1" w:styleId="st">
    <w:name w:val="st"/>
  </w:style>
  <w:style w:type="paragraph" w:customStyle="1" w:styleId="TitleofManuscript">
    <w:name w:val="Title of Manuscript"/>
    <w:basedOn w:val="Normal"/>
    <w:pPr>
      <w:spacing w:after="0"/>
    </w:pPr>
    <w:rPr>
      <w:b/>
      <w:bCs/>
      <w:spacing w:val="-4"/>
      <w:sz w:val="32"/>
      <w:szCs w:val="32"/>
      <w:lang w:val="en-CA" w:eastAsia="en-CA"/>
    </w:rPr>
  </w:style>
  <w:style w:type="character" w:customStyle="1" w:styleId="author2">
    <w:name w:val="author2"/>
    <w:rPr>
      <w:rFonts w:cs="Times New Roman"/>
    </w:rPr>
  </w:style>
  <w:style w:type="character" w:customStyle="1" w:styleId="al-hide">
    <w:name w:val="al-hide"/>
    <w:rPr>
      <w:rFonts w:cs="Times New Roman"/>
    </w:rPr>
  </w:style>
  <w:style w:type="character" w:customStyle="1" w:styleId="al-vis">
    <w:name w:val="al-vis"/>
    <w:rPr>
      <w:rFonts w:cs="Times New Roman"/>
    </w:rPr>
  </w:style>
  <w:style w:type="character" w:customStyle="1" w:styleId="container2">
    <w:name w:val="container2"/>
    <w:rPr>
      <w:rFonts w:cs="Times New Roman"/>
    </w:rPr>
  </w:style>
  <w:style w:type="character" w:customStyle="1" w:styleId="year">
    <w:name w:val="year"/>
    <w:rPr>
      <w:rFonts w:cs="Times New Roman"/>
    </w:rPr>
  </w:style>
  <w:style w:type="character" w:customStyle="1" w:styleId="Para10">
    <w:name w:val="Para (1) ("/>
    <w:rPr>
      <w:b/>
      <w:bCs/>
      <w:noProof w:val="0"/>
      <w:kern w:val="32"/>
      <w:sz w:val="32"/>
      <w:szCs w:val="32"/>
      <w:lang w:val="en-US"/>
    </w:rPr>
  </w:style>
  <w:style w:type="paragraph" w:customStyle="1" w:styleId="a9">
    <w:name w:val="文字)"/>
    <w:pPr>
      <w:widowControl w:val="0"/>
      <w:autoSpaceDE w:val="0"/>
      <w:autoSpaceDN w:val="0"/>
    </w:pPr>
    <w:rPr>
      <w:rFonts w:ascii="Times New Roman" w:hAnsi="Times New Roman"/>
      <w:b/>
      <w:spacing w:val="-1"/>
      <w:kern w:val="32"/>
      <w:position w:val="-1"/>
      <w:sz w:val="32"/>
      <w:lang w:val="en-US"/>
    </w:rPr>
  </w:style>
  <w:style w:type="character" w:customStyle="1" w:styleId="SubParaa0">
    <w:name w:val="SubPara (a) ("/>
    <w:rPr>
      <w:b/>
      <w:bCs/>
      <w:i/>
      <w:iCs/>
      <w:noProof w:val="0"/>
      <w:kern w:val="2"/>
      <w:sz w:val="28"/>
      <w:szCs w:val="28"/>
      <w:lang w:val="en-US"/>
    </w:rPr>
  </w:style>
  <w:style w:type="character" w:customStyle="1" w:styleId="5">
    <w:name w:val="(5"/>
    <w:rPr>
      <w:b/>
      <w:bCs/>
      <w:noProof w:val="0"/>
      <w:sz w:val="24"/>
      <w:szCs w:val="24"/>
      <w:lang w:val="en-US"/>
    </w:rPr>
  </w:style>
  <w:style w:type="paragraph" w:customStyle="1" w:styleId="ListParagraph11">
    <w:name w:val="List Paragraph11"/>
    <w:basedOn w:val="Normal"/>
    <w:pPr>
      <w:autoSpaceDE w:val="0"/>
      <w:autoSpaceDN w:val="0"/>
      <w:spacing w:before="100" w:after="100"/>
      <w:ind w:left="720" w:right="720"/>
    </w:pPr>
    <w:rPr>
      <w:i/>
      <w:color w:val="auto"/>
      <w:sz w:val="24"/>
    </w:rPr>
  </w:style>
  <w:style w:type="paragraph" w:customStyle="1" w:styleId="4">
    <w:name w:val="(4"/>
    <w:basedOn w:val="Normal"/>
    <w:pPr>
      <w:tabs>
        <w:tab w:val="num" w:pos="2160"/>
      </w:tabs>
      <w:autoSpaceDE w:val="0"/>
      <w:autoSpaceDN w:val="0"/>
      <w:spacing w:before="100" w:after="160" w:line="240" w:lineRule="exact"/>
      <w:ind w:left="2160" w:right="720" w:hanging="360"/>
    </w:pPr>
    <w:rPr>
      <w:i/>
      <w:color w:val="auto"/>
      <w:sz w:val="20"/>
      <w:lang w:val="en-US"/>
    </w:rPr>
  </w:style>
  <w:style w:type="character" w:customStyle="1" w:styleId="BodyTextIndentChar1">
    <w:name w:val="Body Text Indent Char1"/>
    <w:semiHidden/>
    <w:rPr>
      <w:rFonts w:ascii="Times New Roman" w:hAnsi="Times New Roman" w:cs="Times New Roman"/>
      <w:sz w:val="20"/>
      <w:szCs w:val="20"/>
    </w:rPr>
  </w:style>
  <w:style w:type="character" w:customStyle="1" w:styleId="BodyTextFirstIndent2Char">
    <w:name w:val="Body Text First Indent 2 Char"/>
    <w:basedOn w:val="BodyTextIndentChar1"/>
    <w:semiHidden/>
    <w:rPr>
      <w:rFonts w:ascii="Times New Roman" w:hAnsi="Times New Roman" w:cs="Times New Roman"/>
      <w:sz w:val="20"/>
      <w:szCs w:val="20"/>
    </w:rPr>
  </w:style>
  <w:style w:type="character" w:customStyle="1" w:styleId="CarCar51">
    <w:name w:val="Car Car51"/>
    <w:rPr>
      <w:noProof w:val="0"/>
      <w:sz w:val="24"/>
      <w:szCs w:val="24"/>
      <w:u w:val="single"/>
      <w:lang w:val="en-US"/>
    </w:rPr>
  </w:style>
  <w:style w:type="character" w:customStyle="1" w:styleId="CarCar41">
    <w:name w:val="Car Car41"/>
    <w:rPr>
      <w:b/>
      <w:bCs/>
      <w:noProof w:val="0"/>
      <w:kern w:val="32"/>
      <w:sz w:val="24"/>
      <w:szCs w:val="24"/>
      <w:lang w:val="en-US"/>
    </w:rPr>
  </w:style>
  <w:style w:type="character" w:customStyle="1" w:styleId="CarCar31">
    <w:name w:val="Car Car31"/>
    <w:rPr>
      <w:b/>
      <w:bCs/>
      <w:i/>
      <w:iCs/>
      <w:noProof w:val="0"/>
      <w:kern w:val="32"/>
      <w:sz w:val="26"/>
      <w:szCs w:val="26"/>
      <w:lang w:val="it-IT"/>
    </w:rPr>
  </w:style>
  <w:style w:type="character" w:customStyle="1" w:styleId="CarCar6">
    <w:name w:val="Car Car6"/>
    <w:rPr>
      <w:noProof w:val="0"/>
      <w:sz w:val="24"/>
      <w:szCs w:val="24"/>
      <w:lang w:val="fr-FR"/>
    </w:rPr>
  </w:style>
  <w:style w:type="character" w:customStyle="1" w:styleId="ZchnZchn161">
    <w:name w:val="Zchn Zchn161"/>
    <w:rPr>
      <w:rFonts w:ascii="Arial" w:hAnsi="Arial" w:cs="Arial"/>
      <w:b/>
      <w:bCs/>
      <w:noProof w:val="0"/>
      <w:kern w:val="32"/>
      <w:sz w:val="32"/>
      <w:szCs w:val="32"/>
      <w:lang w:val="en-US"/>
    </w:rPr>
  </w:style>
  <w:style w:type="character" w:customStyle="1" w:styleId="ZchnZchn17">
    <w:name w:val="Zchn Zchn17"/>
    <w:rPr>
      <w:rFonts w:ascii="Cambria" w:hAnsi="Cambria" w:cs="MS Mincho"/>
      <w:b/>
      <w:bCs/>
      <w:noProof w:val="0"/>
      <w:kern w:val="28"/>
      <w:sz w:val="32"/>
      <w:szCs w:val="32"/>
      <w:lang w:val="ca-ES"/>
    </w:rPr>
  </w:style>
  <w:style w:type="character" w:customStyle="1" w:styleId="ZchnZchn2">
    <w:name w:val="Zchn Zchn2"/>
    <w:rPr>
      <w:rFonts w:ascii="Calibri" w:hAnsi="Calibri" w:cs="Calibri"/>
      <w:noProof w:val="0"/>
      <w:lang w:val="ca-ES"/>
    </w:rPr>
  </w:style>
  <w:style w:type="character" w:customStyle="1" w:styleId="CarCar21">
    <w:name w:val="Car Car21"/>
    <w:rPr>
      <w:noProof w:val="0"/>
      <w:lang w:val="en-US"/>
    </w:rPr>
  </w:style>
  <w:style w:type="character" w:customStyle="1" w:styleId="CarCar11">
    <w:name w:val="Car Car11"/>
    <w:rPr>
      <w:noProof w:val="0"/>
      <w:lang w:val="en-US"/>
    </w:rPr>
  </w:style>
  <w:style w:type="character" w:customStyle="1" w:styleId="ZchnZchn151">
    <w:name w:val="Zchn Zchn151"/>
    <w:rPr>
      <w:rFonts w:ascii="Arial" w:hAnsi="Arial" w:cs="Arial"/>
      <w:b/>
      <w:bCs/>
      <w:i/>
      <w:iCs/>
      <w:noProof w:val="0"/>
      <w:sz w:val="28"/>
      <w:szCs w:val="28"/>
      <w:lang w:val="en-US"/>
    </w:rPr>
  </w:style>
  <w:style w:type="character" w:customStyle="1" w:styleId="ZchnZchn141">
    <w:name w:val="Zchn Zchn141"/>
    <w:rPr>
      <w:rFonts w:ascii="Arial" w:hAnsi="Arial" w:cs="Arial"/>
      <w:b/>
      <w:bCs/>
      <w:noProof w:val="0"/>
      <w:sz w:val="26"/>
      <w:szCs w:val="26"/>
      <w:lang w:val="en-US"/>
    </w:rPr>
  </w:style>
  <w:style w:type="character" w:customStyle="1" w:styleId="ZchnZchn131">
    <w:name w:val="Zchn Zchn131"/>
    <w:rPr>
      <w:rFonts w:ascii="Arial" w:hAnsi="Arial" w:cs="Arial"/>
      <w:b/>
      <w:bCs/>
      <w:noProof w:val="0"/>
      <w:sz w:val="24"/>
      <w:szCs w:val="24"/>
      <w:lang w:val="de-DE"/>
    </w:rPr>
  </w:style>
  <w:style w:type="character" w:customStyle="1" w:styleId="ZchnZchn121">
    <w:name w:val="Zchn Zchn121"/>
    <w:rPr>
      <w:rFonts w:ascii="Arial" w:hAnsi="Arial" w:cs="Arial"/>
      <w:b/>
      <w:bCs/>
      <w:noProof w:val="0"/>
      <w:sz w:val="24"/>
      <w:szCs w:val="24"/>
      <w:lang w:val="de-DE"/>
    </w:rPr>
  </w:style>
  <w:style w:type="character" w:customStyle="1" w:styleId="ZchnZchn111">
    <w:name w:val="Zchn Zchn111"/>
    <w:rPr>
      <w:rFonts w:ascii="Arial" w:hAnsi="Arial" w:cs="Arial"/>
      <w:b/>
      <w:bCs/>
      <w:noProof w:val="0"/>
      <w:lang w:val="de-DE"/>
    </w:rPr>
  </w:style>
  <w:style w:type="character" w:customStyle="1" w:styleId="ZchnZchn101">
    <w:name w:val="Zchn Zchn101"/>
    <w:rPr>
      <w:rFonts w:ascii="Arial" w:hAnsi="Arial" w:cs="Arial"/>
      <w:b/>
      <w:bCs/>
      <w:noProof w:val="0"/>
      <w:sz w:val="28"/>
      <w:szCs w:val="28"/>
      <w:lang w:val="de-DE"/>
    </w:rPr>
  </w:style>
  <w:style w:type="character" w:customStyle="1" w:styleId="ZchnZchn91">
    <w:name w:val="Zchn Zchn91"/>
    <w:rPr>
      <w:rFonts w:ascii="Arial" w:hAnsi="Arial" w:cs="Arial"/>
      <w:b/>
      <w:bCs/>
      <w:noProof w:val="0"/>
      <w:lang w:val="de-DE"/>
    </w:rPr>
  </w:style>
  <w:style w:type="character" w:customStyle="1" w:styleId="ZchnZchn81">
    <w:name w:val="Zchn Zchn81"/>
    <w:rPr>
      <w:rFonts w:ascii="Arial" w:hAnsi="Arial" w:cs="Arial"/>
      <w:noProof w:val="0"/>
      <w:sz w:val="24"/>
      <w:szCs w:val="24"/>
      <w:lang w:val="de-DE"/>
    </w:rPr>
  </w:style>
  <w:style w:type="character" w:customStyle="1" w:styleId="ZchnZchn41">
    <w:name w:val="Zchn Zchn41"/>
    <w:rPr>
      <w:noProof w:val="0"/>
      <w:sz w:val="24"/>
      <w:szCs w:val="24"/>
      <w:lang w:val="en-US"/>
    </w:rPr>
  </w:style>
  <w:style w:type="character" w:customStyle="1" w:styleId="ZchnZchn71">
    <w:name w:val="Zchn Zchn71"/>
    <w:rPr>
      <w:noProof w:val="0"/>
      <w:sz w:val="24"/>
      <w:szCs w:val="24"/>
      <w:lang w:val="en-US"/>
    </w:rPr>
  </w:style>
  <w:style w:type="character" w:customStyle="1" w:styleId="ZchnZchn61">
    <w:name w:val="Zchn Zchn61"/>
    <w:rPr>
      <w:rFonts w:ascii="Courier New" w:hAnsi="Courier New" w:cs="FrutigerLTStd-Light"/>
      <w:noProof w:val="0"/>
      <w:lang w:val="de-DE"/>
    </w:rPr>
  </w:style>
  <w:style w:type="character" w:customStyle="1" w:styleId="ZchnZchn51">
    <w:name w:val="Zchn Zchn51"/>
    <w:rPr>
      <w:rFonts w:ascii="Arial" w:hAnsi="Arial" w:cs="Arial"/>
      <w:noProof w:val="0"/>
      <w:sz w:val="24"/>
      <w:szCs w:val="24"/>
      <w:lang w:val="de-DE"/>
    </w:rPr>
  </w:style>
  <w:style w:type="character" w:customStyle="1" w:styleId="ZchnZchn31">
    <w:name w:val="Zchn Zchn31"/>
    <w:rPr>
      <w:rFonts w:ascii="Arial" w:hAnsi="Arial" w:cs="Arial"/>
      <w:noProof w:val="0"/>
      <w:sz w:val="24"/>
      <w:szCs w:val="24"/>
      <w:lang w:val="de-DE"/>
    </w:rPr>
  </w:style>
  <w:style w:type="character" w:customStyle="1" w:styleId="CharChar21">
    <w:name w:val="Char Char21"/>
    <w:rPr>
      <w:b/>
      <w:bCs/>
      <w:noProof w:val="0"/>
      <w:color w:val="000000"/>
      <w:sz w:val="28"/>
      <w:szCs w:val="28"/>
      <w:lang w:val="en-GB"/>
    </w:rPr>
  </w:style>
  <w:style w:type="character" w:customStyle="1" w:styleId="CharChar11">
    <w:name w:val="Char Char11"/>
    <w:rPr>
      <w:rFonts w:ascii="Arial" w:hAnsi="Arial" w:cs="Arial"/>
      <w:noProof w:val="0"/>
      <w:lang w:val="en-GB"/>
    </w:rPr>
  </w:style>
  <w:style w:type="character" w:customStyle="1" w:styleId="3">
    <w:name w:val="(3"/>
    <w:rPr>
      <w:noProof w:val="0"/>
      <w:sz w:val="24"/>
      <w:szCs w:val="24"/>
      <w:lang w:val="en-US"/>
    </w:rPr>
  </w:style>
  <w:style w:type="character" w:customStyle="1" w:styleId="20">
    <w:name w:val="(2"/>
    <w:rPr>
      <w:b/>
      <w:bCs/>
      <w:noProof w:val="0"/>
      <w:sz w:val="24"/>
      <w:szCs w:val="24"/>
      <w:lang w:val="en-US"/>
    </w:rPr>
  </w:style>
  <w:style w:type="character" w:customStyle="1" w:styleId="CarCar191">
    <w:name w:val="Car Car191"/>
    <w:rPr>
      <w:noProof w:val="0"/>
      <w:color w:val="000000"/>
      <w:sz w:val="24"/>
      <w:szCs w:val="24"/>
      <w:lang w:val="en-GB"/>
    </w:rPr>
  </w:style>
  <w:style w:type="character" w:customStyle="1" w:styleId="CharChar41">
    <w:name w:val="Char Char41"/>
    <w:rPr>
      <w:noProof w:val="0"/>
      <w:sz w:val="24"/>
      <w:szCs w:val="24"/>
      <w:lang w:val="en-US"/>
    </w:rPr>
  </w:style>
  <w:style w:type="character" w:customStyle="1" w:styleId="CharChar31">
    <w:name w:val="Char Char31"/>
    <w:rPr>
      <w:noProof w:val="0"/>
      <w:color w:val="000000"/>
      <w:sz w:val="24"/>
      <w:szCs w:val="24"/>
      <w:lang w:val="en-GB"/>
    </w:rPr>
  </w:style>
  <w:style w:type="paragraph" w:customStyle="1" w:styleId="13">
    <w:name w:val="(1"/>
    <w:pPr>
      <w:autoSpaceDE w:val="0"/>
      <w:autoSpaceDN w:val="0"/>
      <w:spacing w:after="160" w:line="240" w:lineRule="exact"/>
    </w:pPr>
    <w:rPr>
      <w:rFonts w:ascii="Times New Roman" w:hAnsi="Times New Roman"/>
      <w:sz w:val="24"/>
      <w:lang w:val="en-US"/>
    </w:rPr>
  </w:style>
  <w:style w:type="character" w:customStyle="1" w:styleId="scopustermhighlight">
    <w:name w:val="scopustermhighlight"/>
    <w:rPr>
      <w:rFonts w:ascii="Times New Roman" w:hAnsi="Times New Roman" w:cs="Times New Roman"/>
    </w:rPr>
  </w:style>
  <w:style w:type="paragraph" w:customStyle="1" w:styleId="marginb3">
    <w:name w:val="marginb3"/>
    <w:basedOn w:val="Normal"/>
    <w:pPr>
      <w:autoSpaceDE w:val="0"/>
      <w:autoSpaceDN w:val="0"/>
      <w:spacing w:before="100" w:after="100"/>
      <w:jc w:val="both"/>
    </w:pPr>
    <w:rPr>
      <w:color w:val="auto"/>
      <w:sz w:val="24"/>
      <w:lang w:val="fr-FR"/>
    </w:rPr>
  </w:style>
  <w:style w:type="character" w:customStyle="1" w:styleId="region">
    <w:name w:val="region"/>
    <w:rPr>
      <w:rFonts w:ascii="Times New Roman" w:hAnsi="Times New Roman" w:cs="Times New Roman"/>
    </w:rPr>
  </w:style>
  <w:style w:type="character" w:customStyle="1" w:styleId="documenttype">
    <w:name w:val="documenttype"/>
    <w:rPr>
      <w:rFonts w:ascii="Times New Roman" w:hAnsi="Times New Roman" w:cs="Times New Roman"/>
    </w:rPr>
  </w:style>
  <w:style w:type="paragraph" w:customStyle="1" w:styleId="HTOCReport">
    <w:name w:val="HTOC Report"/>
    <w:basedOn w:val="Normal"/>
    <w:pPr>
      <w:spacing w:after="0"/>
    </w:pPr>
    <w:rPr>
      <w:rFonts w:ascii="Times" w:hAnsi="Times"/>
      <w:color w:val="auto"/>
      <w:lang w:eastAsia="ja-JP"/>
    </w:rPr>
  </w:style>
  <w:style w:type="character" w:customStyle="1" w:styleId="authorname">
    <w:name w:val="authorname"/>
    <w:basedOn w:val="DefaultParagraphFont"/>
  </w:style>
  <w:style w:type="character" w:customStyle="1" w:styleId="nlmx">
    <w:name w:val="nlm_x"/>
    <w:basedOn w:val="DefaultParagraphFont"/>
  </w:style>
  <w:style w:type="paragraph" w:customStyle="1" w:styleId="MediumGrid21">
    <w:name w:val="Medium Grid 21"/>
    <w:qFormat/>
    <w:pPr>
      <w:jc w:val="both"/>
    </w:pPr>
    <w:rPr>
      <w:rFonts w:ascii="Times New Roman" w:eastAsia="MS Mincho" w:hAnsi="Times New Roman"/>
      <w:sz w:val="24"/>
    </w:rPr>
  </w:style>
  <w:style w:type="paragraph" w:styleId="ListParagraph">
    <w:name w:val="List Paragraph"/>
    <w:basedOn w:val="Normal"/>
    <w:autoRedefine/>
    <w:uiPriority w:val="34"/>
    <w:qFormat/>
    <w:rsid w:val="00A549E8"/>
    <w:pPr>
      <w:numPr>
        <w:numId w:val="69"/>
      </w:numPr>
      <w:shd w:val="clear" w:color="auto" w:fill="FFFFFF"/>
      <w:spacing w:after="120" w:line="259" w:lineRule="auto"/>
      <w:ind w:left="714" w:hanging="357"/>
      <w:textAlignment w:val="baseline"/>
    </w:pPr>
    <w:rPr>
      <w:color w:val="auto"/>
      <w:kern w:val="2"/>
      <w:szCs w:val="22"/>
      <w:lang w:val="en-AU"/>
    </w:rPr>
  </w:style>
  <w:style w:type="character" w:customStyle="1" w:styleId="articletypelabel">
    <w:name w:val="articletypelabel"/>
    <w:basedOn w:val="DefaultParagraphFont"/>
    <w:rsid w:val="00CA5E9C"/>
  </w:style>
  <w:style w:type="paragraph" w:customStyle="1" w:styleId="Refs0">
    <w:name w:val="Refs"/>
    <w:basedOn w:val="BodyText"/>
    <w:rsid w:val="00CA5E9C"/>
    <w:pPr>
      <w:spacing w:before="120" w:after="0" w:line="264" w:lineRule="auto"/>
      <w:ind w:left="567" w:hanging="567"/>
    </w:pPr>
    <w:rPr>
      <w:rFonts w:ascii="Arial" w:eastAsia="Calibri" w:hAnsi="Arial"/>
      <w:color w:val="auto"/>
      <w:sz w:val="20"/>
      <w:lang w:val="en-AU" w:eastAsia="en-NZ"/>
    </w:rPr>
  </w:style>
  <w:style w:type="character" w:customStyle="1" w:styleId="slug-pub-date3">
    <w:name w:val="slug-pub-date3"/>
    <w:basedOn w:val="DefaultParagraphFont"/>
    <w:rsid w:val="00CA5E9C"/>
  </w:style>
  <w:style w:type="character" w:customStyle="1" w:styleId="slug-vol">
    <w:name w:val="slug-vol"/>
    <w:basedOn w:val="DefaultParagraphFont"/>
    <w:rsid w:val="00CA5E9C"/>
  </w:style>
  <w:style w:type="character" w:customStyle="1" w:styleId="slug-issue">
    <w:name w:val="slug-issue"/>
    <w:basedOn w:val="DefaultParagraphFont"/>
    <w:rsid w:val="00CA5E9C"/>
  </w:style>
  <w:style w:type="character" w:customStyle="1" w:styleId="slug-pages3">
    <w:name w:val="slug-pages3"/>
    <w:basedOn w:val="DefaultParagraphFont"/>
    <w:rsid w:val="00CA5E9C"/>
  </w:style>
  <w:style w:type="table" w:styleId="TableGrid">
    <w:name w:val="Table Grid"/>
    <w:basedOn w:val="TableNormal"/>
    <w:rsid w:val="005B1FC8"/>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1 Char"/>
    <w:basedOn w:val="DefaultParagraphFont"/>
    <w:link w:val="Style1"/>
    <w:rsid w:val="005B1FC8"/>
    <w:rPr>
      <w:rFonts w:ascii="Garamond" w:hAnsi="Garamond"/>
      <w:sz w:val="22"/>
      <w:lang w:eastAsia="zh-CN"/>
    </w:rPr>
  </w:style>
  <w:style w:type="character" w:customStyle="1" w:styleId="Style2Char">
    <w:name w:val="Style2 Char"/>
    <w:basedOn w:val="DefaultParagraphFont"/>
    <w:link w:val="Style2"/>
    <w:rsid w:val="005B1FC8"/>
    <w:rPr>
      <w:rFonts w:ascii="Times New Roman" w:hAnsi="Times New Roman"/>
      <w:sz w:val="22"/>
      <w:lang w:val="en-GB" w:eastAsia="en-GB"/>
    </w:rPr>
  </w:style>
  <w:style w:type="paragraph" w:customStyle="1" w:styleId="TableText1">
    <w:name w:val="Table Text"/>
    <w:basedOn w:val="Normal"/>
    <w:qFormat/>
    <w:rsid w:val="00841BDE"/>
    <w:pPr>
      <w:spacing w:after="0"/>
    </w:pPr>
    <w:rPr>
      <w:kern w:val="2"/>
      <w:sz w:val="24"/>
      <w:szCs w:val="24"/>
      <w:lang w:val="en-US" w:eastAsia="en-US"/>
    </w:rPr>
  </w:style>
  <w:style w:type="paragraph" w:customStyle="1" w:styleId="TableHeadings">
    <w:name w:val="Table Headings"/>
    <w:basedOn w:val="TableText1"/>
    <w:qFormat/>
    <w:rsid w:val="00841BDE"/>
    <w:pPr>
      <w:jc w:val="center"/>
    </w:pPr>
    <w:rPr>
      <w:rFonts w:ascii="Times New Roman Bold"/>
      <w:b/>
    </w:rPr>
  </w:style>
  <w:style w:type="paragraph" w:customStyle="1" w:styleId="Tablenote">
    <w:name w:val="Table note"/>
    <w:basedOn w:val="Normal"/>
    <w:qFormat/>
    <w:rsid w:val="00841BDE"/>
    <w:pPr>
      <w:spacing w:after="0"/>
      <w:ind w:left="720" w:hanging="720"/>
      <w:contextualSpacing/>
    </w:pPr>
    <w:rPr>
      <w:rFonts w:eastAsia="MS Mincho"/>
      <w:snapToGrid w:val="0"/>
      <w:color w:val="auto"/>
      <w:kern w:val="2"/>
      <w:sz w:val="20"/>
      <w:szCs w:val="18"/>
      <w:lang w:val="en-US" w:eastAsia="en-US"/>
    </w:rPr>
  </w:style>
  <w:style w:type="character" w:customStyle="1" w:styleId="TitleChar1">
    <w:name w:val="Title Char1"/>
    <w:link w:val="Title"/>
    <w:rsid w:val="00942E2A"/>
    <w:rPr>
      <w:rFonts w:ascii="Times New Roman" w:hAnsi="Times New Roman"/>
      <w:b/>
      <w:color w:val="000000"/>
      <w:sz w:val="32"/>
      <w:lang w:val="en-GB" w:eastAsia="zh-CN"/>
    </w:rPr>
  </w:style>
  <w:style w:type="character" w:customStyle="1" w:styleId="HeaderChar1">
    <w:name w:val="Header Char1"/>
    <w:aliases w:val="EthylHeader Char1"/>
    <w:link w:val="Header"/>
    <w:uiPriority w:val="99"/>
    <w:rsid w:val="00942E2A"/>
    <w:rPr>
      <w:rFonts w:ascii="Times New Roman" w:hAnsi="Times New Roman"/>
      <w:color w:val="000000"/>
      <w:sz w:val="22"/>
      <w:lang w:val="en-GB" w:eastAsia="zh-CN"/>
    </w:rPr>
  </w:style>
  <w:style w:type="table" w:styleId="LightShading">
    <w:name w:val="Light Shading"/>
    <w:basedOn w:val="TableNormal"/>
    <w:uiPriority w:val="60"/>
    <w:rsid w:val="00A66F2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CB66F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gp486">
    <w:name w:val="gp486"/>
    <w:basedOn w:val="DefaultParagraphFont"/>
    <w:rsid w:val="00C915BD"/>
  </w:style>
  <w:style w:type="table" w:styleId="MediumShading1-Accent5">
    <w:name w:val="Medium Shading 1 Accent 5"/>
    <w:basedOn w:val="TableNormal"/>
    <w:uiPriority w:val="63"/>
    <w:rsid w:val="00CF01A0"/>
    <w:rPr>
      <w:rFonts w:asciiTheme="minorHAnsi" w:eastAsiaTheme="minorEastAsia" w:hAnsiTheme="minorHAnsi" w:cstheme="minorBidi"/>
      <w:sz w:val="24"/>
      <w:szCs w:val="24"/>
      <w:lang w:val="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F01A0"/>
    <w:rPr>
      <w:rFonts w:asciiTheme="minorHAnsi" w:eastAsiaTheme="minorEastAsia" w:hAnsiTheme="minorHAnsi" w:cstheme="minorBidi"/>
      <w:sz w:val="24"/>
      <w:szCs w:val="24"/>
      <w:lang w:val="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F01A0"/>
    <w:rPr>
      <w:rFonts w:asciiTheme="minorHAnsi" w:eastAsiaTheme="minorEastAsia" w:hAnsiTheme="minorHAnsi" w:cstheme="minorBidi"/>
      <w:sz w:val="24"/>
      <w:szCs w:val="24"/>
      <w:lang w:val="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F01A0"/>
    <w:rPr>
      <w:rFonts w:asciiTheme="minorHAnsi" w:eastAsiaTheme="minorEastAsia" w:hAnsiTheme="minorHAnsi" w:cstheme="minorBidi"/>
      <w:sz w:val="24"/>
      <w:szCs w:val="24"/>
      <w:lang w:val="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p4">
    <w:name w:val="p4"/>
    <w:basedOn w:val="Normal"/>
    <w:rsid w:val="00F73340"/>
    <w:pPr>
      <w:spacing w:before="100" w:beforeAutospacing="1" w:after="100" w:afterAutospacing="1"/>
    </w:pPr>
    <w:rPr>
      <w:color w:val="auto"/>
      <w:sz w:val="24"/>
      <w:szCs w:val="24"/>
      <w:lang w:val="de-DE" w:eastAsia="de-DE"/>
    </w:rPr>
  </w:style>
  <w:style w:type="character" w:customStyle="1" w:styleId="s1">
    <w:name w:val="s1"/>
    <w:basedOn w:val="DefaultParagraphFont"/>
    <w:rsid w:val="00F73340"/>
  </w:style>
  <w:style w:type="paragraph" w:customStyle="1" w:styleId="p5">
    <w:name w:val="p5"/>
    <w:basedOn w:val="Normal"/>
    <w:rsid w:val="00F73340"/>
    <w:pPr>
      <w:spacing w:before="100" w:beforeAutospacing="1" w:after="100" w:afterAutospacing="1"/>
    </w:pPr>
    <w:rPr>
      <w:color w:val="auto"/>
      <w:sz w:val="24"/>
      <w:szCs w:val="24"/>
      <w:lang w:val="de-DE" w:eastAsia="de-DE"/>
    </w:rPr>
  </w:style>
  <w:style w:type="character" w:customStyle="1" w:styleId="cmpparsedlocation">
    <w:name w:val="cmp_parsed_location"/>
    <w:basedOn w:val="DefaultParagraphFont"/>
    <w:rsid w:val="00F73340"/>
  </w:style>
  <w:style w:type="paragraph" w:customStyle="1" w:styleId="Style8">
    <w:name w:val="Style8"/>
    <w:basedOn w:val="Heading4"/>
    <w:autoRedefine/>
    <w:qFormat/>
    <w:rsid w:val="007C3005"/>
    <w:pPr>
      <w:ind w:left="1571"/>
    </w:pPr>
    <w:rPr>
      <w:i w:val="0"/>
    </w:rPr>
  </w:style>
  <w:style w:type="paragraph" w:customStyle="1" w:styleId="Style9">
    <w:name w:val="Style9"/>
    <w:basedOn w:val="Heading4"/>
    <w:next w:val="StyleHeading4Left0Firstline0"/>
    <w:autoRedefine/>
    <w:qFormat/>
    <w:rsid w:val="007C3005"/>
    <w:pPr>
      <w:ind w:left="1571"/>
    </w:pPr>
    <w:rPr>
      <w:i w:val="0"/>
    </w:rPr>
  </w:style>
  <w:style w:type="character" w:customStyle="1" w:styleId="UnresolvedMention1">
    <w:name w:val="Unresolved Mention1"/>
    <w:basedOn w:val="DefaultParagraphFont"/>
    <w:uiPriority w:val="99"/>
    <w:semiHidden/>
    <w:unhideWhenUsed/>
    <w:rsid w:val="009D6E18"/>
    <w:rPr>
      <w:color w:val="808080"/>
      <w:shd w:val="clear" w:color="auto" w:fill="E6E6E6"/>
    </w:rPr>
  </w:style>
  <w:style w:type="character" w:customStyle="1" w:styleId="xmsofootnotereference">
    <w:name w:val="x_msofootnotereference"/>
    <w:basedOn w:val="DefaultParagraphFont"/>
    <w:rsid w:val="00966473"/>
  </w:style>
  <w:style w:type="character" w:customStyle="1" w:styleId="Mention1">
    <w:name w:val="Mention1"/>
    <w:basedOn w:val="DefaultParagraphFont"/>
    <w:uiPriority w:val="99"/>
    <w:semiHidden/>
    <w:unhideWhenUsed/>
    <w:rsid w:val="0006302E"/>
    <w:rPr>
      <w:color w:val="2B579A"/>
      <w:shd w:val="clear" w:color="auto" w:fill="E6E6E6"/>
    </w:rPr>
  </w:style>
  <w:style w:type="character" w:customStyle="1" w:styleId="UnresolvedMention2">
    <w:name w:val="Unresolved Mention2"/>
    <w:basedOn w:val="DefaultParagraphFont"/>
    <w:uiPriority w:val="99"/>
    <w:semiHidden/>
    <w:unhideWhenUsed/>
    <w:rsid w:val="0098504E"/>
    <w:rPr>
      <w:color w:val="808080"/>
      <w:shd w:val="clear" w:color="auto" w:fill="E6E6E6"/>
    </w:rPr>
  </w:style>
  <w:style w:type="character" w:customStyle="1" w:styleId="UnresolvedMention3">
    <w:name w:val="Unresolved Mention3"/>
    <w:basedOn w:val="DefaultParagraphFont"/>
    <w:uiPriority w:val="99"/>
    <w:semiHidden/>
    <w:unhideWhenUsed/>
    <w:rsid w:val="002C2401"/>
    <w:rPr>
      <w:color w:val="808080"/>
      <w:shd w:val="clear" w:color="auto" w:fill="E6E6E6"/>
    </w:rPr>
  </w:style>
  <w:style w:type="character" w:customStyle="1" w:styleId="UnresolvedMention4">
    <w:name w:val="Unresolved Mention4"/>
    <w:basedOn w:val="DefaultParagraphFont"/>
    <w:uiPriority w:val="99"/>
    <w:semiHidden/>
    <w:unhideWhenUsed/>
    <w:rsid w:val="008724E6"/>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SimSun" w:hAnsi="Times"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line number" w:uiPriority="0"/>
    <w:lsdException w:name="page number" w:uiPriority="0"/>
    <w:lsdException w:name="endnote reference" w:uiPriority="0"/>
    <w:lsdException w:name="List Bullet" w:uiPriority="0"/>
    <w:lsdException w:name="List Number" w:uiPriority="0"/>
    <w:lsdException w:name="List Number 5"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DB2"/>
    <w:pPr>
      <w:spacing w:after="240"/>
    </w:pPr>
    <w:rPr>
      <w:rFonts w:ascii="Times New Roman" w:hAnsi="Times New Roman"/>
      <w:color w:val="000000"/>
      <w:sz w:val="22"/>
      <w:lang w:val="en-GB" w:eastAsia="zh-CN"/>
    </w:rPr>
  </w:style>
  <w:style w:type="paragraph" w:styleId="Heading1">
    <w:name w:val="heading 1"/>
    <w:aliases w:val="Para (1),Heading 1 Char1 Char,Heading 1 Char Char Char,Para (1) Char Char Char,Para (1) Char1 Char,Heading 1 Char1,Heading 1 Char Char,Para (1) Char Char,Para (1) Char1,Heading 1 Char1 Char Char,Heading 1 Char,Heading 1 Char1 Char Char Char"/>
    <w:basedOn w:val="Normal"/>
    <w:next w:val="Normal"/>
    <w:autoRedefine/>
    <w:uiPriority w:val="9"/>
    <w:qFormat/>
    <w:rsid w:val="00A94275"/>
    <w:pPr>
      <w:keepNext/>
      <w:spacing w:before="120"/>
      <w:ind w:left="810" w:hanging="810"/>
      <w:outlineLvl w:val="0"/>
    </w:pPr>
    <w:rPr>
      <w:b/>
      <w:sz w:val="28"/>
    </w:rPr>
  </w:style>
  <w:style w:type="paragraph" w:styleId="Heading2">
    <w:name w:val="heading 2"/>
    <w:aliases w:val="SubPara (a),Heading 2 Char1 Char,SubPara (a) Char1 Char,Heading 2 Char3 Char Char,Heading 2 Char Char2 Char Char,Heading 2 Char1 Char Char1 Char Char,SubPara (a) Char Char Char1 Char Char,Heading 2 Char Char Char Char1 Char Char,Heading 2 C..."/>
    <w:basedOn w:val="Heading1"/>
    <w:next w:val="Normal"/>
    <w:autoRedefine/>
    <w:uiPriority w:val="9"/>
    <w:qFormat/>
    <w:rsid w:val="00275CBE"/>
    <w:pPr>
      <w:widowControl w:val="0"/>
      <w:tabs>
        <w:tab w:val="left" w:pos="851"/>
      </w:tabs>
      <w:autoSpaceDE w:val="0"/>
      <w:autoSpaceDN w:val="0"/>
      <w:adjustRightInd w:val="0"/>
      <w:spacing w:before="240"/>
      <w:ind w:left="851" w:right="29" w:hanging="851"/>
      <w:outlineLvl w:val="1"/>
    </w:pPr>
    <w:rPr>
      <w:rFonts w:eastAsia="MS Mincho"/>
      <w:snapToGrid w:val="0"/>
      <w:color w:val="auto"/>
      <w:sz w:val="24"/>
      <w:szCs w:val="22"/>
      <w:lang w:val="en-US" w:eastAsia="en-US"/>
    </w:rPr>
  </w:style>
  <w:style w:type="paragraph" w:styleId="Heading3">
    <w:name w:val="heading 3"/>
    <w:aliases w:val="Heading 3 Char1 Char,Heading 3 Char Char Char,Char Char Char Char,Char Char1 Char,Sec"/>
    <w:basedOn w:val="Normal"/>
    <w:next w:val="Normal"/>
    <w:autoRedefine/>
    <w:uiPriority w:val="9"/>
    <w:qFormat/>
    <w:rsid w:val="00275CBE"/>
    <w:pPr>
      <w:keepNext/>
      <w:keepLines/>
      <w:widowControl w:val="0"/>
      <w:tabs>
        <w:tab w:val="left" w:pos="851"/>
      </w:tabs>
      <w:autoSpaceDE w:val="0"/>
      <w:autoSpaceDN w:val="0"/>
      <w:adjustRightInd w:val="0"/>
      <w:spacing w:before="120"/>
      <w:ind w:left="851" w:right="29" w:hanging="851"/>
      <w:outlineLvl w:val="2"/>
    </w:pPr>
    <w:rPr>
      <w:rFonts w:eastAsia="MS Mincho"/>
      <w:b/>
      <w:snapToGrid w:val="0"/>
      <w:sz w:val="24"/>
      <w:lang w:val="en-US"/>
    </w:rPr>
  </w:style>
  <w:style w:type="paragraph" w:styleId="Heading4">
    <w:name w:val="heading 4"/>
    <w:aliases w:val="MainPara"/>
    <w:basedOn w:val="Heading3"/>
    <w:next w:val="Normal"/>
    <w:autoRedefine/>
    <w:uiPriority w:val="9"/>
    <w:qFormat/>
    <w:rsid w:val="00C81599"/>
    <w:pPr>
      <w:keepLines w:val="0"/>
      <w:autoSpaceDE/>
      <w:autoSpaceDN/>
      <w:adjustRightInd/>
      <w:spacing w:before="0" w:after="60" w:line="276" w:lineRule="auto"/>
      <w:ind w:right="0"/>
      <w:outlineLvl w:val="3"/>
    </w:pPr>
    <w:rPr>
      <w:i/>
      <w:color w:val="000000" w:themeColor="text1"/>
      <w:shd w:val="clear" w:color="auto" w:fill="FFFFFF"/>
    </w:rPr>
  </w:style>
  <w:style w:type="paragraph" w:styleId="Heading5">
    <w:name w:val="heading 5"/>
    <w:aliases w:val="Subpara 2"/>
    <w:basedOn w:val="Heading1"/>
    <w:next w:val="Normal"/>
    <w:autoRedefine/>
    <w:uiPriority w:val="9"/>
    <w:qFormat/>
    <w:rsid w:val="00F91A3F"/>
    <w:pPr>
      <w:widowControl w:val="0"/>
      <w:ind w:left="851" w:firstLine="0"/>
      <w:outlineLvl w:val="4"/>
    </w:pPr>
    <w:rPr>
      <w:i/>
      <w:sz w:val="22"/>
      <w:szCs w:val="22"/>
    </w:rPr>
  </w:style>
  <w:style w:type="paragraph" w:styleId="Heading6">
    <w:name w:val="heading 6"/>
    <w:aliases w:val="Subpara 3"/>
    <w:basedOn w:val="Normal"/>
    <w:next w:val="Normal"/>
    <w:uiPriority w:val="9"/>
    <w:qFormat/>
    <w:pPr>
      <w:keepNext/>
      <w:tabs>
        <w:tab w:val="left" w:pos="230"/>
        <w:tab w:val="left" w:pos="1877"/>
      </w:tabs>
      <w:spacing w:before="48"/>
      <w:outlineLvl w:val="5"/>
    </w:pPr>
  </w:style>
  <w:style w:type="paragraph" w:styleId="Heading7">
    <w:name w:val="heading 7"/>
    <w:aliases w:val="Subpara 4"/>
    <w:basedOn w:val="Normal"/>
    <w:next w:val="Normal"/>
    <w:uiPriority w:val="9"/>
    <w:qFormat/>
    <w:pPr>
      <w:keepNext/>
      <w:numPr>
        <w:ilvl w:val="6"/>
        <w:numId w:val="6"/>
      </w:numPr>
      <w:spacing w:before="48"/>
      <w:jc w:val="center"/>
      <w:outlineLvl w:val="6"/>
    </w:pPr>
    <w:rPr>
      <w:b/>
    </w:rPr>
  </w:style>
  <w:style w:type="paragraph" w:styleId="Heading8">
    <w:name w:val="heading 8"/>
    <w:aliases w:val="Subpara 5"/>
    <w:basedOn w:val="Normal"/>
    <w:next w:val="Normal"/>
    <w:uiPriority w:val="9"/>
    <w:qFormat/>
    <w:pPr>
      <w:keepNext/>
      <w:numPr>
        <w:ilvl w:val="7"/>
        <w:numId w:val="6"/>
      </w:numPr>
      <w:tabs>
        <w:tab w:val="left" w:pos="2160"/>
        <w:tab w:val="left" w:pos="2880"/>
        <w:tab w:val="left" w:pos="3600"/>
        <w:tab w:val="left" w:pos="6480"/>
        <w:tab w:val="left" w:pos="7290"/>
        <w:tab w:val="left" w:pos="7920"/>
        <w:tab w:val="left" w:pos="8640"/>
      </w:tabs>
      <w:spacing w:line="240" w:lineRule="exact"/>
      <w:outlineLvl w:val="7"/>
    </w:pPr>
    <w:rPr>
      <w:b/>
    </w:rPr>
  </w:style>
  <w:style w:type="paragraph" w:styleId="Heading9">
    <w:name w:val="heading 9"/>
    <w:aliases w:val="Subpara 6"/>
    <w:basedOn w:val="Normal"/>
    <w:next w:val="Normal"/>
    <w:uiPriority w:val="9"/>
    <w:qFormat/>
    <w:pPr>
      <w:keepNext/>
      <w:numPr>
        <w:ilvl w:val="8"/>
        <w:numId w:val="6"/>
      </w:numPr>
      <w:spacing w:line="240" w:lineRule="atLeas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2">
    <w:name w:val="Char Char2"/>
    <w:locked/>
    <w:rPr>
      <w:b/>
      <w:noProof w:val="0"/>
      <w:color w:val="000000"/>
      <w:sz w:val="28"/>
      <w:lang w:val="en-GB" w:eastAsia="zh-CN" w:bidi="ar-SA"/>
    </w:rPr>
  </w:style>
  <w:style w:type="character" w:customStyle="1" w:styleId="SubParaaCharChar">
    <w:name w:val="SubPara (a) Char Char"/>
    <w:rPr>
      <w:b/>
      <w:noProof w:val="0"/>
      <w:snapToGrid w:val="0"/>
      <w:color w:val="000000"/>
      <w:sz w:val="24"/>
      <w:szCs w:val="24"/>
      <w:lang w:val="en-GB" w:eastAsia="zh-CN" w:bidi="ar-SA"/>
    </w:rPr>
  </w:style>
  <w:style w:type="paragraph" w:styleId="BodyText">
    <w:name w:val="Body Text"/>
    <w:aliases w:val=" Char Char,Char Char,Body Text Char Char Char Char Char,Body Text Char Char Char Char"/>
    <w:basedOn w:val="Normal"/>
    <w:uiPriority w:val="99"/>
    <w:pPr>
      <w:spacing w:line="240" w:lineRule="atLeast"/>
    </w:pPr>
  </w:style>
  <w:style w:type="paragraph" w:styleId="Footer">
    <w:name w:val="footer"/>
    <w:basedOn w:val="Normal"/>
    <w:uiPriority w:val="99"/>
    <w:pPr>
      <w:tabs>
        <w:tab w:val="center" w:pos="4320"/>
        <w:tab w:val="right" w:pos="8640"/>
      </w:tabs>
    </w:pPr>
  </w:style>
  <w:style w:type="character" w:styleId="PageNumber">
    <w:name w:val="page number"/>
    <w:basedOn w:val="DefaultParagraphFont"/>
  </w:style>
  <w:style w:type="paragraph" w:styleId="Header">
    <w:name w:val="header"/>
    <w:aliases w:val="EthylHeader"/>
    <w:basedOn w:val="Normal"/>
    <w:link w:val="HeaderChar1"/>
    <w:uiPriority w:val="99"/>
    <w:pPr>
      <w:tabs>
        <w:tab w:val="center" w:pos="4320"/>
        <w:tab w:val="right" w:pos="8640"/>
      </w:tabs>
    </w:pPr>
  </w:style>
  <w:style w:type="paragraph" w:customStyle="1" w:styleId="ChapterHeading">
    <w:name w:val="Chapter Heading"/>
    <w:basedOn w:val="Heading1"/>
    <w:pPr>
      <w:keepNext w:val="0"/>
      <w:keepLines/>
      <w:ind w:left="2520" w:hanging="1440"/>
    </w:pPr>
    <w:rPr>
      <w:sz w:val="32"/>
    </w:rPr>
  </w:style>
  <w:style w:type="paragraph" w:customStyle="1" w:styleId="Bullet">
    <w:name w:val="Bullet"/>
    <w:basedOn w:val="Normal"/>
    <w:pPr>
      <w:numPr>
        <w:numId w:val="1"/>
      </w:numPr>
      <w:tabs>
        <w:tab w:val="left" w:pos="1531"/>
      </w:tabs>
      <w:spacing w:before="60" w:after="60"/>
    </w:pPr>
  </w:style>
  <w:style w:type="character" w:styleId="FootnoteReference">
    <w:name w:val="footnote reference"/>
    <w:aliases w:val="Footnote text,16 Point,Superscript 6 Point,number,Footnote reference number,Footnote symbol,note TESI,-E Fußnotenzeichen,SUPERS,stylish,ftref,Footnote Reference Superscript,-E Fuﬂnotenzeichen,-E Fuûnotenzeichen,EN Footnote Reference"/>
    <w:uiPriority w:val="99"/>
    <w:rPr>
      <w:vertAlign w:val="superscript"/>
    </w:rPr>
  </w:style>
  <w:style w:type="paragraph" w:styleId="ListBullet">
    <w:name w:val="List Bullet"/>
    <w:basedOn w:val="Normal"/>
    <w:pPr>
      <w:widowControl w:val="0"/>
      <w:ind w:left="425" w:hanging="425"/>
    </w:pPr>
    <w:rPr>
      <w:color w:val="auto"/>
    </w:rPr>
  </w:style>
  <w:style w:type="paragraph" w:styleId="ListNumber">
    <w:name w:val="List Number"/>
    <w:basedOn w:val="Normal"/>
    <w:pPr>
      <w:widowControl w:val="0"/>
      <w:spacing w:before="120"/>
      <w:ind w:left="1512" w:hanging="432"/>
    </w:pPr>
    <w:rPr>
      <w:color w:val="auto"/>
    </w:rPr>
  </w:style>
  <w:style w:type="paragraph" w:styleId="FootnoteText">
    <w:name w:val="footnote text"/>
    <w:aliases w:val="Geneva 9,Font: Geneva 9,Boston 10,f,Fußnotentextf,-E Fußnotentext,Fußnotentext Ursprung,-E Fußnotentext1,-E Fußnotentext2,-E Fußnotentext3,Fußnotentext Char1,Fußnotentext Char Char,Fußnotentext Char1 Char Char"/>
    <w:basedOn w:val="Normal"/>
    <w:uiPriority w:val="99"/>
    <w:rsid w:val="00141FA3"/>
    <w:pPr>
      <w:widowControl w:val="0"/>
    </w:pPr>
    <w:rPr>
      <w:color w:val="auto"/>
      <w:sz w:val="18"/>
      <w:szCs w:val="18"/>
      <w:lang w:val="en-AU"/>
    </w:rPr>
  </w:style>
  <w:style w:type="paragraph" w:styleId="BodyTextIndent">
    <w:name w:val="Body Text Indent"/>
    <w:basedOn w:val="Normal"/>
    <w:pPr>
      <w:spacing w:line="240" w:lineRule="atLeast"/>
      <w:ind w:left="2127" w:hanging="993"/>
    </w:pPr>
  </w:style>
  <w:style w:type="character" w:styleId="LineNumber">
    <w:name w:val="line number"/>
    <w:basedOn w:val="DefaultParagraphFont"/>
  </w:style>
  <w:style w:type="paragraph" w:customStyle="1" w:styleId="SummaryShading">
    <w:name w:val="Summary Shading"/>
    <w:basedOn w:val="Normal"/>
    <w:pPr>
      <w:shd w:val="pct5" w:color="808080" w:fill="auto"/>
      <w:spacing w:before="120" w:after="120"/>
      <w:jc w:val="both"/>
    </w:pPr>
    <w:rPr>
      <w:rFonts w:ascii="Garamond" w:hAnsi="Garamond"/>
      <w:color w:val="auto"/>
    </w:rPr>
  </w:style>
  <w:style w:type="paragraph" w:customStyle="1" w:styleId="MainText">
    <w:name w:val="Main Text"/>
    <w:pPr>
      <w:widowControl w:val="0"/>
      <w:spacing w:line="240" w:lineRule="exact"/>
      <w:ind w:left="567" w:hanging="567"/>
    </w:pPr>
    <w:rPr>
      <w:color w:val="000000"/>
      <w:lang w:val="en-US" w:eastAsia="zh-CN"/>
    </w:rPr>
  </w:style>
  <w:style w:type="paragraph" w:customStyle="1" w:styleId="Paragraph">
    <w:name w:val="Paragraph"/>
    <w:basedOn w:val="Normal"/>
    <w:pPr>
      <w:spacing w:before="120" w:after="120"/>
      <w:jc w:val="both"/>
    </w:pPr>
    <w:rPr>
      <w:rFonts w:ascii="Garamond" w:hAnsi="Garamond"/>
      <w:lang w:val="de-DE"/>
    </w:rPr>
  </w:style>
  <w:style w:type="paragraph" w:customStyle="1" w:styleId="DotPoints">
    <w:name w:val="Dot Points"/>
    <w:basedOn w:val="Normal"/>
    <w:pPr>
      <w:spacing w:after="60"/>
      <w:ind w:left="709" w:right="284" w:hanging="284"/>
      <w:jc w:val="both"/>
    </w:pPr>
    <w:rPr>
      <w:rFonts w:ascii="Garamond" w:hAnsi="Garamond"/>
      <w:color w:val="auto"/>
    </w:rPr>
  </w:style>
  <w:style w:type="paragraph" w:customStyle="1" w:styleId="Style1">
    <w:name w:val="Style1"/>
    <w:basedOn w:val="Normal"/>
    <w:link w:val="Style1Char"/>
    <w:qFormat/>
    <w:pPr>
      <w:spacing w:before="120" w:after="120" w:line="360" w:lineRule="auto"/>
    </w:pPr>
    <w:rPr>
      <w:rFonts w:ascii="Garamond" w:hAnsi="Garamond"/>
      <w:color w:val="auto"/>
      <w:lang w:val="en-AU"/>
    </w:rPr>
  </w:style>
  <w:style w:type="paragraph" w:customStyle="1" w:styleId="TableColumnHeading">
    <w:name w:val="Table Column Heading"/>
    <w:basedOn w:val="Normal"/>
    <w:pPr>
      <w:spacing w:before="80" w:after="120"/>
      <w:jc w:val="center"/>
    </w:pPr>
    <w:rPr>
      <w:rFonts w:ascii="Arial Narrow" w:hAnsi="Arial Narrow"/>
      <w:b/>
      <w:color w:val="auto"/>
      <w:sz w:val="20"/>
    </w:rPr>
  </w:style>
  <w:style w:type="paragraph" w:customStyle="1" w:styleId="TableDetails">
    <w:name w:val="Table Details"/>
    <w:basedOn w:val="Normal"/>
    <w:pPr>
      <w:spacing w:before="60" w:after="60"/>
      <w:ind w:left="113" w:right="113"/>
      <w:jc w:val="both"/>
    </w:pPr>
    <w:rPr>
      <w:rFonts w:ascii="Arial Narrow" w:hAnsi="Arial Narrow"/>
      <w:color w:val="auto"/>
      <w:sz w:val="20"/>
    </w:rPr>
  </w:style>
  <w:style w:type="paragraph" w:customStyle="1" w:styleId="TableHeading">
    <w:name w:val="Table Heading"/>
    <w:basedOn w:val="Normal"/>
    <w:pPr>
      <w:spacing w:before="120" w:after="120"/>
      <w:ind w:left="1134" w:hanging="1134"/>
      <w:jc w:val="both"/>
    </w:pPr>
    <w:rPr>
      <w:rFonts w:ascii="Arial" w:hAnsi="Arial"/>
      <w:b/>
      <w:color w:val="auto"/>
      <w:sz w:val="20"/>
    </w:rPr>
  </w:style>
  <w:style w:type="paragraph" w:customStyle="1" w:styleId="References">
    <w:name w:val="References"/>
    <w:basedOn w:val="Normal"/>
    <w:pPr>
      <w:keepLines/>
      <w:spacing w:before="60" w:after="60"/>
      <w:ind w:left="1134" w:hanging="1134"/>
      <w:jc w:val="both"/>
    </w:pPr>
    <w:rPr>
      <w:rFonts w:ascii="Garamond" w:hAnsi="Garamond"/>
      <w:color w:val="auto"/>
      <w:sz w:val="20"/>
    </w:rPr>
  </w:style>
  <w:style w:type="character" w:styleId="Hyperlink">
    <w:name w:val="Hyperlink"/>
    <w:uiPriority w:val="99"/>
    <w:rPr>
      <w:color w:val="0000FF"/>
      <w:u w:val="single"/>
    </w:rPr>
  </w:style>
  <w:style w:type="paragraph" w:styleId="Caption">
    <w:name w:val="caption"/>
    <w:basedOn w:val="Normal"/>
    <w:next w:val="Normal"/>
    <w:uiPriority w:val="35"/>
    <w:qFormat/>
    <w:pPr>
      <w:spacing w:line="240" w:lineRule="atLeast"/>
      <w:ind w:left="1077"/>
    </w:pPr>
    <w:rPr>
      <w:i/>
    </w:rPr>
  </w:style>
  <w:style w:type="character" w:styleId="CommentReference">
    <w:name w:val="annotation reference"/>
    <w:uiPriority w:val="99"/>
    <w:semiHidden/>
    <w:rPr>
      <w:sz w:val="16"/>
    </w:rPr>
  </w:style>
  <w:style w:type="paragraph" w:styleId="CommentText">
    <w:name w:val="annotation text"/>
    <w:basedOn w:val="Normal"/>
    <w:uiPriority w:val="99"/>
    <w:semiHidden/>
    <w:pPr>
      <w:widowControl w:val="0"/>
    </w:pPr>
    <w:rPr>
      <w:rFonts w:ascii="Arial" w:hAnsi="Arial"/>
      <w:color w:val="auto"/>
      <w:sz w:val="20"/>
    </w:rPr>
  </w:style>
  <w:style w:type="character" w:customStyle="1" w:styleId="CharChar1">
    <w:name w:val="Char Char1"/>
    <w:rPr>
      <w:rFonts w:ascii="Arial" w:hAnsi="Arial"/>
      <w:noProof w:val="0"/>
      <w:lang w:val="en-GB" w:eastAsia="zh-CN" w:bidi="ar-SA"/>
    </w:rPr>
  </w:style>
  <w:style w:type="paragraph" w:styleId="TOC1">
    <w:name w:val="toc 1"/>
    <w:basedOn w:val="Normal"/>
    <w:next w:val="Normal"/>
    <w:autoRedefine/>
    <w:uiPriority w:val="39"/>
    <w:qFormat/>
    <w:rsid w:val="00064527"/>
    <w:pPr>
      <w:tabs>
        <w:tab w:val="left" w:pos="1260"/>
        <w:tab w:val="right" w:leader="dot" w:pos="8680"/>
      </w:tabs>
      <w:spacing w:before="120" w:after="0"/>
      <w:ind w:left="1276" w:hanging="1276"/>
    </w:pPr>
    <w:rPr>
      <w:rFonts w:asciiTheme="minorHAnsi" w:hAnsiTheme="minorHAnsi"/>
      <w:b/>
      <w:caps/>
      <w:szCs w:val="22"/>
    </w:rPr>
  </w:style>
  <w:style w:type="paragraph" w:styleId="TOC2">
    <w:name w:val="toc 2"/>
    <w:basedOn w:val="Normal"/>
    <w:next w:val="Normal"/>
    <w:autoRedefine/>
    <w:uiPriority w:val="39"/>
    <w:qFormat/>
    <w:rsid w:val="002A39FF"/>
    <w:pPr>
      <w:tabs>
        <w:tab w:val="left" w:pos="1268"/>
        <w:tab w:val="right" w:leader="dot" w:pos="9015"/>
      </w:tabs>
      <w:spacing w:after="0"/>
      <w:ind w:left="1260" w:hanging="1040"/>
    </w:pPr>
    <w:rPr>
      <w:rFonts w:asciiTheme="minorHAnsi" w:hAnsiTheme="minorHAnsi"/>
      <w:b/>
      <w:smallCaps/>
      <w:noProof/>
      <w:szCs w:val="22"/>
    </w:rPr>
  </w:style>
  <w:style w:type="paragraph" w:styleId="TOC3">
    <w:name w:val="toc 3"/>
    <w:basedOn w:val="Normal"/>
    <w:next w:val="Normal"/>
    <w:autoRedefine/>
    <w:uiPriority w:val="39"/>
    <w:qFormat/>
    <w:rsid w:val="00361CC7"/>
    <w:pPr>
      <w:tabs>
        <w:tab w:val="left" w:pos="1260"/>
        <w:tab w:val="right" w:leader="dot" w:pos="9360"/>
      </w:tabs>
      <w:spacing w:after="0"/>
      <w:ind w:left="1260" w:right="-310" w:hanging="820"/>
    </w:pPr>
    <w:rPr>
      <w:rFonts w:asciiTheme="minorHAnsi" w:hAnsiTheme="minorHAnsi"/>
      <w:i/>
      <w:szCs w:val="22"/>
    </w:rPr>
  </w:style>
  <w:style w:type="paragraph" w:styleId="TOC4">
    <w:name w:val="toc 4"/>
    <w:basedOn w:val="Normal"/>
    <w:next w:val="Normal"/>
    <w:autoRedefine/>
    <w:uiPriority w:val="39"/>
    <w:pPr>
      <w:spacing w:after="0"/>
      <w:ind w:left="660"/>
    </w:pPr>
    <w:rPr>
      <w:rFonts w:asciiTheme="minorHAnsi" w:hAnsiTheme="minorHAnsi"/>
      <w:sz w:val="18"/>
      <w:szCs w:val="18"/>
    </w:rPr>
  </w:style>
  <w:style w:type="paragraph" w:styleId="TOC5">
    <w:name w:val="toc 5"/>
    <w:basedOn w:val="Normal"/>
    <w:next w:val="Normal"/>
    <w:autoRedefine/>
    <w:uiPriority w:val="39"/>
    <w:pPr>
      <w:spacing w:after="0"/>
      <w:ind w:left="880"/>
    </w:pPr>
    <w:rPr>
      <w:rFonts w:asciiTheme="minorHAnsi" w:hAnsiTheme="minorHAnsi"/>
      <w:sz w:val="18"/>
      <w:szCs w:val="18"/>
    </w:rPr>
  </w:style>
  <w:style w:type="paragraph" w:styleId="TOC6">
    <w:name w:val="toc 6"/>
    <w:basedOn w:val="Normal"/>
    <w:next w:val="Normal"/>
    <w:autoRedefine/>
    <w:uiPriority w:val="39"/>
    <w:pPr>
      <w:spacing w:after="0"/>
      <w:ind w:left="1100"/>
    </w:pPr>
    <w:rPr>
      <w:rFonts w:asciiTheme="minorHAnsi" w:hAnsiTheme="minorHAnsi"/>
      <w:sz w:val="18"/>
      <w:szCs w:val="18"/>
    </w:rPr>
  </w:style>
  <w:style w:type="paragraph" w:styleId="TOC7">
    <w:name w:val="toc 7"/>
    <w:basedOn w:val="Normal"/>
    <w:next w:val="Normal"/>
    <w:autoRedefine/>
    <w:uiPriority w:val="39"/>
    <w:pPr>
      <w:spacing w:after="0"/>
      <w:ind w:left="1320"/>
    </w:pPr>
    <w:rPr>
      <w:rFonts w:asciiTheme="minorHAnsi" w:hAnsiTheme="minorHAnsi"/>
      <w:sz w:val="18"/>
      <w:szCs w:val="18"/>
    </w:rPr>
  </w:style>
  <w:style w:type="paragraph" w:styleId="TOC8">
    <w:name w:val="toc 8"/>
    <w:basedOn w:val="Normal"/>
    <w:next w:val="Normal"/>
    <w:autoRedefine/>
    <w:uiPriority w:val="39"/>
    <w:pPr>
      <w:spacing w:after="0"/>
      <w:ind w:left="1540"/>
    </w:pPr>
    <w:rPr>
      <w:rFonts w:asciiTheme="minorHAnsi" w:hAnsiTheme="minorHAnsi"/>
      <w:sz w:val="18"/>
      <w:szCs w:val="18"/>
    </w:rPr>
  </w:style>
  <w:style w:type="paragraph" w:styleId="TOC9">
    <w:name w:val="toc 9"/>
    <w:basedOn w:val="Normal"/>
    <w:next w:val="Normal"/>
    <w:autoRedefine/>
    <w:uiPriority w:val="39"/>
    <w:pPr>
      <w:spacing w:after="0"/>
      <w:ind w:left="1760"/>
    </w:pPr>
    <w:rPr>
      <w:rFonts w:asciiTheme="minorHAnsi" w:hAnsiTheme="minorHAnsi"/>
      <w:sz w:val="18"/>
      <w:szCs w:val="18"/>
    </w:rPr>
  </w:style>
  <w:style w:type="paragraph" w:customStyle="1" w:styleId="Table-Labels">
    <w:name w:val="Table-Labels"/>
    <w:basedOn w:val="Normal"/>
    <w:next w:val="Normal"/>
    <w:pPr>
      <w:keepNext/>
      <w:keepLines/>
      <w:spacing w:after="60"/>
      <w:ind w:left="2160" w:hanging="1080"/>
    </w:pPr>
    <w:rPr>
      <w:i/>
    </w:rPr>
  </w:style>
  <w:style w:type="paragraph" w:styleId="DocumentMap">
    <w:name w:val="Document Map"/>
    <w:basedOn w:val="Normal"/>
    <w:uiPriority w:val="99"/>
    <w:semiHidden/>
    <w:pPr>
      <w:shd w:val="clear" w:color="auto" w:fill="000080"/>
    </w:pPr>
    <w:rPr>
      <w:rFonts w:ascii="Tahoma" w:hAnsi="Tahoma"/>
    </w:rPr>
  </w:style>
  <w:style w:type="paragraph" w:customStyle="1" w:styleId="Table">
    <w:name w:val="Table"/>
    <w:basedOn w:val="Normal"/>
    <w:pPr>
      <w:keepLines/>
      <w:spacing w:after="0"/>
      <w:ind w:left="72" w:right="72"/>
    </w:pPr>
    <w:rPr>
      <w:snapToGrid w:val="0"/>
      <w:sz w:val="20"/>
    </w:rPr>
  </w:style>
  <w:style w:type="paragraph" w:customStyle="1" w:styleId="Tabel">
    <w:name w:val="Tabel"/>
    <w:basedOn w:val="Normal"/>
    <w:pPr>
      <w:spacing w:after="120"/>
    </w:pPr>
  </w:style>
  <w:style w:type="paragraph" w:styleId="BlockText">
    <w:name w:val="Block Text"/>
    <w:basedOn w:val="Normal"/>
    <w:pPr>
      <w:spacing w:before="120" w:after="120"/>
      <w:ind w:left="450" w:right="566"/>
      <w:jc w:val="both"/>
    </w:pPr>
    <w:rPr>
      <w:rFonts w:ascii="Garamond" w:hAnsi="Garamond"/>
      <w:i/>
      <w:color w:val="auto"/>
    </w:rPr>
  </w:style>
  <w:style w:type="paragraph" w:customStyle="1" w:styleId="Document">
    <w:name w:val="Document"/>
    <w:basedOn w:val="Normal"/>
    <w:pPr>
      <w:spacing w:after="0"/>
      <w:jc w:val="center"/>
    </w:pPr>
    <w:rPr>
      <w:rFonts w:ascii="CG Times" w:hAnsi="CG Times"/>
    </w:rPr>
  </w:style>
  <w:style w:type="paragraph" w:customStyle="1" w:styleId="Bibliogrphy">
    <w:name w:val="Bibliogrphy"/>
    <w:basedOn w:val="Normal"/>
    <w:pPr>
      <w:spacing w:after="0"/>
      <w:ind w:left="720" w:firstLine="720"/>
    </w:pPr>
    <w:rPr>
      <w:rFonts w:ascii="CG Times" w:hAnsi="CG Times"/>
    </w:rPr>
  </w:style>
  <w:style w:type="paragraph" w:customStyle="1" w:styleId="TechInit">
    <w:name w:val="Tech Init"/>
    <w:basedOn w:val="Normal"/>
    <w:pPr>
      <w:spacing w:after="0"/>
    </w:pPr>
    <w:rPr>
      <w:rFonts w:ascii="CG Times" w:hAnsi="CG Times"/>
    </w:rPr>
  </w:style>
  <w:style w:type="paragraph" w:customStyle="1" w:styleId="Technical">
    <w:name w:val="Technical"/>
    <w:basedOn w:val="Normal"/>
    <w:pPr>
      <w:spacing w:after="0"/>
    </w:pPr>
    <w:rPr>
      <w:rFonts w:ascii="CG Times" w:hAnsi="CG Times"/>
    </w:rPr>
  </w:style>
  <w:style w:type="paragraph" w:customStyle="1" w:styleId="Pleading">
    <w:name w:val="Pleading"/>
    <w:basedOn w:val="Normal"/>
    <w:pPr>
      <w:tabs>
        <w:tab w:val="right" w:pos="288"/>
      </w:tabs>
      <w:spacing w:after="0"/>
    </w:pPr>
    <w:rPr>
      <w:rFonts w:ascii="CG Times" w:hAnsi="CG Times"/>
    </w:rPr>
  </w:style>
  <w:style w:type="paragraph" w:customStyle="1" w:styleId="BulletList">
    <w:name w:val="Bullet List"/>
    <w:basedOn w:val="Normal"/>
    <w:pPr>
      <w:spacing w:after="0"/>
      <w:ind w:left="720"/>
    </w:pPr>
    <w:rPr>
      <w:rFonts w:ascii="Roman" w:hAnsi="Roman"/>
      <w:color w:val="auto"/>
      <w:lang w:val="it-IT"/>
    </w:rPr>
  </w:style>
  <w:style w:type="character" w:styleId="FollowedHyperlink">
    <w:name w:val="FollowedHyperlink"/>
    <w:uiPriority w:val="99"/>
    <w:rPr>
      <w:color w:val="800080"/>
      <w:u w:val="single"/>
    </w:rPr>
  </w:style>
  <w:style w:type="paragraph" w:styleId="Title">
    <w:name w:val="Title"/>
    <w:basedOn w:val="Normal"/>
    <w:link w:val="TitleChar1"/>
    <w:uiPriority w:val="10"/>
    <w:qFormat/>
    <w:pPr>
      <w:spacing w:line="240" w:lineRule="atLeast"/>
      <w:jc w:val="center"/>
    </w:pPr>
    <w:rPr>
      <w:b/>
      <w:sz w:val="32"/>
    </w:rPr>
  </w:style>
  <w:style w:type="paragraph" w:customStyle="1" w:styleId="Outline">
    <w:name w:val="Outline"/>
    <w:basedOn w:val="Normal"/>
    <w:pPr>
      <w:spacing w:before="240" w:after="0"/>
    </w:pPr>
    <w:rPr>
      <w:color w:val="auto"/>
      <w:kern w:val="28"/>
    </w:rPr>
  </w:style>
  <w:style w:type="paragraph" w:customStyle="1" w:styleId="Body">
    <w:name w:val="Body"/>
    <w:pPr>
      <w:widowControl w:val="0"/>
    </w:pPr>
    <w:rPr>
      <w:rFonts w:ascii="Times New Roman" w:hAnsi="Times New Roman"/>
      <w:sz w:val="24"/>
      <w:lang w:val="en-GB" w:eastAsia="zh-CN"/>
    </w:rPr>
  </w:style>
  <w:style w:type="character" w:styleId="EndnoteReference">
    <w:name w:val="endnote reference"/>
    <w:semiHidden/>
    <w:rPr>
      <w:vertAlign w:val="superscript"/>
    </w:rPr>
  </w:style>
  <w:style w:type="paragraph" w:customStyle="1" w:styleId="DefaultText">
    <w:name w:val="Default Text"/>
    <w:basedOn w:val="Normal"/>
    <w:pPr>
      <w:autoSpaceDE w:val="0"/>
      <w:autoSpaceDN w:val="0"/>
      <w:adjustRightInd w:val="0"/>
      <w:spacing w:after="0"/>
    </w:pPr>
    <w:rPr>
      <w:color w:val="auto"/>
    </w:rPr>
  </w:style>
  <w:style w:type="paragraph" w:customStyle="1" w:styleId="MSNormal">
    <w:name w:val="MSNormal"/>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pPr>
    <w:rPr>
      <w:rFonts w:ascii="Chicago" w:hAnsi="Chicago"/>
      <w:color w:val="auto"/>
    </w:rPr>
  </w:style>
  <w:style w:type="paragraph" w:styleId="PlainText">
    <w:name w:val="Plain Text"/>
    <w:aliases w:val=" Char,Char"/>
    <w:basedOn w:val="Normal"/>
    <w:uiPriority w:val="99"/>
    <w:pPr>
      <w:spacing w:after="0"/>
    </w:pPr>
    <w:rPr>
      <w:rFonts w:ascii="Courier" w:eastAsia="Times" w:hAnsi="Courier"/>
      <w:color w:val="auto"/>
    </w:rPr>
  </w:style>
  <w:style w:type="paragraph" w:customStyle="1" w:styleId="Reference">
    <w:name w:val="Reference"/>
    <w:basedOn w:val="Normal"/>
    <w:pPr>
      <w:spacing w:after="60"/>
      <w:ind w:left="284"/>
    </w:pPr>
    <w:rPr>
      <w:color w:val="auto"/>
    </w:rPr>
  </w:style>
  <w:style w:type="paragraph" w:customStyle="1" w:styleId="Figures">
    <w:name w:val="Figures"/>
    <w:basedOn w:val="Normal"/>
    <w:pPr>
      <w:tabs>
        <w:tab w:val="center" w:pos="4680"/>
      </w:tabs>
      <w:suppressAutoHyphens/>
      <w:overflowPunct w:val="0"/>
      <w:autoSpaceDE w:val="0"/>
      <w:autoSpaceDN w:val="0"/>
      <w:adjustRightInd w:val="0"/>
      <w:spacing w:before="240" w:after="120"/>
      <w:jc w:val="both"/>
      <w:textAlignment w:val="baseline"/>
    </w:pPr>
    <w:rPr>
      <w:b/>
      <w:color w:val="auto"/>
    </w:rPr>
  </w:style>
  <w:style w:type="paragraph" w:styleId="BodyTextIndent2">
    <w:name w:val="Body Text Indent 2"/>
    <w:basedOn w:val="Normal"/>
    <w:pPr>
      <w:widowControl w:val="0"/>
      <w:spacing w:after="0"/>
      <w:ind w:firstLine="720"/>
      <w:jc w:val="both"/>
    </w:pPr>
    <w:rPr>
      <w:snapToGrid w:val="0"/>
      <w:color w:val="auto"/>
    </w:rPr>
  </w:style>
  <w:style w:type="paragraph" w:styleId="BodyTextIndent3">
    <w:name w:val="Body Text Indent 3"/>
    <w:basedOn w:val="Normal"/>
    <w:pPr>
      <w:widowControl w:val="0"/>
      <w:spacing w:after="0"/>
      <w:ind w:firstLine="720"/>
      <w:jc w:val="both"/>
    </w:pPr>
    <w:rPr>
      <w:snapToGrid w:val="0"/>
      <w:color w:val="FF0000"/>
    </w:rPr>
  </w:style>
  <w:style w:type="paragraph" w:styleId="BodyText2">
    <w:name w:val="Body Text 2"/>
    <w:basedOn w:val="Normal"/>
    <w:pPr>
      <w:spacing w:after="0"/>
      <w:jc w:val="center"/>
    </w:pPr>
    <w:rPr>
      <w:color w:val="auto"/>
      <w:sz w:val="48"/>
    </w:rPr>
  </w:style>
  <w:style w:type="paragraph" w:styleId="BodyText3">
    <w:name w:val="Body Text 3"/>
    <w:basedOn w:val="Normal"/>
    <w:pPr>
      <w:spacing w:after="0"/>
      <w:jc w:val="center"/>
    </w:pPr>
    <w:rPr>
      <w:color w:val="auto"/>
      <w:sz w:val="36"/>
    </w:rPr>
  </w:style>
  <w:style w:type="paragraph" w:customStyle="1" w:styleId="DefinitionL">
    <w:name w:val="Definition L"/>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Pr>
      <w:rFonts w:ascii="Times New Roman" w:hAnsi="Times New Roman"/>
      <w:snapToGrid w:val="0"/>
      <w:sz w:val="24"/>
      <w:lang w:val="en-US" w:eastAsia="zh-CN"/>
    </w:rPr>
  </w:style>
  <w:style w:type="paragraph" w:customStyle="1" w:styleId="Tableheading0">
    <w:name w:val="Table heading"/>
    <w:basedOn w:val="Normal"/>
    <w:pPr>
      <w:keepNext/>
      <w:spacing w:before="120"/>
      <w:ind w:left="1984" w:hanging="907"/>
    </w:pPr>
    <w:rPr>
      <w:i/>
      <w:color w:val="auto"/>
    </w:rPr>
  </w:style>
  <w:style w:type="paragraph" w:customStyle="1" w:styleId="Figure">
    <w:name w:val="Figure"/>
    <w:basedOn w:val="Normal"/>
    <w:pPr>
      <w:widowControl w:val="0"/>
      <w:spacing w:line="-240" w:lineRule="auto"/>
      <w:ind w:left="1077"/>
    </w:pPr>
    <w:rPr>
      <w:rFonts w:ascii="Arial" w:hAnsi="Arial"/>
      <w:b/>
      <w:color w:val="auto"/>
    </w:rPr>
  </w:style>
  <w:style w:type="paragraph" w:styleId="Index1">
    <w:name w:val="index 1"/>
    <w:basedOn w:val="Normal"/>
    <w:next w:val="Normal"/>
    <w:autoRedefine/>
    <w:semiHidden/>
    <w:pPr>
      <w:ind w:left="240" w:hanging="240"/>
    </w:pPr>
    <w:rPr>
      <w:color w:val="auto"/>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olor w:val="auto"/>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b/>
      <w:color w:val="auto"/>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b/>
      <w:color w:val="auto"/>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olor w:val="auto"/>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olor w:val="auto"/>
    </w:rPr>
  </w:style>
  <w:style w:type="paragraph" w:customStyle="1" w:styleId="xl29">
    <w:name w:val="xl2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olor w:val="auto"/>
    </w:rPr>
  </w:style>
  <w:style w:type="paragraph" w:customStyle="1" w:styleId="xl30">
    <w:name w:val="xl30"/>
    <w:basedOn w:val="Normal"/>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olor w:val="auto"/>
    </w:rPr>
  </w:style>
  <w:style w:type="paragraph" w:customStyle="1" w:styleId="xl31">
    <w:name w:val="xl3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Arial Unicode MS" w:hAnsi="Arial"/>
      <w:color w:val="auto"/>
    </w:rPr>
  </w:style>
  <w:style w:type="paragraph" w:customStyle="1" w:styleId="xl32">
    <w:name w:val="xl32"/>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b/>
      <w:color w:val="auto"/>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b/>
      <w:color w:val="auto"/>
    </w:rPr>
  </w:style>
  <w:style w:type="character" w:styleId="Strong">
    <w:name w:val="Strong"/>
    <w:qFormat/>
    <w:rPr>
      <w:b/>
    </w:rPr>
  </w:style>
  <w:style w:type="paragraph" w:styleId="BalloonText">
    <w:name w:val="Balloon Text"/>
    <w:basedOn w:val="Normal"/>
    <w:uiPriority w:val="99"/>
    <w:rPr>
      <w:rFonts w:ascii="Tahoma" w:hAnsi="Tahoma"/>
      <w:sz w:val="16"/>
    </w:rPr>
  </w:style>
  <w:style w:type="paragraph" w:styleId="NormalWeb">
    <w:name w:val="Normal (Web)"/>
    <w:basedOn w:val="Normal"/>
    <w:uiPriority w:val="99"/>
    <w:pPr>
      <w:spacing w:before="100" w:after="100"/>
    </w:pPr>
    <w:rPr>
      <w:color w:val="auto"/>
      <w:lang w:val="en-US"/>
    </w:rPr>
  </w:style>
  <w:style w:type="paragraph" w:customStyle="1" w:styleId="Thesisheading1">
    <w:name w:val="Thesisheading1"/>
    <w:basedOn w:val="BodyTextIndent2"/>
    <w:pPr>
      <w:widowControl/>
      <w:numPr>
        <w:numId w:val="2"/>
      </w:numPr>
      <w:spacing w:line="360" w:lineRule="auto"/>
    </w:pPr>
    <w:rPr>
      <w:rFonts w:ascii="Arial" w:hAnsi="Arial"/>
      <w:b/>
      <w:caps/>
      <w:snapToGrid/>
      <w:sz w:val="32"/>
    </w:rPr>
  </w:style>
  <w:style w:type="paragraph" w:customStyle="1" w:styleId="Thesisheading4">
    <w:name w:val="Thesisheading4"/>
    <w:basedOn w:val="Heading3"/>
    <w:pPr>
      <w:numPr>
        <w:ilvl w:val="2"/>
        <w:numId w:val="2"/>
      </w:numPr>
      <w:tabs>
        <w:tab w:val="clear" w:pos="720"/>
        <w:tab w:val="num" w:pos="2880"/>
      </w:tabs>
      <w:spacing w:line="360" w:lineRule="auto"/>
      <w:ind w:left="2880" w:hanging="360"/>
    </w:pPr>
    <w:rPr>
      <w:rFonts w:ascii="Arial" w:hAnsi="Arial"/>
      <w:b w:val="0"/>
      <w:snapToGrid/>
    </w:rPr>
  </w:style>
  <w:style w:type="paragraph" w:customStyle="1" w:styleId="font5">
    <w:name w:val="font5"/>
    <w:basedOn w:val="Normal"/>
    <w:pPr>
      <w:spacing w:before="100" w:after="100"/>
    </w:pPr>
    <w:rPr>
      <w:rFonts w:ascii="Arial" w:eastAsia="Arial Unicode MS" w:hAnsi="Arial"/>
      <w:color w:val="00FF00"/>
      <w:sz w:val="20"/>
      <w:lang w:val="en-AU"/>
    </w:rPr>
  </w:style>
  <w:style w:type="paragraph" w:customStyle="1" w:styleId="xl34">
    <w:name w:val="xl34"/>
    <w:basedOn w:val="Normal"/>
    <w:pPr>
      <w:pBdr>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5">
    <w:name w:val="xl35"/>
    <w:basedOn w:val="Normal"/>
    <w:pPr>
      <w:pBdr>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hd w:val="clear" w:color="auto" w:fill="FFFFFF"/>
      <w:spacing w:before="100" w:after="100"/>
      <w:jc w:val="both"/>
      <w:textAlignment w:val="top"/>
    </w:pPr>
    <w:rPr>
      <w:rFonts w:ascii="Arial" w:eastAsia="Arial Unicode MS" w:hAnsi="Arial"/>
      <w:color w:val="auto"/>
      <w:lang w:val="en-AU"/>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hd w:val="clear" w:color="auto" w:fill="FFFFFF"/>
      <w:spacing w:before="100" w:after="100"/>
      <w:textAlignment w:val="top"/>
    </w:pPr>
    <w:rPr>
      <w:rFonts w:ascii="Arial" w:eastAsia="Arial Unicode MS" w:hAnsi="Arial"/>
      <w:color w:val="auto"/>
      <w:lang w:val="en-AU"/>
    </w:rPr>
  </w:style>
  <w:style w:type="paragraph" w:customStyle="1" w:styleId="xl41">
    <w:name w:val="xl41"/>
    <w:basedOn w:val="Normal"/>
    <w:pPr>
      <w:spacing w:before="100" w:after="100"/>
    </w:pPr>
    <w:rPr>
      <w:rFonts w:ascii="Arial" w:eastAsia="Arial Unicode MS" w:hAnsi="Arial"/>
      <w:color w:val="auto"/>
      <w:lang w:val="en-AU"/>
    </w:rPr>
  </w:style>
  <w:style w:type="paragraph" w:customStyle="1" w:styleId="xl42">
    <w:name w:val="xl42"/>
    <w:basedOn w:val="Normal"/>
    <w:pPr>
      <w:pBdr>
        <w:top w:val="single" w:sz="4" w:space="0" w:color="auto"/>
        <w:left w:val="single" w:sz="4" w:space="0" w:color="000000"/>
        <w:right w:val="single" w:sz="4" w:space="0" w:color="auto"/>
      </w:pBdr>
      <w:spacing w:before="100" w:after="100"/>
      <w:textAlignment w:val="top"/>
    </w:pPr>
    <w:rPr>
      <w:rFonts w:ascii="Arial" w:eastAsia="Arial Unicode MS" w:hAnsi="Arial"/>
      <w:color w:val="auto"/>
      <w:lang w:val="en-AU"/>
    </w:rPr>
  </w:style>
  <w:style w:type="paragraph" w:customStyle="1" w:styleId="xl43">
    <w:name w:val="xl43"/>
    <w:basedOn w:val="Normal"/>
    <w:pPr>
      <w:spacing w:before="100" w:after="100"/>
      <w:jc w:val="center"/>
    </w:pPr>
    <w:rPr>
      <w:rFonts w:ascii="Arial" w:eastAsia="Arial Unicode MS" w:hAnsi="Arial"/>
      <w:color w:val="auto"/>
      <w:lang w:val="en-AU"/>
    </w:rPr>
  </w:style>
  <w:style w:type="paragraph" w:customStyle="1" w:styleId="xl44">
    <w:name w:val="xl44"/>
    <w:basedOn w:val="Normal"/>
    <w:pPr>
      <w:spacing w:before="100" w:after="100"/>
      <w:textAlignment w:val="top"/>
    </w:pPr>
    <w:rPr>
      <w:rFonts w:ascii="Arial" w:eastAsia="Arial Unicode MS" w:hAnsi="Arial"/>
      <w:color w:val="auto"/>
      <w:lang w:val="en-AU"/>
    </w:rPr>
  </w:style>
  <w:style w:type="paragraph" w:customStyle="1" w:styleId="xl45">
    <w:name w:val="xl45"/>
    <w:basedOn w:val="Normal"/>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46">
    <w:name w:val="xl46"/>
    <w:basedOn w:val="Normal"/>
    <w:pPr>
      <w:pBdr>
        <w:top w:val="single" w:sz="4" w:space="0" w:color="auto"/>
        <w:left w:val="single" w:sz="4" w:space="0" w:color="auto"/>
        <w:bottom w:val="single" w:sz="4" w:space="0" w:color="auto"/>
        <w:right w:val="single" w:sz="4" w:space="0" w:color="auto"/>
      </w:pBdr>
      <w:shd w:val="clear" w:color="auto" w:fill="FFFFFF"/>
      <w:spacing w:before="100" w:after="100"/>
      <w:textAlignment w:val="top"/>
    </w:pPr>
    <w:rPr>
      <w:rFonts w:ascii="Arial" w:eastAsia="Arial Unicode MS" w:hAnsi="Arial"/>
      <w:color w:val="auto"/>
      <w:lang w:val="en-AU"/>
    </w:rPr>
  </w:style>
  <w:style w:type="paragraph" w:customStyle="1" w:styleId="xl47">
    <w:name w:val="xl47"/>
    <w:basedOn w:val="Normal"/>
    <w:pPr>
      <w:pBdr>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48">
    <w:name w:val="xl48"/>
    <w:basedOn w:val="Normal"/>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49">
    <w:name w:val="xl49"/>
    <w:basedOn w:val="Normal"/>
    <w:pPr>
      <w:pBdr>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0">
    <w:name w:val="xl50"/>
    <w:basedOn w:val="Normal"/>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1">
    <w:name w:val="xl51"/>
    <w:basedOn w:val="Normal"/>
    <w:pPr>
      <w:pBdr>
        <w:top w:val="single" w:sz="4" w:space="0" w:color="auto"/>
        <w:left w:val="single" w:sz="4" w:space="0" w:color="auto"/>
        <w:bottom w:val="single" w:sz="4" w:space="0" w:color="auto"/>
        <w:right w:val="single" w:sz="4" w:space="0" w:color="auto"/>
      </w:pBdr>
      <w:shd w:val="clear" w:color="auto" w:fill="FFFFFF"/>
      <w:spacing w:before="100" w:after="100"/>
      <w:jc w:val="center"/>
      <w:textAlignment w:val="top"/>
    </w:pPr>
    <w:rPr>
      <w:rFonts w:ascii="Arial" w:eastAsia="Arial Unicode MS" w:hAnsi="Arial"/>
      <w:color w:val="auto"/>
      <w:lang w:val="en-AU"/>
    </w:rPr>
  </w:style>
  <w:style w:type="paragraph" w:customStyle="1" w:styleId="xl52">
    <w:name w:val="xl52"/>
    <w:basedOn w:val="Normal"/>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3">
    <w:name w:val="xl53"/>
    <w:basedOn w:val="Normal"/>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4">
    <w:name w:val="xl54"/>
    <w:basedOn w:val="Normal"/>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5">
    <w:name w:val="xl55"/>
    <w:basedOn w:val="Normal"/>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6">
    <w:name w:val="xl56"/>
    <w:basedOn w:val="Normal"/>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Default">
    <w:name w:val="Default"/>
    <w:pPr>
      <w:autoSpaceDE w:val="0"/>
      <w:autoSpaceDN w:val="0"/>
      <w:adjustRightInd w:val="0"/>
    </w:pPr>
    <w:rPr>
      <w:rFonts w:ascii="Times New Roman" w:hAnsi="Times New Roman"/>
      <w:color w:val="000000"/>
      <w:sz w:val="24"/>
      <w:lang w:val="en-US"/>
    </w:rPr>
  </w:style>
  <w:style w:type="paragraph" w:styleId="ListNumber5">
    <w:name w:val="List Number 5"/>
    <w:basedOn w:val="Normal"/>
    <w:pPr>
      <w:numPr>
        <w:numId w:val="3"/>
      </w:numPr>
      <w:tabs>
        <w:tab w:val="clear" w:pos="1492"/>
        <w:tab w:val="num" w:pos="1800"/>
      </w:tabs>
      <w:spacing w:after="0"/>
      <w:ind w:left="1800"/>
    </w:pPr>
    <w:rPr>
      <w:color w:val="auto"/>
      <w:lang w:val="en-US"/>
    </w:rPr>
  </w:style>
  <w:style w:type="paragraph" w:customStyle="1" w:styleId="Sectionheading">
    <w:name w:val="Section heading"/>
    <w:basedOn w:val="Heading2"/>
    <w:pPr>
      <w:spacing w:before="120"/>
      <w:ind w:left="1080" w:hanging="1080"/>
    </w:pPr>
    <w:rPr>
      <w:snapToGrid/>
    </w:rPr>
  </w:style>
  <w:style w:type="paragraph" w:customStyle="1" w:styleId="Sectionsub-heading">
    <w:name w:val="Section sub-heading"/>
    <w:basedOn w:val="Heading3"/>
    <w:pPr>
      <w:spacing w:before="60"/>
      <w:ind w:left="2126" w:hanging="1049"/>
    </w:pPr>
    <w:rPr>
      <w:snapToGrid/>
    </w:rPr>
  </w:style>
  <w:style w:type="paragraph" w:customStyle="1" w:styleId="MainTextIndent">
    <w:name w:val="Main Text Indent"/>
    <w:basedOn w:val="MainText"/>
    <w:pPr>
      <w:tabs>
        <w:tab w:val="left" w:pos="567"/>
      </w:tabs>
      <w:ind w:left="993" w:hanging="993"/>
    </w:pPr>
  </w:style>
  <w:style w:type="paragraph" w:customStyle="1" w:styleId="MainTextDoubleIndent">
    <w:name w:val="Main Text Double Indent"/>
    <w:basedOn w:val="MainTextIndent"/>
    <w:pPr>
      <w:tabs>
        <w:tab w:val="left" w:pos="993"/>
      </w:tabs>
      <w:ind w:left="1418" w:hanging="1418"/>
    </w:pPr>
  </w:style>
  <w:style w:type="paragraph" w:customStyle="1" w:styleId="HeadingSub">
    <w:name w:val="Heading: Sub"/>
    <w:basedOn w:val="MainText"/>
    <w:rPr>
      <w:rFonts w:ascii="Futura" w:hAnsi="Futura"/>
    </w:rPr>
  </w:style>
  <w:style w:type="paragraph" w:customStyle="1" w:styleId="MainTextNon-indent">
    <w:name w:val="Main Text Non-indent"/>
    <w:basedOn w:val="MainText"/>
    <w:pPr>
      <w:ind w:left="0" w:firstLine="0"/>
    </w:pPr>
  </w:style>
  <w:style w:type="paragraph" w:customStyle="1" w:styleId="HeadingSection">
    <w:name w:val="Heading: Section"/>
    <w:basedOn w:val="Normal"/>
    <w:pPr>
      <w:widowControl w:val="0"/>
      <w:tabs>
        <w:tab w:val="left" w:pos="3969"/>
      </w:tabs>
      <w:spacing w:line="360" w:lineRule="exact"/>
      <w:ind w:left="1701" w:hanging="1701"/>
    </w:pPr>
    <w:rPr>
      <w:rFonts w:ascii="Arial" w:hAnsi="Arial"/>
    </w:rPr>
  </w:style>
  <w:style w:type="paragraph" w:customStyle="1" w:styleId="GCDCB12">
    <w:name w:val="GCD_CB12"/>
    <w:basedOn w:val="Normal"/>
    <w:next w:val="Normal"/>
    <w:pPr>
      <w:jc w:val="center"/>
    </w:pPr>
    <w:rPr>
      <w:b/>
      <w:color w:val="auto"/>
    </w:rPr>
  </w:style>
  <w:style w:type="paragraph" w:customStyle="1" w:styleId="Closeup">
    <w:name w:val="Closeup"/>
    <w:basedOn w:val="Normal"/>
    <w:pPr>
      <w:spacing w:after="0"/>
    </w:pPr>
    <w:rPr>
      <w:color w:val="auto"/>
      <w:lang w:eastAsia="ja-JP"/>
    </w:rPr>
  </w:style>
  <w:style w:type="paragraph" w:customStyle="1" w:styleId="ScreenFormat-1">
    <w:name w:val="ScreenFormat-1"/>
    <w:basedOn w:val="Normal"/>
    <w:pPr>
      <w:spacing w:before="120" w:after="120"/>
    </w:pPr>
    <w:rPr>
      <w:color w:val="auto"/>
      <w:sz w:val="32"/>
      <w:lang w:eastAsia="ja-JP"/>
    </w:rPr>
  </w:style>
  <w:style w:type="paragraph" w:customStyle="1" w:styleId="TableText">
    <w:name w:val="TableText"/>
    <w:basedOn w:val="BodyText"/>
    <w:pPr>
      <w:keepLines/>
      <w:spacing w:after="0" w:line="240" w:lineRule="auto"/>
    </w:pPr>
    <w:rPr>
      <w:rFonts w:eastAsia="Times"/>
      <w:color w:val="auto"/>
      <w:sz w:val="20"/>
      <w:lang w:val="en-US" w:eastAsia="ja-JP"/>
    </w:rPr>
  </w:style>
  <w:style w:type="paragraph" w:customStyle="1" w:styleId="Equation">
    <w:name w:val="Equation"/>
    <w:basedOn w:val="BodyText"/>
    <w:pPr>
      <w:keepLines/>
      <w:tabs>
        <w:tab w:val="right" w:pos="9639"/>
      </w:tabs>
      <w:spacing w:after="0" w:line="240" w:lineRule="auto"/>
      <w:ind w:left="567"/>
    </w:pPr>
    <w:rPr>
      <w:rFonts w:eastAsia="Times"/>
      <w:color w:val="auto"/>
      <w:lang w:val="en-US" w:eastAsia="ja-JP"/>
    </w:rPr>
  </w:style>
  <w:style w:type="paragraph" w:customStyle="1" w:styleId="Note">
    <w:name w:val="Note"/>
    <w:basedOn w:val="BodyText"/>
    <w:pPr>
      <w:keepLines/>
      <w:pBdr>
        <w:top w:val="single" w:sz="2" w:space="1" w:color="808080"/>
        <w:left w:val="single" w:sz="2" w:space="4" w:color="808080"/>
        <w:bottom w:val="single" w:sz="2" w:space="1" w:color="808080"/>
        <w:right w:val="single" w:sz="2" w:space="4" w:color="808080"/>
      </w:pBdr>
      <w:spacing w:after="0" w:line="240" w:lineRule="auto"/>
    </w:pPr>
    <w:rPr>
      <w:rFonts w:eastAsia="Times"/>
      <w:i/>
      <w:color w:val="auto"/>
      <w:lang w:val="en-US" w:eastAsia="ja-JP"/>
    </w:rPr>
  </w:style>
  <w:style w:type="paragraph" w:customStyle="1" w:styleId="AR4Listbullet1">
    <w:name w:val="AR4 List bullet 1"/>
    <w:basedOn w:val="Normal"/>
    <w:pPr>
      <w:numPr>
        <w:numId w:val="4"/>
      </w:numPr>
      <w:spacing w:after="0"/>
    </w:pPr>
    <w:rPr>
      <w:rFonts w:ascii="Times" w:eastAsia="Times" w:hAnsi="Times"/>
      <w:color w:val="auto"/>
      <w:lang w:val="en-US" w:eastAsia="ja-JP"/>
    </w:rPr>
  </w:style>
  <w:style w:type="paragraph" w:customStyle="1" w:styleId="OurCaption">
    <w:name w:val="OurCaption"/>
    <w:basedOn w:val="Normal"/>
    <w:pPr>
      <w:spacing w:after="0"/>
      <w:ind w:right="12"/>
    </w:pPr>
    <w:rPr>
      <w:rFonts w:eastAsia="Times"/>
      <w:color w:val="auto"/>
      <w:sz w:val="20"/>
      <w:lang w:eastAsia="ja-JP"/>
    </w:rPr>
  </w:style>
  <w:style w:type="paragraph" w:customStyle="1" w:styleId="Paralevel1">
    <w:name w:val="Para level1"/>
    <w:basedOn w:val="Normal"/>
    <w:autoRedefine/>
    <w:pPr>
      <w:tabs>
        <w:tab w:val="left" w:pos="2070"/>
      </w:tabs>
      <w:suppressAutoHyphens/>
    </w:pPr>
    <w:rPr>
      <w:color w:val="auto"/>
      <w:sz w:val="20"/>
    </w:rPr>
  </w:style>
  <w:style w:type="paragraph" w:customStyle="1" w:styleId="CH4">
    <w:name w:val="CH4"/>
    <w:basedOn w:val="Normal"/>
    <w:autoRedefine/>
    <w:pPr>
      <w:keepNext/>
      <w:keepLines/>
      <w:numPr>
        <w:numId w:val="5"/>
      </w:numPr>
      <w:tabs>
        <w:tab w:val="clear" w:pos="0"/>
        <w:tab w:val="num" w:pos="360"/>
      </w:tabs>
      <w:spacing w:before="120"/>
      <w:ind w:left="0"/>
    </w:pPr>
    <w:rPr>
      <w:b/>
      <w:color w:val="auto"/>
      <w:sz w:val="20"/>
    </w:rPr>
  </w:style>
  <w:style w:type="character" w:customStyle="1" w:styleId="Para1Car">
    <w:name w:val="Para (1) Car"/>
    <w:aliases w:val="Heading 1 Char1 Char Car,Heading 1 Char Char Char Car,Para (1) Char Char Char Car,Para (1) Char1 Char Car,Heading 1 Char1 Car,Heading 1 Char Char Car,Para (1) Char Char Car,Para (1) Char1 Car,Heading 1 Char1 Char Char Car,Heading 1 Char Car"/>
    <w:rPr>
      <w:rFonts w:ascii="Arial" w:eastAsia="MS Mincho" w:hAnsi="Arial" w:cs="Arial"/>
      <w:b/>
      <w:bCs/>
      <w:noProof w:val="0"/>
      <w:kern w:val="32"/>
      <w:sz w:val="32"/>
      <w:szCs w:val="32"/>
      <w:lang w:val="en-US" w:eastAsia="ja-JP" w:bidi="ar-SA"/>
    </w:rPr>
  </w:style>
  <w:style w:type="paragraph" w:customStyle="1" w:styleId="Titulo3">
    <w:name w:val="Titulo 3"/>
    <w:basedOn w:val="Normal"/>
    <w:pPr>
      <w:widowControl w:val="0"/>
      <w:spacing w:after="0"/>
      <w:ind w:left="1185"/>
      <w:jc w:val="both"/>
    </w:pPr>
    <w:rPr>
      <w:rFonts w:eastAsia="MS Mincho"/>
      <w:b/>
      <w:i/>
      <w:color w:val="auto"/>
      <w:kern w:val="2"/>
      <w:lang w:val="en-US" w:eastAsia="ja-JP"/>
    </w:rPr>
  </w:style>
  <w:style w:type="paragraph" w:customStyle="1" w:styleId="Style2">
    <w:name w:val="Style2"/>
    <w:basedOn w:val="Normal"/>
    <w:link w:val="Style2Char"/>
    <w:qFormat/>
    <w:pPr>
      <w:spacing w:after="0"/>
    </w:pPr>
    <w:rPr>
      <w:color w:val="auto"/>
      <w:lang w:eastAsia="en-GB"/>
    </w:rPr>
  </w:style>
  <w:style w:type="paragraph" w:customStyle="1" w:styleId="TEXTO">
    <w:name w:val="TEXTO"/>
    <w:pPr>
      <w:autoSpaceDE w:val="0"/>
      <w:autoSpaceDN w:val="0"/>
      <w:adjustRightInd w:val="0"/>
      <w:jc w:val="both"/>
    </w:pPr>
    <w:rPr>
      <w:rFonts w:ascii="Galliard" w:hAnsi="Galliard"/>
      <w:color w:val="000000"/>
      <w:sz w:val="22"/>
      <w:szCs w:val="22"/>
      <w:lang w:val="en-US"/>
    </w:rPr>
  </w:style>
  <w:style w:type="paragraph" w:customStyle="1" w:styleId="font6">
    <w:name w:val="font6"/>
    <w:basedOn w:val="Normal"/>
    <w:pPr>
      <w:spacing w:before="100" w:beforeAutospacing="1" w:after="100" w:afterAutospacing="1"/>
    </w:pPr>
    <w:rPr>
      <w:rFonts w:ascii="Arial" w:eastAsia="Arial Unicode MS" w:hAnsi="Arial" w:cs="Arial"/>
      <w:color w:val="auto"/>
      <w:sz w:val="20"/>
      <w:lang w:eastAsia="en-US"/>
    </w:rPr>
  </w:style>
  <w:style w:type="paragraph" w:customStyle="1" w:styleId="font7">
    <w:name w:val="font7"/>
    <w:basedOn w:val="Normal"/>
    <w:pPr>
      <w:spacing w:before="100" w:beforeAutospacing="1" w:after="100" w:afterAutospacing="1"/>
    </w:pPr>
    <w:rPr>
      <w:rFonts w:ascii="Arial" w:eastAsia="Arial Unicode MS" w:hAnsi="Arial" w:cs="Arial"/>
      <w:color w:val="FF0000"/>
      <w:sz w:val="20"/>
      <w:lang w:eastAsia="en-US"/>
    </w:rPr>
  </w:style>
  <w:style w:type="paragraph" w:customStyle="1" w:styleId="font8">
    <w:name w:val="font8"/>
    <w:basedOn w:val="Normal"/>
    <w:pPr>
      <w:spacing w:before="100" w:beforeAutospacing="1" w:after="100" w:afterAutospacing="1"/>
    </w:pPr>
    <w:rPr>
      <w:rFonts w:ascii="Arial" w:eastAsia="Arial Unicode MS" w:hAnsi="Arial" w:cs="Arial"/>
      <w:color w:val="0000FF"/>
      <w:sz w:val="20"/>
      <w:lang w:eastAsia="en-US"/>
    </w:rPr>
  </w:style>
  <w:style w:type="paragraph" w:customStyle="1" w:styleId="Normaalweb">
    <w:name w:val="Normaal (web)"/>
    <w:basedOn w:val="Normal"/>
    <w:pPr>
      <w:spacing w:before="100" w:beforeAutospacing="1" w:after="100" w:afterAutospacing="1"/>
    </w:pPr>
    <w:rPr>
      <w:szCs w:val="24"/>
      <w:lang w:val="fr-FR" w:eastAsia="fr-FR"/>
    </w:rPr>
  </w:style>
  <w:style w:type="character" w:customStyle="1" w:styleId="epaltsans1">
    <w:name w:val="epaltsans1"/>
    <w:rPr>
      <w:rFonts w:ascii="Arial" w:hAnsi="Arial" w:cs="Arial" w:hint="default"/>
      <w:sz w:val="16"/>
      <w:szCs w:val="16"/>
    </w:rPr>
  </w:style>
  <w:style w:type="paragraph" w:styleId="List">
    <w:name w:val="List"/>
    <w:basedOn w:val="Normal"/>
    <w:semiHidden/>
    <w:pPr>
      <w:spacing w:after="0"/>
      <w:ind w:left="360" w:hanging="360"/>
    </w:pPr>
    <w:rPr>
      <w:color w:val="auto"/>
      <w:szCs w:val="24"/>
      <w:lang w:val="en-US" w:eastAsia="en-US"/>
    </w:rPr>
  </w:style>
  <w:style w:type="character" w:customStyle="1" w:styleId="w">
    <w:name w:val="w"/>
    <w:basedOn w:val="DefaultParagraphFont"/>
  </w:style>
  <w:style w:type="paragraph" w:customStyle="1" w:styleId="BodyTextLetterBullets">
    <w:name w:val="Body Text + Letter Bullets"/>
    <w:basedOn w:val="BodyText"/>
    <w:pPr>
      <w:tabs>
        <w:tab w:val="num" w:pos="360"/>
      </w:tabs>
      <w:spacing w:before="120" w:after="0" w:line="288" w:lineRule="auto"/>
    </w:pPr>
    <w:rPr>
      <w:color w:val="auto"/>
      <w:szCs w:val="22"/>
      <w:lang w:val="en-US" w:eastAsia="en-US"/>
    </w:rPr>
  </w:style>
  <w:style w:type="paragraph" w:customStyle="1" w:styleId="BodyTextSmallBullets">
    <w:name w:val="Body Text + Small Bullets"/>
    <w:basedOn w:val="BodyText"/>
    <w:pPr>
      <w:tabs>
        <w:tab w:val="num" w:pos="360"/>
      </w:tabs>
      <w:spacing w:after="0" w:line="288" w:lineRule="auto"/>
    </w:pPr>
    <w:rPr>
      <w:color w:val="auto"/>
      <w:szCs w:val="22"/>
      <w:lang w:val="en-AU" w:eastAsia="en-US"/>
    </w:rPr>
  </w:style>
  <w:style w:type="paragraph" w:customStyle="1" w:styleId="BodyTextbullet">
    <w:name w:val="Body Text + bullet"/>
    <w:basedOn w:val="BodyText"/>
    <w:pPr>
      <w:tabs>
        <w:tab w:val="num" w:pos="360"/>
      </w:tabs>
      <w:spacing w:after="0" w:line="288" w:lineRule="auto"/>
    </w:pPr>
    <w:rPr>
      <w:color w:val="auto"/>
      <w:szCs w:val="22"/>
      <w:lang w:val="en-AU" w:eastAsia="en-US"/>
    </w:rPr>
  </w:style>
  <w:style w:type="paragraph" w:customStyle="1" w:styleId="Head1">
    <w:name w:val="Head 1"/>
    <w:basedOn w:val="Normal"/>
    <w:pPr>
      <w:tabs>
        <w:tab w:val="left" w:pos="340"/>
        <w:tab w:val="num" w:pos="720"/>
        <w:tab w:val="left" w:pos="2775"/>
        <w:tab w:val="left" w:pos="6300"/>
      </w:tabs>
      <w:autoSpaceDE w:val="0"/>
      <w:autoSpaceDN w:val="0"/>
      <w:adjustRightInd w:val="0"/>
      <w:spacing w:after="0"/>
      <w:ind w:left="340" w:hanging="340"/>
    </w:pPr>
    <w:rPr>
      <w:rFonts w:eastAsia="MS Mincho"/>
      <w:b/>
      <w:bCs/>
      <w:color w:val="auto"/>
      <w:szCs w:val="24"/>
      <w:lang w:val="en-US" w:eastAsia="en-US"/>
    </w:rPr>
  </w:style>
  <w:style w:type="paragraph" w:customStyle="1" w:styleId="xl57">
    <w:name w:val="xl57"/>
    <w:basedOn w:val="Normal"/>
    <w:pPr>
      <w:shd w:val="clear" w:color="auto" w:fill="FFFFFF"/>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58">
    <w:name w:val="xl58"/>
    <w:basedOn w:val="Normal"/>
    <w:pPr>
      <w:pBdr>
        <w:left w:val="single" w:sz="4" w:space="0" w:color="auto"/>
        <w:right w:val="single" w:sz="4" w:space="0" w:color="auto"/>
      </w:pBdr>
      <w:shd w:val="clear" w:color="auto" w:fill="FFFFFF"/>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59">
    <w:name w:val="xl59"/>
    <w:basedOn w:val="Normal"/>
    <w:pPr>
      <w:shd w:val="clear" w:color="auto" w:fill="FFFFFF"/>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60">
    <w:name w:val="xl60"/>
    <w:basedOn w:val="Normal"/>
    <w:pPr>
      <w:pBdr>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61">
    <w:name w:val="xl61"/>
    <w:basedOn w:val="Normal"/>
    <w:pPr>
      <w:pBdr>
        <w:top w:val="single" w:sz="4" w:space="0" w:color="auto"/>
        <w:bottom w:val="single" w:sz="4" w:space="0" w:color="auto"/>
      </w:pBdr>
      <w:shd w:val="clear" w:color="auto" w:fill="FFFFFF"/>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62">
    <w:name w:val="xl62"/>
    <w:basedOn w:val="Normal"/>
    <w:pPr>
      <w:pBdr>
        <w:top w:val="single" w:sz="4" w:space="0" w:color="auto"/>
        <w:bottom w:val="single" w:sz="4" w:space="0" w:color="auto"/>
      </w:pBdr>
      <w:shd w:val="clear" w:color="auto" w:fill="FFFFFF"/>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63">
    <w:name w:val="xl63"/>
    <w:basedOn w:val="Normal"/>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64">
    <w:name w:val="xl64"/>
    <w:basedOn w:val="Normal"/>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65">
    <w:name w:val="xl65"/>
    <w:basedOn w:val="Normal"/>
    <w:pPr>
      <w:pBdr>
        <w:top w:val="single" w:sz="4" w:space="0" w:color="auto"/>
      </w:pBdr>
      <w:shd w:val="clear" w:color="auto" w:fill="FFFFFF"/>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66">
    <w:name w:val="xl66"/>
    <w:basedOn w:val="Normal"/>
    <w:pPr>
      <w:pBdr>
        <w:top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67">
    <w:name w:val="xl67"/>
    <w:basedOn w:val="Normal"/>
    <w:pPr>
      <w:pBdr>
        <w:top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68">
    <w:name w:val="xl68"/>
    <w:basedOn w:val="Normal"/>
    <w:pPr>
      <w:pBdr>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69">
    <w:name w:val="xl69"/>
    <w:basedOn w:val="Normal"/>
    <w:pPr>
      <w:pBdr>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70">
    <w:name w:val="xl70"/>
    <w:basedOn w:val="Normal"/>
    <w:pPr>
      <w:pBdr>
        <w:top w:val="single" w:sz="4" w:space="0" w:color="auto"/>
        <w:left w:val="single" w:sz="4" w:space="0" w:color="auto"/>
        <w:right w:val="single" w:sz="4" w:space="0" w:color="auto"/>
      </w:pBdr>
      <w:spacing w:before="100" w:beforeAutospacing="1" w:after="100" w:afterAutospacing="1"/>
    </w:pPr>
    <w:rPr>
      <w:rFonts w:ascii="Arial Unicode MS" w:hAnsi="Arial Unicode MS" w:cs="ArialUnicodeMS"/>
      <w:color w:val="auto"/>
      <w:sz w:val="12"/>
      <w:szCs w:val="12"/>
      <w:lang w:val="en-AU" w:eastAsia="en-US"/>
    </w:rPr>
  </w:style>
  <w:style w:type="paragraph" w:customStyle="1" w:styleId="xl71">
    <w:name w:val="xl71"/>
    <w:basedOn w:val="Normal"/>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72">
    <w:name w:val="xl72"/>
    <w:basedOn w:val="Normal"/>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73">
    <w:name w:val="xl73"/>
    <w:basedOn w:val="Normal"/>
    <w:pPr>
      <w:pBdr>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74">
    <w:name w:val="xl74"/>
    <w:basedOn w:val="Normal"/>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75">
    <w:name w:val="xl75"/>
    <w:basedOn w:val="Normal"/>
    <w:pPr>
      <w:pBdr>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76">
    <w:name w:val="xl76"/>
    <w:basedOn w:val="Normal"/>
    <w:pPr>
      <w:pBdr>
        <w:left w:val="single" w:sz="4" w:space="0" w:color="auto"/>
      </w:pBdr>
      <w:shd w:val="clear" w:color="auto" w:fill="FFFFFF"/>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77">
    <w:name w:val="xl77"/>
    <w:basedOn w:val="Normal"/>
    <w:pPr>
      <w:pBdr>
        <w:right w:val="single" w:sz="4" w:space="0" w:color="auto"/>
      </w:pBdr>
      <w:shd w:val="clear" w:color="auto" w:fill="FFFFFF"/>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78">
    <w:name w:val="xl78"/>
    <w:basedOn w:val="Normal"/>
    <w:pPr>
      <w:pBdr>
        <w:left w:val="single" w:sz="4" w:space="0" w:color="auto"/>
        <w:right w:val="single" w:sz="4" w:space="0" w:color="auto"/>
      </w:pBdr>
      <w:shd w:val="clear" w:color="auto" w:fill="FFFFFF"/>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79">
    <w:name w:val="xl79"/>
    <w:basedOn w:val="Normal"/>
    <w:pPr>
      <w:pBdr>
        <w:left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80">
    <w:name w:val="xl80"/>
    <w:basedOn w:val="Normal"/>
    <w:pPr>
      <w:pBdr>
        <w:right w:val="single" w:sz="4" w:space="0" w:color="auto"/>
      </w:pBdr>
      <w:shd w:val="clear" w:color="auto" w:fill="FFFFFF"/>
      <w:spacing w:before="100" w:beforeAutospacing="1" w:after="100" w:afterAutospacing="1"/>
    </w:pPr>
    <w:rPr>
      <w:rFonts w:ascii="Arial Unicode MS" w:hAnsi="Arial Unicode MS" w:cs="ArialUnicodeMS"/>
      <w:b/>
      <w:bCs/>
      <w:color w:val="auto"/>
      <w:sz w:val="12"/>
      <w:szCs w:val="12"/>
      <w:lang w:val="en-AU" w:eastAsia="en-US"/>
    </w:rPr>
  </w:style>
  <w:style w:type="paragraph" w:customStyle="1" w:styleId="xl81">
    <w:name w:val="xl81"/>
    <w:basedOn w:val="Normal"/>
    <w:pPr>
      <w:pBdr>
        <w:left w:val="single" w:sz="4" w:space="0" w:color="auto"/>
        <w:bottom w:val="single" w:sz="4" w:space="0" w:color="auto"/>
      </w:pBdr>
      <w:shd w:val="clear" w:color="auto" w:fill="FFFFFF"/>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82">
    <w:name w:val="xl82"/>
    <w:basedOn w:val="Normal"/>
    <w:pPr>
      <w:pBdr>
        <w:bottom w:val="single" w:sz="4" w:space="0" w:color="auto"/>
        <w:right w:val="single" w:sz="4" w:space="0" w:color="auto"/>
      </w:pBdr>
      <w:shd w:val="clear" w:color="auto" w:fill="FFFFFF"/>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83">
    <w:name w:val="xl83"/>
    <w:basedOn w:val="Normal"/>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84">
    <w:name w:val="xl84"/>
    <w:basedOn w:val="Normal"/>
    <w:pPr>
      <w:pBdr>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b/>
      <w:bCs/>
      <w:color w:val="auto"/>
      <w:sz w:val="12"/>
      <w:szCs w:val="12"/>
      <w:lang w:val="en-AU" w:eastAsia="en-US"/>
    </w:rPr>
  </w:style>
  <w:style w:type="paragraph" w:customStyle="1" w:styleId="xl85">
    <w:name w:val="xl85"/>
    <w:basedOn w:val="Normal"/>
    <w:pPr>
      <w:pBdr>
        <w:left w:val="single" w:sz="4" w:space="0" w:color="auto"/>
        <w:bottom w:val="single" w:sz="4" w:space="0" w:color="auto"/>
        <w:right w:val="single" w:sz="4" w:space="0" w:color="auto"/>
      </w:pBdr>
      <w:spacing w:before="100" w:beforeAutospacing="1" w:after="100" w:afterAutospacing="1"/>
    </w:pPr>
    <w:rPr>
      <w:rFonts w:ascii="Arial Unicode MS" w:hAnsi="Arial Unicode MS" w:cs="ArialUnicodeMS"/>
      <w:color w:val="auto"/>
      <w:sz w:val="12"/>
      <w:szCs w:val="12"/>
      <w:lang w:val="en-AU" w:eastAsia="en-US"/>
    </w:rPr>
  </w:style>
  <w:style w:type="paragraph" w:customStyle="1" w:styleId="xl86">
    <w:name w:val="xl8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87">
    <w:name w:val="xl87"/>
    <w:basedOn w:val="Normal"/>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88">
    <w:name w:val="xl88"/>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89">
    <w:name w:val="xl89"/>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90">
    <w:name w:val="xl90"/>
    <w:basedOn w:val="Normal"/>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91">
    <w:name w:val="xl91"/>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92">
    <w:name w:val="xl92"/>
    <w:basedOn w:val="Normal"/>
    <w:pPr>
      <w:pBdr>
        <w:top w:val="single" w:sz="4" w:space="0" w:color="auto"/>
        <w:left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93">
    <w:name w:val="xl93"/>
    <w:basedOn w:val="Normal"/>
    <w:pPr>
      <w:pBdr>
        <w:left w:val="single" w:sz="4" w:space="0" w:color="auto"/>
        <w:bottom w:val="single" w:sz="4" w:space="0" w:color="auto"/>
        <w:right w:val="single" w:sz="4" w:space="0" w:color="auto"/>
      </w:pBdr>
      <w:spacing w:before="100" w:beforeAutospacing="1" w:after="100" w:afterAutospacing="1"/>
    </w:pPr>
    <w:rPr>
      <w:rFonts w:ascii="Arial Unicode MS" w:hAnsi="Arial Unicode MS" w:cs="ArialUnicodeMS"/>
      <w:color w:val="auto"/>
      <w:sz w:val="12"/>
      <w:szCs w:val="12"/>
      <w:lang w:val="en-AU" w:eastAsia="en-US"/>
    </w:rPr>
  </w:style>
  <w:style w:type="paragraph" w:customStyle="1" w:styleId="xl94">
    <w:name w:val="xl94"/>
    <w:basedOn w:val="Normal"/>
    <w:pPr>
      <w:pBdr>
        <w:top w:val="single" w:sz="4" w:space="0" w:color="auto"/>
        <w:bottom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95">
    <w:name w:val="xl95"/>
    <w:basedOn w:val="Normal"/>
    <w:pPr>
      <w:pBdr>
        <w:top w:val="single" w:sz="4" w:space="0" w:color="auto"/>
        <w:left w:val="single" w:sz="4" w:space="0" w:color="auto"/>
        <w:bottom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96">
    <w:name w:val="xl96"/>
    <w:basedOn w:val="Normal"/>
    <w:pPr>
      <w:pBdr>
        <w:top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97">
    <w:name w:val="xl97"/>
    <w:basedOn w:val="Normal"/>
    <w:pPr>
      <w:pBdr>
        <w:top w:val="single" w:sz="4" w:space="0" w:color="auto"/>
        <w:bottom w:val="single" w:sz="4" w:space="0" w:color="auto"/>
      </w:pBdr>
      <w:spacing w:before="100" w:beforeAutospacing="1" w:after="100" w:afterAutospacing="1"/>
    </w:pPr>
    <w:rPr>
      <w:rFonts w:ascii="Arial Unicode MS" w:hAnsi="Arial Unicode MS" w:cs="ArialUnicodeMS"/>
      <w:color w:val="auto"/>
      <w:szCs w:val="24"/>
      <w:lang w:val="en-AU" w:eastAsia="en-US"/>
    </w:rPr>
  </w:style>
  <w:style w:type="paragraph" w:customStyle="1" w:styleId="xl98">
    <w:name w:val="xl98"/>
    <w:basedOn w:val="Normal"/>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99">
    <w:name w:val="xl99"/>
    <w:basedOn w:val="Normal"/>
    <w:pPr>
      <w:pBdr>
        <w:top w:val="single" w:sz="4" w:space="0" w:color="auto"/>
        <w:left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100">
    <w:name w:val="xl100"/>
    <w:basedOn w:val="Normal"/>
    <w:pPr>
      <w:pBdr>
        <w:top w:val="single" w:sz="4" w:space="0" w:color="auto"/>
        <w:bottom w:val="single" w:sz="4" w:space="0" w:color="auto"/>
        <w:right w:val="single" w:sz="4" w:space="0" w:color="auto"/>
      </w:pBdr>
      <w:spacing w:before="100" w:beforeAutospacing="1" w:after="100" w:afterAutospacing="1"/>
    </w:pPr>
    <w:rPr>
      <w:rFonts w:ascii="Arial Unicode MS" w:hAnsi="Arial Unicode MS" w:cs="ArialUnicodeMS"/>
      <w:color w:val="auto"/>
      <w:szCs w:val="24"/>
      <w:lang w:val="en-AU" w:eastAsia="en-US"/>
    </w:rPr>
  </w:style>
  <w:style w:type="paragraph" w:customStyle="1" w:styleId="xl101">
    <w:name w:val="xl10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hAnsi="Arial Unicode MS" w:cs="ArialUnicodeMS"/>
      <w:color w:val="auto"/>
      <w:sz w:val="12"/>
      <w:szCs w:val="12"/>
      <w:lang w:val="en-AU" w:eastAsia="en-US"/>
    </w:rPr>
  </w:style>
  <w:style w:type="paragraph" w:customStyle="1" w:styleId="xl102">
    <w:name w:val="xl102"/>
    <w:basedOn w:val="Normal"/>
    <w:pPr>
      <w:pBdr>
        <w:top w:val="single" w:sz="4" w:space="0" w:color="auto"/>
        <w:left w:val="single" w:sz="4" w:space="0" w:color="auto"/>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03">
    <w:name w:val="xl103"/>
    <w:basedOn w:val="Normal"/>
    <w:pPr>
      <w:pBdr>
        <w:top w:val="single" w:sz="4" w:space="0" w:color="auto"/>
        <w:lef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04">
    <w:name w:val="xl10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hAnsi="Arial Unicode MS" w:cs="ArialUnicodeMS"/>
      <w:b/>
      <w:bCs/>
      <w:color w:val="auto"/>
      <w:sz w:val="12"/>
      <w:szCs w:val="12"/>
      <w:lang w:val="en-AU" w:eastAsia="en-US"/>
    </w:rPr>
  </w:style>
  <w:style w:type="paragraph" w:customStyle="1" w:styleId="xl105">
    <w:name w:val="xl105"/>
    <w:basedOn w:val="Normal"/>
    <w:pPr>
      <w:pBdr>
        <w:top w:val="single" w:sz="4" w:space="0" w:color="auto"/>
        <w:bottom w:val="single" w:sz="4" w:space="0" w:color="auto"/>
      </w:pBdr>
      <w:spacing w:before="100" w:beforeAutospacing="1" w:after="100" w:afterAutospacing="1"/>
    </w:pPr>
    <w:rPr>
      <w:rFonts w:ascii="Arial Unicode MS" w:hAnsi="Arial Unicode MS" w:cs="ArialUnicodeMS"/>
      <w:b/>
      <w:bCs/>
      <w:color w:val="auto"/>
      <w:sz w:val="12"/>
      <w:szCs w:val="12"/>
      <w:lang w:val="en-AU" w:eastAsia="en-US"/>
    </w:rPr>
  </w:style>
  <w:style w:type="paragraph" w:customStyle="1" w:styleId="xl106">
    <w:name w:val="xl106"/>
    <w:basedOn w:val="Normal"/>
    <w:pPr>
      <w:pBdr>
        <w:top w:val="single" w:sz="4" w:space="0" w:color="auto"/>
        <w:left w:val="single" w:sz="4" w:space="0" w:color="auto"/>
        <w:right w:val="single" w:sz="4" w:space="0" w:color="auto"/>
      </w:pBdr>
      <w:spacing w:before="100" w:beforeAutospacing="1" w:after="100" w:afterAutospacing="1"/>
    </w:pPr>
    <w:rPr>
      <w:rFonts w:ascii="Arial Unicode MS" w:hAnsi="Arial Unicode MS" w:cs="ArialUnicodeMS"/>
      <w:color w:val="auto"/>
      <w:sz w:val="12"/>
      <w:szCs w:val="12"/>
      <w:lang w:val="en-AU" w:eastAsia="en-US"/>
    </w:rPr>
  </w:style>
  <w:style w:type="paragraph" w:customStyle="1" w:styleId="xl107">
    <w:name w:val="xl107"/>
    <w:basedOn w:val="Normal"/>
    <w:pPr>
      <w:pBdr>
        <w:top w:val="single" w:sz="4" w:space="0" w:color="auto"/>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08">
    <w:name w:val="xl108"/>
    <w:basedOn w:val="Normal"/>
    <w:pPr>
      <w:pBdr>
        <w:left w:val="single" w:sz="4" w:space="0" w:color="auto"/>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09">
    <w:name w:val="xl109"/>
    <w:basedOn w:val="Normal"/>
    <w:pPr>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110">
    <w:name w:val="xl110"/>
    <w:basedOn w:val="Normal"/>
    <w:pPr>
      <w:pBdr>
        <w:top w:val="single" w:sz="4" w:space="0" w:color="auto"/>
        <w:bottom w:val="single" w:sz="4" w:space="0" w:color="auto"/>
      </w:pBdr>
      <w:spacing w:before="100" w:beforeAutospacing="1" w:after="100" w:afterAutospacing="1"/>
      <w:jc w:val="center"/>
    </w:pPr>
    <w:rPr>
      <w:rFonts w:ascii="Arial Unicode MS" w:hAnsi="Arial Unicode MS" w:cs="ArialUnicodeMS"/>
      <w:color w:val="auto"/>
      <w:szCs w:val="24"/>
      <w:lang w:val="en-AU" w:eastAsia="en-US"/>
    </w:rPr>
  </w:style>
  <w:style w:type="paragraph" w:customStyle="1" w:styleId="xl111">
    <w:name w:val="xl111"/>
    <w:basedOn w:val="Normal"/>
    <w:pPr>
      <w:pBdr>
        <w:top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UnicodeMS"/>
      <w:color w:val="auto"/>
      <w:szCs w:val="24"/>
      <w:lang w:val="en-AU" w:eastAsia="en-US"/>
    </w:rPr>
  </w:style>
  <w:style w:type="paragraph" w:customStyle="1" w:styleId="xl112">
    <w:name w:val="xl112"/>
    <w:basedOn w:val="Normal"/>
    <w:pPr>
      <w:pBdr>
        <w:top w:val="single" w:sz="4" w:space="0" w:color="auto"/>
        <w:left w:val="single" w:sz="4" w:space="0" w:color="auto"/>
        <w:bottom w:val="single" w:sz="4" w:space="0" w:color="auto"/>
      </w:pBdr>
      <w:spacing w:before="100" w:beforeAutospacing="1" w:after="100" w:afterAutospacing="1"/>
    </w:pPr>
    <w:rPr>
      <w:rFonts w:ascii="Arial Unicode MS" w:hAnsi="Arial Unicode MS" w:cs="ArialUnicodeMS"/>
      <w:b/>
      <w:bCs/>
      <w:color w:val="auto"/>
      <w:sz w:val="12"/>
      <w:szCs w:val="12"/>
      <w:lang w:val="en-AU" w:eastAsia="en-US"/>
    </w:rPr>
  </w:style>
  <w:style w:type="paragraph" w:customStyle="1" w:styleId="xl113">
    <w:name w:val="xl113"/>
    <w:basedOn w:val="Normal"/>
    <w:pPr>
      <w:pBdr>
        <w:top w:val="single" w:sz="4" w:space="0" w:color="auto"/>
        <w:bottom w:val="single" w:sz="4" w:space="0" w:color="auto"/>
      </w:pBdr>
      <w:spacing w:before="100" w:beforeAutospacing="1" w:after="100" w:afterAutospacing="1"/>
    </w:pPr>
    <w:rPr>
      <w:rFonts w:ascii="Arial Unicode MS" w:hAnsi="Arial Unicode MS" w:cs="ArialUnicodeMS"/>
      <w:color w:val="auto"/>
      <w:sz w:val="12"/>
      <w:szCs w:val="12"/>
      <w:lang w:val="en-AU" w:eastAsia="en-US"/>
    </w:rPr>
  </w:style>
  <w:style w:type="paragraph" w:customStyle="1" w:styleId="xl114">
    <w:name w:val="xl114"/>
    <w:basedOn w:val="Normal"/>
    <w:pPr>
      <w:pBdr>
        <w:right w:val="single" w:sz="4" w:space="0" w:color="auto"/>
      </w:pBdr>
      <w:spacing w:before="100" w:beforeAutospacing="1" w:after="100" w:afterAutospacing="1"/>
    </w:pPr>
    <w:rPr>
      <w:rFonts w:ascii="Arial Unicode MS" w:hAnsi="Arial Unicode MS" w:cs="ArialUnicodeMS"/>
      <w:color w:val="auto"/>
      <w:sz w:val="12"/>
      <w:szCs w:val="12"/>
      <w:lang w:val="en-AU" w:eastAsia="en-US"/>
    </w:rPr>
  </w:style>
  <w:style w:type="paragraph" w:customStyle="1" w:styleId="xl115">
    <w:name w:val="xl115"/>
    <w:basedOn w:val="Normal"/>
    <w:pPr>
      <w:pBdr>
        <w:lef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16">
    <w:name w:val="xl116"/>
    <w:basedOn w:val="Normal"/>
    <w:pP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17">
    <w:name w:val="xl117"/>
    <w:basedOn w:val="Normal"/>
    <w:pPr>
      <w:pBdr>
        <w:top w:val="single" w:sz="4" w:space="0" w:color="auto"/>
        <w:left w:val="single" w:sz="4" w:space="0" w:color="auto"/>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18">
    <w:name w:val="xl118"/>
    <w:basedOn w:val="Normal"/>
    <w:pPr>
      <w:pBdr>
        <w:top w:val="single" w:sz="4" w:space="0" w:color="auto"/>
        <w:left w:val="single" w:sz="4" w:space="0" w:color="auto"/>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19">
    <w:name w:val="xl119"/>
    <w:basedOn w:val="Normal"/>
    <w:pP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20">
    <w:name w:val="xl120"/>
    <w:basedOn w:val="Normal"/>
    <w:pPr>
      <w:pBdr>
        <w:top w:val="single" w:sz="4" w:space="0" w:color="auto"/>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21">
    <w:name w:val="xl121"/>
    <w:basedOn w:val="Normal"/>
    <w:pPr>
      <w:pBdr>
        <w:top w:val="single" w:sz="4" w:space="0" w:color="auto"/>
        <w:lef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22">
    <w:name w:val="xl122"/>
    <w:basedOn w:val="Normal"/>
    <w:pPr>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23">
    <w:name w:val="xl123"/>
    <w:basedOn w:val="Normal"/>
    <w:pPr>
      <w:pBdr>
        <w:bottom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24">
    <w:name w:val="xl124"/>
    <w:basedOn w:val="Normal"/>
    <w:pPr>
      <w:pBdr>
        <w:left w:val="single" w:sz="4" w:space="0" w:color="auto"/>
        <w:bottom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25">
    <w:name w:val="xl125"/>
    <w:basedOn w:val="Normal"/>
    <w:pPr>
      <w:pBdr>
        <w:bottom w:val="single" w:sz="4" w:space="0" w:color="auto"/>
        <w:right w:val="single" w:sz="4" w:space="0" w:color="auto"/>
      </w:pBdr>
      <w:spacing w:before="100" w:beforeAutospacing="1" w:after="100" w:afterAutospacing="1"/>
    </w:pPr>
    <w:rPr>
      <w:rFonts w:ascii="Arial Unicode MS" w:hAnsi="Arial Unicode MS" w:cs="ArialUnicodeMS"/>
      <w:color w:val="auto"/>
      <w:sz w:val="12"/>
      <w:szCs w:val="12"/>
      <w:lang w:val="en-AU" w:eastAsia="en-US"/>
    </w:rPr>
  </w:style>
  <w:style w:type="paragraph" w:customStyle="1" w:styleId="xl126">
    <w:name w:val="xl126"/>
    <w:basedOn w:val="Normal"/>
    <w:pPr>
      <w:pBdr>
        <w:top w:val="single" w:sz="4" w:space="0" w:color="auto"/>
        <w:left w:val="single" w:sz="4" w:space="0" w:color="auto"/>
        <w:bottom w:val="single" w:sz="8" w:space="0" w:color="auto"/>
      </w:pBdr>
      <w:spacing w:before="100" w:beforeAutospacing="1" w:after="100" w:afterAutospacing="1"/>
      <w:jc w:val="center"/>
    </w:pPr>
    <w:rPr>
      <w:rFonts w:ascii="Arial" w:hAnsi="Arial" w:cs="Arial"/>
      <w:b/>
      <w:bCs/>
      <w:color w:val="auto"/>
      <w:sz w:val="12"/>
      <w:szCs w:val="12"/>
      <w:lang w:val="en-AU" w:eastAsia="en-US"/>
    </w:rPr>
  </w:style>
  <w:style w:type="paragraph" w:customStyle="1" w:styleId="xl127">
    <w:name w:val="xl127"/>
    <w:basedOn w:val="Normal"/>
    <w:pPr>
      <w:pBdr>
        <w:top w:val="single" w:sz="4" w:space="0" w:color="auto"/>
        <w:bottom w:val="single" w:sz="8" w:space="0" w:color="auto"/>
      </w:pBdr>
      <w:spacing w:before="100" w:beforeAutospacing="1" w:after="100" w:afterAutospacing="1"/>
      <w:jc w:val="center"/>
    </w:pPr>
    <w:rPr>
      <w:rFonts w:ascii="Arial" w:hAnsi="Arial" w:cs="Arial"/>
      <w:b/>
      <w:bCs/>
      <w:color w:val="auto"/>
      <w:sz w:val="12"/>
      <w:szCs w:val="12"/>
      <w:lang w:val="en-AU" w:eastAsia="en-US"/>
    </w:rPr>
  </w:style>
  <w:style w:type="paragraph" w:customStyle="1" w:styleId="xl128">
    <w:name w:val="xl128"/>
    <w:basedOn w:val="Normal"/>
    <w:pPr>
      <w:pBdr>
        <w:top w:val="single" w:sz="4" w:space="0" w:color="auto"/>
        <w:bottom w:val="single" w:sz="8" w:space="0" w:color="auto"/>
        <w:right w:val="single" w:sz="4" w:space="0" w:color="auto"/>
      </w:pBdr>
      <w:spacing w:before="100" w:beforeAutospacing="1" w:after="100" w:afterAutospacing="1"/>
      <w:jc w:val="center"/>
    </w:pPr>
    <w:rPr>
      <w:rFonts w:ascii="Arial" w:hAnsi="Arial" w:cs="Arial"/>
      <w:b/>
      <w:bCs/>
      <w:color w:val="auto"/>
      <w:sz w:val="12"/>
      <w:szCs w:val="12"/>
      <w:lang w:val="en-AU" w:eastAsia="en-US"/>
    </w:rPr>
  </w:style>
  <w:style w:type="paragraph" w:customStyle="1" w:styleId="xl129">
    <w:name w:val="xl129"/>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30">
    <w:name w:val="xl130"/>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131">
    <w:name w:val="xl131"/>
    <w:basedOn w:val="Normal"/>
    <w:pPr>
      <w:pBdr>
        <w:top w:val="single" w:sz="4" w:space="0" w:color="auto"/>
        <w:bottom w:val="single" w:sz="8" w:space="0" w:color="auto"/>
      </w:pBdr>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132">
    <w:name w:val="xl132"/>
    <w:basedOn w:val="Normal"/>
    <w:pPr>
      <w:pBdr>
        <w:top w:val="single" w:sz="4" w:space="0" w:color="auto"/>
        <w:bottom w:val="single" w:sz="8" w:space="0" w:color="auto"/>
      </w:pBdr>
      <w:spacing w:before="100" w:beforeAutospacing="1" w:after="100" w:afterAutospacing="1"/>
    </w:pPr>
    <w:rPr>
      <w:rFonts w:ascii="Arial Unicode MS" w:hAnsi="Arial Unicode MS" w:cs="ArialUnicodeMS"/>
      <w:color w:val="auto"/>
      <w:sz w:val="12"/>
      <w:szCs w:val="12"/>
      <w:lang w:val="en-AU" w:eastAsia="en-US"/>
    </w:rPr>
  </w:style>
  <w:style w:type="paragraph" w:customStyle="1" w:styleId="xl133">
    <w:name w:val="xl133"/>
    <w:basedOn w:val="Normal"/>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134">
    <w:name w:val="xl134"/>
    <w:basedOn w:val="Normal"/>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Arial Unicode MS" w:hAnsi="Arial Unicode MS" w:cs="ArialUnicodeMS"/>
      <w:color w:val="auto"/>
      <w:sz w:val="12"/>
      <w:szCs w:val="12"/>
      <w:lang w:val="en-AU" w:eastAsia="en-US"/>
    </w:rPr>
  </w:style>
  <w:style w:type="paragraph" w:customStyle="1" w:styleId="xl135">
    <w:name w:val="xl135"/>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cs="ArialUnicodeMS"/>
      <w:color w:val="auto"/>
      <w:szCs w:val="24"/>
      <w:lang w:val="en-AU" w:eastAsia="en-US"/>
    </w:rPr>
  </w:style>
  <w:style w:type="paragraph" w:customStyle="1" w:styleId="xl136">
    <w:name w:val="xl136"/>
    <w:basedOn w:val="Normal"/>
    <w:pPr>
      <w:pBdr>
        <w:top w:val="single" w:sz="4" w:space="0" w:color="auto"/>
        <w:bottom w:val="single" w:sz="4" w:space="0" w:color="auto"/>
      </w:pBdr>
      <w:spacing w:before="100" w:beforeAutospacing="1" w:after="100" w:afterAutospacing="1"/>
    </w:pPr>
    <w:rPr>
      <w:rFonts w:ascii="Arial Unicode MS" w:hAnsi="Arial Unicode MS" w:cs="ArialUnicodeMS"/>
      <w:color w:val="auto"/>
      <w:szCs w:val="24"/>
      <w:lang w:val="en-AU" w:eastAsia="en-US"/>
    </w:rPr>
  </w:style>
  <w:style w:type="paragraph" w:customStyle="1" w:styleId="xl137">
    <w:name w:val="xl137"/>
    <w:basedOn w:val="Normal"/>
    <w:pPr>
      <w:pBdr>
        <w:top w:val="single" w:sz="4" w:space="0" w:color="auto"/>
        <w:bottom w:val="single" w:sz="4" w:space="0" w:color="auto"/>
        <w:right w:val="single" w:sz="4" w:space="0" w:color="auto"/>
      </w:pBdr>
      <w:spacing w:before="100" w:beforeAutospacing="1" w:after="100" w:afterAutospacing="1"/>
    </w:pPr>
    <w:rPr>
      <w:rFonts w:ascii="Arial Unicode MS" w:hAnsi="Arial Unicode MS" w:cs="ArialUnicodeMS"/>
      <w:color w:val="auto"/>
      <w:szCs w:val="24"/>
      <w:lang w:val="en-AU" w:eastAsia="en-US"/>
    </w:rPr>
  </w:style>
  <w:style w:type="paragraph" w:customStyle="1" w:styleId="xl138">
    <w:name w:val="xl138"/>
    <w:basedOn w:val="Normal"/>
    <w:pPr>
      <w:pBdr>
        <w:top w:val="single" w:sz="4" w:space="0" w:color="auto"/>
        <w:bottom w:val="single" w:sz="4" w:space="0" w:color="auto"/>
      </w:pBdr>
      <w:spacing w:before="100" w:beforeAutospacing="1" w:after="100" w:afterAutospacing="1"/>
    </w:pPr>
    <w:rPr>
      <w:rFonts w:ascii="Arial" w:hAnsi="Arial" w:cs="Arial"/>
      <w:b/>
      <w:bCs/>
      <w:color w:val="auto"/>
      <w:sz w:val="12"/>
      <w:szCs w:val="12"/>
      <w:lang w:val="en-AU" w:eastAsia="en-US"/>
    </w:rPr>
  </w:style>
  <w:style w:type="paragraph" w:customStyle="1" w:styleId="Anxhead">
    <w:name w:val="Anx head"/>
    <w:basedOn w:val="Normal"/>
    <w:pPr>
      <w:spacing w:after="0"/>
    </w:pPr>
    <w:rPr>
      <w:b/>
      <w:bCs/>
      <w:color w:val="auto"/>
      <w:sz w:val="28"/>
      <w:szCs w:val="28"/>
      <w:lang w:eastAsia="en-US"/>
    </w:rPr>
  </w:style>
  <w:style w:type="paragraph" w:customStyle="1" w:styleId="Anxtitle">
    <w:name w:val="Anx title"/>
    <w:basedOn w:val="Normal"/>
    <w:pPr>
      <w:spacing w:after="0"/>
      <w:ind w:left="1247"/>
    </w:pPr>
    <w:rPr>
      <w:b/>
      <w:bCs/>
      <w:color w:val="auto"/>
      <w:sz w:val="28"/>
      <w:szCs w:val="28"/>
      <w:lang w:eastAsia="en-US"/>
    </w:rPr>
  </w:style>
  <w:style w:type="paragraph" w:customStyle="1" w:styleId="Style10ptAfter6pt1">
    <w:name w:val="Style 10 pt After:  6 pt1"/>
    <w:basedOn w:val="Normal"/>
    <w:autoRedefine/>
    <w:pPr>
      <w:spacing w:after="120"/>
    </w:pPr>
    <w:rPr>
      <w:rFonts w:ascii="Arial" w:hAnsi="Arial"/>
      <w:color w:val="auto"/>
      <w:sz w:val="18"/>
      <w:lang w:eastAsia="en-US"/>
    </w:rPr>
  </w:style>
  <w:style w:type="paragraph" w:customStyle="1" w:styleId="StyleHeading311ptBold">
    <w:name w:val="Style Heading 3 + 11 pt Bold"/>
    <w:basedOn w:val="Heading3"/>
    <w:rPr>
      <w:b w:val="0"/>
      <w:bCs/>
      <w:iCs/>
    </w:rPr>
  </w:style>
  <w:style w:type="paragraph" w:customStyle="1" w:styleId="Subtitle">
    <w:name w:val="Sub title"/>
    <w:basedOn w:val="Heading2"/>
    <w:pPr>
      <w:spacing w:after="0"/>
      <w:ind w:left="1247"/>
    </w:pPr>
    <w:rPr>
      <w:snapToGrid/>
      <w:szCs w:val="24"/>
    </w:rPr>
  </w:style>
  <w:style w:type="character" w:customStyle="1" w:styleId="maintextbldleft1">
    <w:name w:val="maintextbldleft1"/>
    <w:rPr>
      <w:rFonts w:ascii="Arial" w:hAnsi="Arial" w:cs="Arial" w:hint="default"/>
      <w:b/>
      <w:bCs/>
      <w:strike w:val="0"/>
      <w:dstrike w:val="0"/>
      <w:color w:val="000000"/>
      <w:sz w:val="18"/>
      <w:szCs w:val="18"/>
      <w:u w:val="none"/>
      <w:effect w:val="none"/>
    </w:rPr>
  </w:style>
  <w:style w:type="character" w:customStyle="1" w:styleId="maintextleft1">
    <w:name w:val="maintextleft1"/>
    <w:rPr>
      <w:rFonts w:ascii="Arial" w:hAnsi="Arial" w:cs="Arial" w:hint="default"/>
      <w:strike w:val="0"/>
      <w:dstrike w:val="0"/>
      <w:color w:val="000000"/>
      <w:sz w:val="18"/>
      <w:szCs w:val="18"/>
      <w:u w:val="none"/>
      <w:effect w:val="none"/>
    </w:rPr>
  </w:style>
  <w:style w:type="character" w:customStyle="1" w:styleId="Heading1Char2">
    <w:name w:val="Heading 1 Char2"/>
    <w:aliases w:val="Para (1) Char,Heading 1 Char1 Char Char1,Heading 1 Char Char Char Char,Para (1) Char Char Char Char,Para (1) Char1 Char Char,Heading 1 Char1 Char1,Heading 1 Char Char Char1,Para (1) Char Char Char1,Para (1) Char1 Char1,Part Char"/>
    <w:autoRedefine/>
    <w:uiPriority w:val="9"/>
    <w:qFormat/>
    <w:rsid w:val="00A94275"/>
    <w:rPr>
      <w:rFonts w:asciiTheme="minorHAnsi" w:hAnsiTheme="minorHAnsi"/>
    </w:rPr>
  </w:style>
  <w:style w:type="character" w:customStyle="1" w:styleId="Heading2Char">
    <w:name w:val="Heading 2 Char"/>
    <w:aliases w:val="SubPara (a) Char,Heading 2 Char1 Char Char,SubPara (a) Char1 Char Char,Heading 2 Char3 Char Char Char,Heading 2 Char Char2 Char Char Char,Heading 2 Char1 Char Char1 Char Char Char,SubPara (a) Char Char Char1 Char Char Char,Heading 2 Char1"/>
    <w:uiPriority w:val="9"/>
    <w:rPr>
      <w:b/>
      <w:noProof w:val="0"/>
      <w:snapToGrid w:val="0"/>
      <w:color w:val="000000"/>
      <w:sz w:val="24"/>
      <w:lang w:val="en-GB" w:eastAsia="zh-CN" w:bidi="ar-SA"/>
    </w:rPr>
  </w:style>
  <w:style w:type="character" w:customStyle="1" w:styleId="Heading3Char">
    <w:name w:val="Heading 3 Char"/>
    <w:aliases w:val="Sec Char"/>
    <w:uiPriority w:val="9"/>
    <w:rPr>
      <w:b w:val="0"/>
      <w:noProof w:val="0"/>
      <w:snapToGrid w:val="0"/>
      <w:color w:val="000000"/>
      <w:sz w:val="24"/>
      <w:lang w:val="en-GB" w:eastAsia="zh-CN" w:bidi="ar-SA"/>
    </w:rPr>
  </w:style>
  <w:style w:type="character" w:customStyle="1" w:styleId="Heading4Char">
    <w:name w:val="Heading 4 Char"/>
    <w:aliases w:val="MainPara Char"/>
    <w:autoRedefine/>
    <w:uiPriority w:val="9"/>
    <w:rsid w:val="00F02E32"/>
    <w:rPr>
      <w:snapToGrid w:val="0"/>
      <w:color w:val="000000"/>
      <w:sz w:val="22"/>
      <w:lang w:val="en-GB" w:eastAsia="zh-CN"/>
    </w:rPr>
  </w:style>
  <w:style w:type="paragraph" w:customStyle="1" w:styleId="StyleHeading311ptBold1">
    <w:name w:val="Style Heading 3 + 11 pt Bold1"/>
    <w:basedOn w:val="Heading3"/>
    <w:rPr>
      <w:b w:val="0"/>
      <w:bCs/>
      <w:iCs/>
    </w:rPr>
  </w:style>
  <w:style w:type="paragraph" w:customStyle="1" w:styleId="ANNEXES">
    <w:name w:val="ANNEXES"/>
    <w:basedOn w:val="Normal"/>
    <w:pPr>
      <w:tabs>
        <w:tab w:val="left" w:pos="1080"/>
      </w:tabs>
      <w:spacing w:before="100" w:beforeAutospacing="1" w:after="100" w:afterAutospacing="1"/>
    </w:pPr>
    <w:rPr>
      <w:b/>
      <w:sz w:val="28"/>
    </w:rPr>
  </w:style>
  <w:style w:type="paragraph" w:customStyle="1" w:styleId="Executivesummary">
    <w:name w:val="Executive summary"/>
    <w:basedOn w:val="TOC1"/>
    <w:rPr>
      <w:b w:val="0"/>
    </w:rPr>
  </w:style>
  <w:style w:type="paragraph" w:customStyle="1" w:styleId="Execlevel2">
    <w:name w:val="Exec level2"/>
    <w:basedOn w:val="Anxhead"/>
    <w:rPr>
      <w:sz w:val="24"/>
    </w:rPr>
  </w:style>
  <w:style w:type="character" w:customStyle="1" w:styleId="AnxheadChar">
    <w:name w:val="Anx head Char"/>
    <w:rPr>
      <w:b/>
      <w:bCs/>
      <w:noProof w:val="0"/>
      <w:sz w:val="28"/>
      <w:szCs w:val="28"/>
      <w:lang w:val="en-GB" w:eastAsia="en-US" w:bidi="ar-SA"/>
    </w:rPr>
  </w:style>
  <w:style w:type="character" w:customStyle="1" w:styleId="Execlevel2Char">
    <w:name w:val="Exec level2 Char"/>
    <w:rPr>
      <w:b/>
      <w:bCs/>
      <w:noProof w:val="0"/>
      <w:sz w:val="24"/>
      <w:szCs w:val="28"/>
      <w:lang w:val="en-GB" w:eastAsia="en-US" w:bidi="ar-SA"/>
    </w:rPr>
  </w:style>
  <w:style w:type="character" w:customStyle="1" w:styleId="a">
    <w:name w:val="_"/>
    <w:basedOn w:val="DefaultParagraphFont"/>
  </w:style>
  <w:style w:type="paragraph" w:styleId="CommentSubject">
    <w:name w:val="annotation subject"/>
    <w:basedOn w:val="CommentText"/>
    <w:next w:val="CommentText"/>
    <w:uiPriority w:val="99"/>
    <w:semiHidden/>
    <w:pPr>
      <w:widowControl/>
      <w:spacing w:after="0"/>
    </w:pPr>
    <w:rPr>
      <w:rFonts w:ascii="Times New Roman" w:hAnsi="Times New Roman"/>
      <w:b/>
      <w:lang w:val="en-US"/>
    </w:rPr>
  </w:style>
  <w:style w:type="paragraph" w:customStyle="1" w:styleId="Indentedbullet">
    <w:name w:val="Indented bullet"/>
    <w:basedOn w:val="Indentedbodytext"/>
    <w:pPr>
      <w:tabs>
        <w:tab w:val="num" w:pos="1440"/>
      </w:tabs>
      <w:ind w:left="1434" w:hanging="357"/>
    </w:pPr>
  </w:style>
  <w:style w:type="paragraph" w:customStyle="1" w:styleId="Indentedbodytext">
    <w:name w:val="Indented body text"/>
    <w:basedOn w:val="Normal"/>
    <w:autoRedefine/>
    <w:pPr>
      <w:spacing w:after="120"/>
    </w:pPr>
    <w:rPr>
      <w:lang w:eastAsia="en-US"/>
    </w:rPr>
  </w:style>
  <w:style w:type="paragraph" w:customStyle="1" w:styleId="Smallnumberedbullet">
    <w:name w:val="Small numbered bullet"/>
    <w:basedOn w:val="Smallbullet"/>
    <w:pPr>
      <w:numPr>
        <w:numId w:val="0"/>
      </w:numPr>
      <w:ind w:left="539" w:hanging="539"/>
    </w:pPr>
  </w:style>
  <w:style w:type="paragraph" w:customStyle="1" w:styleId="Smallbullet">
    <w:name w:val="Small bullet"/>
    <w:basedOn w:val="BodyTextSmallBullets"/>
    <w:autoRedefine/>
    <w:pPr>
      <w:numPr>
        <w:numId w:val="8"/>
      </w:numPr>
      <w:tabs>
        <w:tab w:val="num" w:pos="426"/>
      </w:tabs>
      <w:spacing w:after="240" w:line="240" w:lineRule="auto"/>
      <w:ind w:left="425" w:hanging="425"/>
    </w:pPr>
  </w:style>
  <w:style w:type="paragraph" w:customStyle="1" w:styleId="BodyText1">
    <w:name w:val="Body Text1"/>
    <w:basedOn w:val="Normal"/>
    <w:rPr>
      <w:lang w:eastAsia="en-US"/>
    </w:rPr>
  </w:style>
  <w:style w:type="paragraph" w:customStyle="1" w:styleId="Heading311ptBold">
    <w:name w:val="Heading 3 + 11 pt Bold"/>
    <w:basedOn w:val="Heading3"/>
    <w:pPr>
      <w:numPr>
        <w:ilvl w:val="2"/>
        <w:numId w:val="7"/>
      </w:numPr>
      <w:tabs>
        <w:tab w:val="num" w:pos="1800"/>
      </w:tabs>
      <w:ind w:left="0" w:firstLine="0"/>
    </w:pPr>
    <w:rPr>
      <w:b w:val="0"/>
    </w:rPr>
  </w:style>
  <w:style w:type="paragraph" w:customStyle="1" w:styleId="Table5">
    <w:name w:val="Table 5"/>
    <w:basedOn w:val="Normal"/>
    <w:pPr>
      <w:spacing w:after="0" w:line="240" w:lineRule="exact"/>
      <w:ind w:left="567" w:hanging="567"/>
    </w:pPr>
    <w:rPr>
      <w:sz w:val="18"/>
      <w:lang w:eastAsia="ja-JP"/>
    </w:rPr>
  </w:style>
  <w:style w:type="paragraph" w:customStyle="1" w:styleId="ColorfulList-Accent11">
    <w:name w:val="Colorful List - Accent 11"/>
    <w:basedOn w:val="Normal"/>
    <w:qFormat/>
    <w:pPr>
      <w:spacing w:after="0"/>
      <w:ind w:left="720"/>
    </w:pPr>
    <w:rPr>
      <w:rFonts w:eastAsia="MS Mincho"/>
      <w:color w:val="auto"/>
      <w:szCs w:val="24"/>
      <w:lang w:val="en-US" w:eastAsia="ja-JP"/>
    </w:rPr>
  </w:style>
  <w:style w:type="character" w:customStyle="1" w:styleId="mw-headline">
    <w:name w:val="mw-headline"/>
    <w:basedOn w:val="DefaultParagraphFont"/>
  </w:style>
  <w:style w:type="paragraph" w:customStyle="1" w:styleId="ColorfulList-Accent12">
    <w:name w:val="Colorful List - Accent 12"/>
    <w:basedOn w:val="Normal"/>
    <w:qFormat/>
    <w:pPr>
      <w:spacing w:after="0"/>
    </w:pPr>
    <w:rPr>
      <w:rFonts w:ascii="Cambria" w:eastAsia="Cambria" w:hAnsi="Cambria"/>
      <w:color w:val="auto"/>
      <w:sz w:val="24"/>
      <w:lang w:val="en-US"/>
    </w:rPr>
  </w:style>
  <w:style w:type="paragraph" w:styleId="Subtitle0">
    <w:name w:val="Subtitle"/>
    <w:basedOn w:val="Normal"/>
    <w:uiPriority w:val="11"/>
    <w:qFormat/>
    <w:pPr>
      <w:spacing w:after="0"/>
      <w:jc w:val="center"/>
    </w:pPr>
    <w:rPr>
      <w:rFonts w:eastAsia="MS Mincho"/>
      <w:b/>
      <w:color w:val="auto"/>
      <w:lang w:val="en-US"/>
    </w:rPr>
  </w:style>
  <w:style w:type="paragraph" w:styleId="Revision">
    <w:name w:val="Revision"/>
    <w:hidden/>
    <w:uiPriority w:val="99"/>
    <w:semiHidden/>
    <w:rPr>
      <w:rFonts w:ascii="Times New Roman" w:eastAsia="MS Mincho" w:hAnsi="Times New Roman"/>
      <w:sz w:val="24"/>
      <w:szCs w:val="24"/>
      <w:lang w:val="en-US"/>
    </w:rPr>
  </w:style>
  <w:style w:type="paragraph" w:customStyle="1" w:styleId="StyleHeading3Heading3Char1CharHeading3CharCharCharChar">
    <w:name w:val="Style Heading 3Heading 3 Char1 CharHeading 3 Char Char CharChar ..."/>
    <w:basedOn w:val="Heading3"/>
    <w:rPr>
      <w:iCs/>
    </w:rPr>
  </w:style>
  <w:style w:type="paragraph" w:customStyle="1" w:styleId="ParaQPS">
    <w:name w:val="Para QPS"/>
    <w:basedOn w:val="Normal"/>
    <w:qFormat/>
    <w:pPr>
      <w:spacing w:before="120" w:after="120"/>
      <w:ind w:left="1134"/>
      <w:jc w:val="both"/>
    </w:pPr>
    <w:rPr>
      <w:rFonts w:cs="Cambria"/>
      <w:iCs/>
      <w:color w:val="auto"/>
      <w:szCs w:val="24"/>
      <w:lang w:val="en-US" w:eastAsia="en-US" w:bidi="en-US"/>
    </w:rPr>
  </w:style>
  <w:style w:type="paragraph" w:customStyle="1" w:styleId="ParaQPSItalicindent">
    <w:name w:val="Para QPS Italic indent"/>
    <w:basedOn w:val="ParaQPS"/>
    <w:rPr>
      <w:i/>
      <w:iCs w:val="0"/>
    </w:rPr>
  </w:style>
  <w:style w:type="paragraph" w:customStyle="1" w:styleId="ListParagraph1">
    <w:name w:val="List Paragraph1"/>
    <w:aliases w:val="Bullets"/>
    <w:basedOn w:val="Normal"/>
    <w:pPr>
      <w:numPr>
        <w:numId w:val="18"/>
      </w:numPr>
      <w:spacing w:before="60" w:after="60"/>
      <w:jc w:val="both"/>
    </w:pPr>
    <w:rPr>
      <w:rFonts w:ascii="Arial" w:hAnsi="Arial" w:cs="Arial"/>
      <w:color w:val="auto"/>
      <w:szCs w:val="22"/>
      <w:lang w:eastAsia="en-GB" w:bidi="en-US"/>
    </w:rPr>
  </w:style>
  <w:style w:type="paragraph" w:styleId="Bibliography">
    <w:name w:val="Bibliography"/>
    <w:basedOn w:val="Normal"/>
    <w:next w:val="Normal"/>
    <w:pPr>
      <w:spacing w:before="120" w:after="120"/>
      <w:ind w:left="1134"/>
      <w:jc w:val="both"/>
    </w:pPr>
    <w:rPr>
      <w:rFonts w:ascii="Calibri" w:hAnsi="Calibri"/>
      <w:color w:val="auto"/>
      <w:szCs w:val="22"/>
      <w:lang w:bidi="en-US"/>
    </w:rPr>
  </w:style>
  <w:style w:type="paragraph" w:customStyle="1" w:styleId="Footnote">
    <w:name w:val="Footnote"/>
    <w:basedOn w:val="FootnoteText"/>
    <w:pPr>
      <w:widowControl/>
      <w:spacing w:after="0"/>
    </w:pPr>
    <w:rPr>
      <w:szCs w:val="22"/>
      <w:lang w:bidi="en-US"/>
    </w:rPr>
  </w:style>
  <w:style w:type="paragraph" w:customStyle="1" w:styleId="TableforUNEPreport">
    <w:name w:val="Table for UNEP report"/>
    <w:basedOn w:val="Caption"/>
    <w:pPr>
      <w:keepNext/>
      <w:spacing w:after="200" w:line="240" w:lineRule="auto"/>
      <w:ind w:left="0"/>
      <w:jc w:val="both"/>
    </w:pPr>
    <w:rPr>
      <w:rFonts w:ascii="Calibri" w:eastAsia="Calibri" w:hAnsi="Calibri"/>
      <w:b/>
      <w:bCs/>
      <w:i w:val="0"/>
      <w:color w:val="auto"/>
      <w:szCs w:val="18"/>
      <w:lang w:eastAsia="en-GB" w:bidi="en-US"/>
    </w:rPr>
  </w:style>
  <w:style w:type="character" w:customStyle="1" w:styleId="FooterChar">
    <w:name w:val="Footer Char"/>
    <w:uiPriority w:val="99"/>
    <w:rPr>
      <w:rFonts w:eastAsia="SimSun" w:cs="Times New Roman"/>
      <w:noProof w:val="0"/>
      <w:sz w:val="22"/>
      <w:lang w:val="x-none" w:eastAsia="zh-CN"/>
    </w:rPr>
  </w:style>
  <w:style w:type="character" w:customStyle="1" w:styleId="BodyText2Char">
    <w:name w:val="Body Text 2 Char"/>
    <w:rPr>
      <w:rFonts w:ascii="Times New Roman" w:hAnsi="Times New Roman" w:cs="Times New Roman"/>
      <w:b/>
      <w:bCs/>
      <w:sz w:val="24"/>
    </w:rPr>
  </w:style>
  <w:style w:type="paragraph" w:customStyle="1" w:styleId="TitleQPSReport">
    <w:name w:val="Title QPS Report"/>
    <w:basedOn w:val="Normal"/>
    <w:pPr>
      <w:spacing w:before="120" w:after="120"/>
      <w:jc w:val="center"/>
    </w:pPr>
    <w:rPr>
      <w:b/>
      <w:bCs/>
      <w:color w:val="auto"/>
      <w:sz w:val="28"/>
      <w:lang w:bidi="en-US"/>
    </w:rPr>
  </w:style>
  <w:style w:type="paragraph" w:customStyle="1" w:styleId="Bulletdash">
    <w:name w:val="Bullet dash"/>
    <w:basedOn w:val="Normal"/>
    <w:qFormat/>
    <w:pPr>
      <w:numPr>
        <w:numId w:val="19"/>
      </w:numPr>
      <w:spacing w:before="120" w:after="120"/>
      <w:ind w:left="1854"/>
      <w:jc w:val="both"/>
    </w:pPr>
    <w:rPr>
      <w:color w:val="auto"/>
      <w:szCs w:val="22"/>
      <w:lang w:bidi="en-US"/>
    </w:rPr>
  </w:style>
  <w:style w:type="paragraph" w:customStyle="1" w:styleId="Paraleft">
    <w:name w:val="Para left"/>
    <w:basedOn w:val="Normal"/>
    <w:qFormat/>
    <w:pPr>
      <w:keepNext/>
      <w:spacing w:before="120" w:after="120"/>
      <w:ind w:left="1134"/>
    </w:pPr>
    <w:rPr>
      <w:b/>
      <w:bCs/>
      <w:color w:val="auto"/>
      <w:szCs w:val="22"/>
      <w:lang w:eastAsia="ja-JP" w:bidi="en-US"/>
    </w:rPr>
  </w:style>
  <w:style w:type="paragraph" w:customStyle="1" w:styleId="TableandFiguretitles">
    <w:name w:val="Table and Figure titles"/>
    <w:basedOn w:val="Caption"/>
    <w:qFormat/>
    <w:pPr>
      <w:keepNext/>
      <w:spacing w:after="200" w:line="240" w:lineRule="auto"/>
      <w:ind w:left="1134"/>
      <w:jc w:val="both"/>
    </w:pPr>
    <w:rPr>
      <w:b/>
      <w:bCs/>
      <w:i w:val="0"/>
      <w:color w:val="auto"/>
      <w:szCs w:val="22"/>
      <w:lang w:bidi="en-US"/>
    </w:rPr>
  </w:style>
  <w:style w:type="paragraph" w:styleId="TableofFigures">
    <w:name w:val="table of figures"/>
    <w:basedOn w:val="Normal"/>
    <w:next w:val="Normal"/>
    <w:semiHidden/>
    <w:unhideWhenUsed/>
    <w:pPr>
      <w:spacing w:before="120" w:after="120"/>
      <w:ind w:left="1757" w:right="624" w:hanging="1077"/>
      <w:jc w:val="both"/>
    </w:pPr>
    <w:rPr>
      <w:b/>
      <w:caps/>
      <w:color w:val="auto"/>
      <w:szCs w:val="22"/>
      <w:lang w:bidi="en-US"/>
    </w:rPr>
  </w:style>
  <w:style w:type="paragraph" w:customStyle="1" w:styleId="StyleParaQPSItalic">
    <w:name w:val="Style Para QPS + Italic"/>
    <w:basedOn w:val="ParaQPS"/>
    <w:rPr>
      <w:i/>
    </w:rPr>
  </w:style>
  <w:style w:type="paragraph" w:customStyle="1" w:styleId="StyleLeft017cm">
    <w:name w:val="Style Left:  0.17 cm"/>
    <w:basedOn w:val="Normal"/>
    <w:pPr>
      <w:spacing w:before="120" w:after="120"/>
      <w:ind w:left="97"/>
      <w:jc w:val="both"/>
    </w:pPr>
    <w:rPr>
      <w:color w:val="auto"/>
      <w:lang w:bidi="en-US"/>
    </w:rPr>
  </w:style>
  <w:style w:type="paragraph" w:customStyle="1" w:styleId="StyleParaQPS11ptItalic">
    <w:name w:val="Style Para QPS + 11 pt Italic"/>
    <w:basedOn w:val="ParaQPS"/>
    <w:rPr>
      <w:i/>
    </w:rPr>
  </w:style>
  <w:style w:type="paragraph" w:customStyle="1" w:styleId="Bulletnumbered">
    <w:name w:val="Bullet numbered"/>
    <w:basedOn w:val="ParaQPS"/>
    <w:qFormat/>
    <w:pPr>
      <w:numPr>
        <w:numId w:val="21"/>
      </w:numPr>
    </w:pPr>
  </w:style>
  <w:style w:type="paragraph" w:customStyle="1" w:styleId="Annexheader">
    <w:name w:val="Annex header"/>
    <w:basedOn w:val="Header"/>
    <w:pPr>
      <w:tabs>
        <w:tab w:val="clear" w:pos="4320"/>
        <w:tab w:val="clear" w:pos="8640"/>
        <w:tab w:val="center" w:pos="4153"/>
        <w:tab w:val="right" w:pos="8306"/>
      </w:tabs>
      <w:spacing w:after="0" w:line="360" w:lineRule="auto"/>
      <w:ind w:firstLine="720"/>
      <w:jc w:val="center"/>
    </w:pPr>
    <w:rPr>
      <w:rFonts w:ascii="Times New Roman Bold" w:hAnsi="Times New Roman Bold"/>
      <w:b/>
      <w:caps/>
      <w:color w:val="auto"/>
      <w:szCs w:val="24"/>
      <w:lang w:val="en-AU" w:eastAsia="en-US"/>
    </w:rPr>
  </w:style>
  <w:style w:type="paragraph" w:customStyle="1" w:styleId="Execlevel3">
    <w:name w:val="Exec level3"/>
    <w:basedOn w:val="Normal"/>
    <w:pPr>
      <w:tabs>
        <w:tab w:val="left" w:pos="1080"/>
      </w:tabs>
      <w:spacing w:after="0"/>
    </w:pPr>
    <w:rPr>
      <w:b/>
      <w:i/>
    </w:rPr>
  </w:style>
  <w:style w:type="paragraph" w:customStyle="1" w:styleId="0Heading0CharChar1Char">
    <w:name w:val="0 Heading 0 Char Char1 Char"/>
    <w:rPr>
      <w:rFonts w:ascii="Times New Roman" w:hAnsi="Times New Roman"/>
      <w:color w:val="000000"/>
      <w:sz w:val="24"/>
      <w:lang w:val="en-GB"/>
    </w:rPr>
  </w:style>
  <w:style w:type="character" w:customStyle="1" w:styleId="0Heading0CharChar1CharChar">
    <w:name w:val="0 Heading 0 Char Char1 Char Char"/>
    <w:rPr>
      <w:noProof w:val="0"/>
      <w:color w:val="000000"/>
      <w:sz w:val="24"/>
      <w:lang w:val="en-GB" w:eastAsia="en-US" w:bidi="ar-SA"/>
    </w:rPr>
  </w:style>
  <w:style w:type="character" w:customStyle="1" w:styleId="HeaderChar">
    <w:name w:val="Header Char"/>
    <w:aliases w:val="EthylHeader Char"/>
    <w:uiPriority w:val="99"/>
    <w:rPr>
      <w:noProof w:val="0"/>
      <w:color w:val="000000"/>
      <w:sz w:val="24"/>
      <w:lang w:val="en-GB" w:eastAsia="zh-CN"/>
    </w:rPr>
  </w:style>
  <w:style w:type="paragraph" w:customStyle="1" w:styleId="Alt2-LevelLegal1">
    <w:name w:val="Alt 2-Level Legal1"/>
    <w:basedOn w:val="Normal"/>
    <w:next w:val="Normal"/>
    <w:pPr>
      <w:numPr>
        <w:numId w:val="23"/>
      </w:numPr>
      <w:jc w:val="center"/>
      <w:outlineLvl w:val="0"/>
    </w:pPr>
    <w:rPr>
      <w:b/>
      <w:color w:val="auto"/>
      <w:szCs w:val="24"/>
    </w:rPr>
  </w:style>
  <w:style w:type="paragraph" w:customStyle="1" w:styleId="Alt2-LevelLegal2">
    <w:name w:val="Alt 2-Level Legal2"/>
    <w:basedOn w:val="Normal"/>
    <w:pPr>
      <w:numPr>
        <w:ilvl w:val="1"/>
        <w:numId w:val="23"/>
      </w:numPr>
      <w:outlineLvl w:val="1"/>
    </w:pPr>
    <w:rPr>
      <w:b/>
      <w:bCs/>
      <w:szCs w:val="24"/>
    </w:rPr>
  </w:style>
  <w:style w:type="paragraph" w:customStyle="1" w:styleId="Alt2-LevelLegal3">
    <w:name w:val="Alt 2-Level Legal3"/>
    <w:basedOn w:val="Normal"/>
    <w:pPr>
      <w:numPr>
        <w:ilvl w:val="2"/>
        <w:numId w:val="23"/>
      </w:numPr>
      <w:outlineLvl w:val="2"/>
    </w:pPr>
    <w:rPr>
      <w:b/>
      <w:szCs w:val="24"/>
    </w:rPr>
  </w:style>
  <w:style w:type="paragraph" w:customStyle="1" w:styleId="Alt2-LevelLegal4">
    <w:name w:val="Alt 2-Level Legal4"/>
    <w:basedOn w:val="Normal"/>
    <w:pPr>
      <w:numPr>
        <w:ilvl w:val="3"/>
        <w:numId w:val="23"/>
      </w:numPr>
      <w:outlineLvl w:val="3"/>
    </w:pPr>
    <w:rPr>
      <w:szCs w:val="24"/>
    </w:rPr>
  </w:style>
  <w:style w:type="paragraph" w:customStyle="1" w:styleId="Alt2-LevelLegal5">
    <w:name w:val="Alt 2-Level Legal5"/>
    <w:basedOn w:val="Normal"/>
    <w:pPr>
      <w:numPr>
        <w:ilvl w:val="4"/>
        <w:numId w:val="23"/>
      </w:numPr>
      <w:ind w:right="720"/>
      <w:jc w:val="both"/>
      <w:outlineLvl w:val="4"/>
    </w:pPr>
    <w:rPr>
      <w:szCs w:val="24"/>
    </w:rPr>
  </w:style>
  <w:style w:type="paragraph" w:customStyle="1" w:styleId="Alt2-LevelLegal6">
    <w:name w:val="Alt 2-Level Legal6"/>
    <w:basedOn w:val="Normal"/>
    <w:pPr>
      <w:numPr>
        <w:ilvl w:val="5"/>
        <w:numId w:val="23"/>
      </w:numPr>
      <w:jc w:val="both"/>
      <w:outlineLvl w:val="5"/>
    </w:pPr>
    <w:rPr>
      <w:szCs w:val="24"/>
    </w:rPr>
  </w:style>
  <w:style w:type="paragraph" w:customStyle="1" w:styleId="Alt2-LevelLegal7">
    <w:name w:val="Alt 2-Level Legal7"/>
    <w:basedOn w:val="Normal"/>
    <w:pPr>
      <w:numPr>
        <w:ilvl w:val="6"/>
        <w:numId w:val="23"/>
      </w:numPr>
      <w:ind w:left="1440"/>
      <w:outlineLvl w:val="6"/>
    </w:pPr>
    <w:rPr>
      <w:szCs w:val="24"/>
    </w:rPr>
  </w:style>
  <w:style w:type="character" w:styleId="Emphasis">
    <w:name w:val="Emphasis"/>
    <w:uiPriority w:val="20"/>
    <w:qFormat/>
    <w:rPr>
      <w:b/>
      <w:bCs/>
      <w:i/>
      <w:iCs/>
      <w:spacing w:val="10"/>
      <w:bdr w:val="none" w:sz="0" w:space="0" w:color="auto"/>
      <w:shd w:val="clear" w:color="auto" w:fill="auto"/>
    </w:rPr>
  </w:style>
  <w:style w:type="paragraph" w:customStyle="1" w:styleId="NoteLevel21">
    <w:name w:val="Note Level 21"/>
    <w:basedOn w:val="Normal"/>
    <w:qFormat/>
    <w:locked/>
    <w:pPr>
      <w:spacing w:after="0"/>
    </w:pPr>
    <w:rPr>
      <w:rFonts w:ascii="Arial" w:eastAsia="Calibri" w:hAnsi="Arial" w:cs="Consolas"/>
      <w:color w:val="auto"/>
      <w:szCs w:val="22"/>
      <w:lang w:eastAsia="en-US"/>
    </w:rPr>
  </w:style>
  <w:style w:type="paragraph" w:styleId="Quote">
    <w:name w:val="Quote"/>
    <w:basedOn w:val="Normal"/>
    <w:next w:val="Normal"/>
    <w:qFormat/>
    <w:locked/>
    <w:pPr>
      <w:spacing w:before="200" w:after="0"/>
      <w:ind w:left="360" w:right="360"/>
    </w:pPr>
    <w:rPr>
      <w:rFonts w:ascii="Arial" w:eastAsia="Calibri" w:hAnsi="Arial" w:cs="Consolas"/>
      <w:i/>
      <w:iCs/>
      <w:color w:val="auto"/>
      <w:szCs w:val="22"/>
      <w:lang w:eastAsia="en-US"/>
    </w:rPr>
  </w:style>
  <w:style w:type="paragraph" w:styleId="IntenseQuote">
    <w:name w:val="Intense Quote"/>
    <w:basedOn w:val="Normal"/>
    <w:next w:val="Normal"/>
    <w:qFormat/>
    <w:locked/>
    <w:pPr>
      <w:pBdr>
        <w:bottom w:val="single" w:sz="4" w:space="1" w:color="auto"/>
      </w:pBdr>
      <w:spacing w:before="200" w:after="280"/>
      <w:ind w:left="1008" w:right="1152"/>
      <w:jc w:val="both"/>
    </w:pPr>
    <w:rPr>
      <w:rFonts w:ascii="Arial" w:eastAsia="Calibri" w:hAnsi="Arial" w:cs="Consolas"/>
      <w:b/>
      <w:bCs/>
      <w:i/>
      <w:iCs/>
      <w:color w:val="auto"/>
      <w:szCs w:val="22"/>
      <w:lang w:eastAsia="en-US"/>
    </w:rPr>
  </w:style>
  <w:style w:type="character" w:styleId="SubtleEmphasis">
    <w:name w:val="Subtle Emphasis"/>
    <w:qFormat/>
    <w:locked/>
    <w:rPr>
      <w:i/>
      <w:iCs/>
    </w:rPr>
  </w:style>
  <w:style w:type="character" w:styleId="IntenseEmphasis">
    <w:name w:val="Intense Emphasis"/>
    <w:qFormat/>
    <w:locked/>
    <w:rPr>
      <w:b/>
      <w:bCs/>
    </w:rPr>
  </w:style>
  <w:style w:type="character" w:styleId="SubtleReference">
    <w:name w:val="Subtle Reference"/>
    <w:uiPriority w:val="31"/>
    <w:qFormat/>
    <w:locked/>
    <w:rPr>
      <w:smallCaps/>
    </w:rPr>
  </w:style>
  <w:style w:type="character" w:styleId="IntenseReference">
    <w:name w:val="Intense Reference"/>
    <w:qFormat/>
    <w:locked/>
    <w:rPr>
      <w:smallCaps/>
      <w:spacing w:val="5"/>
      <w:u w:val="single"/>
    </w:rPr>
  </w:style>
  <w:style w:type="character" w:styleId="BookTitle">
    <w:name w:val="Book Title"/>
    <w:qFormat/>
    <w:locked/>
    <w:rPr>
      <w:i/>
      <w:iCs/>
      <w:smallCaps/>
      <w:spacing w:val="5"/>
    </w:rPr>
  </w:style>
  <w:style w:type="paragraph" w:styleId="TOCHeading">
    <w:name w:val="TOC Heading"/>
    <w:basedOn w:val="Heading1"/>
    <w:next w:val="Normal"/>
    <w:uiPriority w:val="39"/>
    <w:qFormat/>
    <w:locked/>
    <w:pPr>
      <w:keepLines/>
      <w:spacing w:before="0"/>
      <w:ind w:left="0" w:firstLine="0"/>
      <w:outlineLvl w:val="9"/>
    </w:pPr>
    <w:rPr>
      <w:rFonts w:ascii="Arial" w:hAnsi="Arial"/>
      <w:bCs/>
      <w:color w:val="auto"/>
      <w:sz w:val="32"/>
      <w:szCs w:val="28"/>
      <w:lang w:eastAsia="en-US"/>
    </w:rPr>
  </w:style>
  <w:style w:type="character" w:customStyle="1" w:styleId="PlainTextChar">
    <w:name w:val="Plain Text Char"/>
    <w:uiPriority w:val="99"/>
    <w:rPr>
      <w:rFonts w:ascii="Consolas" w:hAnsi="Consolas" w:cs="Consolas"/>
      <w:noProof w:val="0"/>
      <w:sz w:val="21"/>
      <w:szCs w:val="21"/>
      <w:lang w:val="en-US" w:eastAsia="en-US"/>
    </w:rPr>
  </w:style>
  <w:style w:type="character" w:customStyle="1" w:styleId="BodyTextIndent3Char">
    <w:name w:val="Body Text Indent 3 Char"/>
    <w:rPr>
      <w:rFonts w:ascii="Times New Roman" w:eastAsia="MS Mincho" w:hAnsi="Times New Roman" w:cs="Times New Roman"/>
      <w:noProof w:val="0"/>
      <w:snapToGrid w:val="0"/>
      <w:color w:val="FF0000"/>
      <w:sz w:val="24"/>
      <w:lang w:eastAsia="zh-CN"/>
    </w:rPr>
  </w:style>
  <w:style w:type="character" w:customStyle="1" w:styleId="Para1">
    <w:name w:val="Para (1) (文字)"/>
    <w:aliases w:val="Heading 1 Char1 Char (文字),Heading 1 Char Char Char (文字),Para (1) Char Char Char (文字),Para (1) Char1 Char (文字),Heading 1 Char1 (文字),Heading 1 Char Char (文字),Para (1) Char Char (文字),Para (1) Char1 (文字),Heading 1 Char1 Char Char (文字)"/>
    <w:rPr>
      <w:rFonts w:ascii="Arial" w:eastAsia="MS Mincho" w:hAnsi="Arial" w:cs="Arial"/>
      <w:b/>
      <w:bCs/>
      <w:noProof w:val="0"/>
      <w:kern w:val="32"/>
      <w:sz w:val="32"/>
      <w:szCs w:val="32"/>
      <w:lang w:val="en-US" w:eastAsia="ja-JP" w:bidi="ar-SA"/>
    </w:rPr>
  </w:style>
  <w:style w:type="paragraph" w:customStyle="1" w:styleId="a0">
    <w:name w:val="吹き出し"/>
    <w:basedOn w:val="Normal"/>
    <w:semiHidden/>
    <w:pPr>
      <w:spacing w:after="0"/>
    </w:pPr>
    <w:rPr>
      <w:rFonts w:ascii="Tahoma" w:eastAsia="MS Mincho" w:hAnsi="Tahoma" w:cs="Consolas"/>
      <w:color w:val="auto"/>
      <w:sz w:val="16"/>
      <w:szCs w:val="16"/>
      <w:lang w:val="en-US" w:eastAsia="en-US"/>
    </w:rPr>
  </w:style>
  <w:style w:type="character" w:customStyle="1" w:styleId="SubParaa">
    <w:name w:val="SubPara (a) (文字) (文字)"/>
    <w:rPr>
      <w:rFonts w:ascii="Arial" w:eastAsia="MS Mincho" w:hAnsi="Arial" w:cs="Arial"/>
      <w:b/>
      <w:bCs/>
      <w:i/>
      <w:iCs/>
      <w:noProof w:val="0"/>
      <w:kern w:val="2"/>
      <w:sz w:val="28"/>
      <w:szCs w:val="28"/>
      <w:lang w:val="en-US" w:eastAsia="ja-JP" w:bidi="ar-SA"/>
    </w:rPr>
  </w:style>
  <w:style w:type="character" w:customStyle="1" w:styleId="1">
    <w:name w:val="(文字) (文字)1"/>
    <w:rPr>
      <w:rFonts w:eastAsia="SimSun"/>
      <w:noProof w:val="0"/>
      <w:sz w:val="24"/>
      <w:szCs w:val="24"/>
      <w:lang w:val="en-US" w:eastAsia="zh-CN" w:bidi="ar-SA"/>
    </w:rPr>
  </w:style>
  <w:style w:type="paragraph" w:customStyle="1" w:styleId="a1">
    <w:name w:val="コメント内容"/>
    <w:basedOn w:val="CommentText"/>
    <w:next w:val="CommentText"/>
    <w:pPr>
      <w:widowControl/>
      <w:spacing w:after="0"/>
    </w:pPr>
    <w:rPr>
      <w:rFonts w:ascii="Times New Roman" w:eastAsia="MS Mincho" w:hAnsi="Times New Roman"/>
      <w:b/>
      <w:bCs/>
      <w:lang w:val="en-US" w:eastAsia="en-US"/>
    </w:rPr>
  </w:style>
  <w:style w:type="character" w:customStyle="1" w:styleId="a2">
    <w:name w:val="(文字) (文字)"/>
    <w:rPr>
      <w:rFonts w:eastAsia="SimSun"/>
      <w:b/>
      <w:bCs/>
      <w:noProof w:val="0"/>
      <w:sz w:val="24"/>
      <w:szCs w:val="24"/>
      <w:lang w:val="en-US" w:eastAsia="en-US" w:bidi="ar-SA"/>
    </w:rPr>
  </w:style>
  <w:style w:type="character" w:customStyle="1" w:styleId="CarCar19">
    <w:name w:val="Car Car19"/>
    <w:locked/>
    <w:rPr>
      <w:rFonts w:eastAsia="MS Mincho"/>
      <w:noProof w:val="0"/>
      <w:color w:val="000000"/>
      <w:sz w:val="24"/>
      <w:szCs w:val="24"/>
      <w:lang w:val="en-GB" w:eastAsia="zh-CN" w:bidi="ar-SA"/>
    </w:rPr>
  </w:style>
  <w:style w:type="paragraph" w:customStyle="1" w:styleId="Decisionparagraphs">
    <w:name w:val="Decision paragraphs"/>
    <w:basedOn w:val="Normal"/>
    <w:autoRedefine/>
    <w:pPr>
      <w:spacing w:after="0"/>
    </w:pPr>
    <w:rPr>
      <w:i/>
      <w:color w:val="auto"/>
      <w:lang w:eastAsia="en-US"/>
    </w:rPr>
  </w:style>
  <w:style w:type="paragraph" w:customStyle="1" w:styleId="Style3">
    <w:name w:val="Style3"/>
    <w:basedOn w:val="Heading1"/>
    <w:pPr>
      <w:tabs>
        <w:tab w:val="left" w:pos="0"/>
        <w:tab w:val="left" w:pos="720"/>
        <w:tab w:val="num" w:pos="1492"/>
      </w:tabs>
      <w:spacing w:before="0" w:after="0"/>
      <w:ind w:left="720" w:hanging="720"/>
    </w:pPr>
    <w:rPr>
      <w:szCs w:val="28"/>
    </w:rPr>
  </w:style>
  <w:style w:type="paragraph" w:customStyle="1" w:styleId="Style4">
    <w:name w:val="Style4"/>
    <w:basedOn w:val="Heading2"/>
    <w:qFormat/>
    <w:pPr>
      <w:spacing w:after="0"/>
    </w:pPr>
    <w:rPr>
      <w:snapToGrid/>
    </w:rPr>
  </w:style>
  <w:style w:type="paragraph" w:customStyle="1" w:styleId="Style5">
    <w:name w:val="Style5"/>
    <w:basedOn w:val="Heading311ptBold"/>
    <w:autoRedefine/>
    <w:pPr>
      <w:numPr>
        <w:ilvl w:val="0"/>
        <w:numId w:val="0"/>
      </w:numPr>
      <w:tabs>
        <w:tab w:val="clear" w:pos="1800"/>
        <w:tab w:val="left" w:pos="720"/>
        <w:tab w:val="center" w:pos="1440"/>
      </w:tabs>
      <w:spacing w:before="0" w:after="0"/>
    </w:pPr>
    <w:rPr>
      <w:b/>
      <w:snapToGrid/>
    </w:rPr>
  </w:style>
  <w:style w:type="paragraph" w:customStyle="1" w:styleId="Style6">
    <w:name w:val="Style6"/>
    <w:basedOn w:val="Heading311ptBold"/>
    <w:next w:val="Style5"/>
    <w:pPr>
      <w:numPr>
        <w:ilvl w:val="0"/>
        <w:numId w:val="0"/>
      </w:numPr>
      <w:tabs>
        <w:tab w:val="clear" w:pos="1800"/>
        <w:tab w:val="left" w:pos="720"/>
        <w:tab w:val="center" w:pos="1440"/>
      </w:tabs>
      <w:spacing w:before="0" w:after="0"/>
    </w:pPr>
    <w:rPr>
      <w:b/>
      <w:snapToGrid/>
    </w:rPr>
  </w:style>
  <w:style w:type="paragraph" w:customStyle="1" w:styleId="Style7">
    <w:name w:val="Style7"/>
    <w:basedOn w:val="Heading311ptBold"/>
    <w:pPr>
      <w:numPr>
        <w:ilvl w:val="0"/>
        <w:numId w:val="0"/>
      </w:numPr>
      <w:tabs>
        <w:tab w:val="clear" w:pos="1800"/>
        <w:tab w:val="left" w:pos="720"/>
        <w:tab w:val="center" w:pos="1440"/>
      </w:tabs>
      <w:spacing w:before="0" w:after="0"/>
      <w:ind w:left="720" w:hanging="720"/>
    </w:pPr>
    <w:rPr>
      <w:b/>
      <w:snapToGrid/>
    </w:rPr>
  </w:style>
  <w:style w:type="paragraph" w:customStyle="1" w:styleId="StyleHeading2SubParaaHeading2Char1CharSubParaaChar1">
    <w:name w:val="Style Heading 2SubPara (a)Heading 2 Char1 CharSubPara (a) Char1 ..."/>
    <w:basedOn w:val="Heading2"/>
    <w:autoRedefine/>
    <w:pPr>
      <w:spacing w:after="0"/>
    </w:pPr>
    <w:rPr>
      <w:bCs/>
      <w:snapToGrid/>
      <w:szCs w:val="20"/>
    </w:rPr>
  </w:style>
  <w:style w:type="paragraph" w:customStyle="1" w:styleId="StyleStyleHeading2SubParaaHeading2Char1CharSubParaaCha">
    <w:name w:val="Style Style Heading 2SubPara (a)Heading 2 Char1 CharSubPara (a) Cha..."/>
    <w:basedOn w:val="StyleHeading2SubParaaHeading2Char1CharSubParaaChar1"/>
  </w:style>
  <w:style w:type="paragraph" w:customStyle="1" w:styleId="StyleHeading4Left0Firstline0">
    <w:name w:val="Style Heading 4 + Left:  0&quot; First line:  0&quot;"/>
    <w:basedOn w:val="Heading4"/>
    <w:autoRedefine/>
    <w:pPr>
      <w:spacing w:after="0"/>
      <w:ind w:left="720"/>
    </w:pPr>
    <w:rPr>
      <w:b w:val="0"/>
      <w:bCs/>
      <w:snapToGrid/>
    </w:rPr>
  </w:style>
  <w:style w:type="paragraph" w:styleId="ListBullet2">
    <w:name w:val="List Bullet 2"/>
    <w:basedOn w:val="Normal"/>
    <w:semiHidden/>
    <w:pPr>
      <w:tabs>
        <w:tab w:val="num" w:pos="643"/>
      </w:tabs>
      <w:spacing w:after="0"/>
      <w:ind w:left="643" w:hanging="360"/>
    </w:pPr>
    <w:rPr>
      <w:color w:val="auto"/>
      <w:szCs w:val="24"/>
      <w:lang w:eastAsia="en-GB"/>
    </w:rPr>
  </w:style>
  <w:style w:type="paragraph" w:styleId="ListBullet3">
    <w:name w:val="List Bullet 3"/>
    <w:basedOn w:val="Normal"/>
    <w:semiHidden/>
    <w:pPr>
      <w:tabs>
        <w:tab w:val="num" w:pos="926"/>
      </w:tabs>
      <w:spacing w:after="0"/>
      <w:ind w:left="926" w:hanging="360"/>
    </w:pPr>
    <w:rPr>
      <w:color w:val="auto"/>
      <w:szCs w:val="24"/>
      <w:lang w:eastAsia="en-GB"/>
    </w:rPr>
  </w:style>
  <w:style w:type="paragraph" w:styleId="ListBullet4">
    <w:name w:val="List Bullet 4"/>
    <w:basedOn w:val="Normal"/>
    <w:semiHidden/>
    <w:pPr>
      <w:tabs>
        <w:tab w:val="num" w:pos="1209"/>
      </w:tabs>
      <w:spacing w:after="0"/>
      <w:ind w:left="1209" w:hanging="360"/>
    </w:pPr>
    <w:rPr>
      <w:color w:val="auto"/>
      <w:szCs w:val="24"/>
      <w:lang w:eastAsia="en-GB"/>
    </w:rPr>
  </w:style>
  <w:style w:type="paragraph" w:customStyle="1" w:styleId="ECMSHeading1">
    <w:name w:val="ECMS Heading 1"/>
    <w:basedOn w:val="Heading1"/>
    <w:pPr>
      <w:spacing w:after="1080"/>
      <w:ind w:left="0" w:firstLine="0"/>
    </w:pPr>
    <w:rPr>
      <w:rFonts w:ascii="Garamond" w:hAnsi="Garamond" w:cs="Arial"/>
      <w:bCs/>
      <w:color w:val="auto"/>
      <w:sz w:val="48"/>
      <w:szCs w:val="18"/>
      <w:lang w:eastAsia="en-GB"/>
    </w:rPr>
  </w:style>
  <w:style w:type="paragraph" w:customStyle="1" w:styleId="ECMStableheader">
    <w:name w:val="ECMS table header"/>
    <w:basedOn w:val="Normal"/>
    <w:pPr>
      <w:spacing w:after="0"/>
      <w:ind w:left="1320" w:hanging="1320"/>
    </w:pPr>
    <w:rPr>
      <w:b/>
      <w:color w:val="auto"/>
      <w:szCs w:val="24"/>
      <w:lang w:eastAsia="en-GB"/>
    </w:rPr>
  </w:style>
  <w:style w:type="paragraph" w:customStyle="1" w:styleId="Paralevel3">
    <w:name w:val="Para level3"/>
    <w:basedOn w:val="Normal"/>
    <w:autoRedefine/>
    <w:pPr>
      <w:numPr>
        <w:numId w:val="26"/>
      </w:numPr>
      <w:tabs>
        <w:tab w:val="clear" w:pos="2892"/>
        <w:tab w:val="num" w:pos="360"/>
      </w:tabs>
      <w:suppressAutoHyphens/>
      <w:spacing w:after="120"/>
      <w:ind w:left="0" w:firstLine="0"/>
    </w:pPr>
    <w:rPr>
      <w:color w:val="auto"/>
      <w:sz w:val="20"/>
      <w:lang w:eastAsia="en-US"/>
    </w:rPr>
  </w:style>
  <w:style w:type="character" w:customStyle="1" w:styleId="ANNEXESChar">
    <w:name w:val="ANNEXES Char"/>
    <w:rPr>
      <w:b/>
      <w:noProof w:val="0"/>
      <w:color w:val="000000"/>
      <w:sz w:val="28"/>
      <w:lang w:val="en-GB" w:eastAsia="zh-CN" w:bidi="ar-SA"/>
    </w:rPr>
  </w:style>
  <w:style w:type="character" w:customStyle="1" w:styleId="BodyTextChar">
    <w:name w:val="Body Text Char"/>
    <w:aliases w:val=" Char Char Char,Char Char Char,Body Text Char Char Char Char Char Char,Body Text Char Char Char Char Char1"/>
    <w:uiPriority w:val="99"/>
    <w:rPr>
      <w:rFonts w:ascii="Times New Roman" w:hAnsi="Times New Roman"/>
      <w:noProof w:val="0"/>
      <w:color w:val="000000"/>
      <w:lang w:val="en-GB" w:eastAsia="zh-CN"/>
    </w:rPr>
  </w:style>
  <w:style w:type="character" w:customStyle="1" w:styleId="BodyTextIndentChar">
    <w:name w:val="Body Text Indent Char"/>
    <w:rPr>
      <w:rFonts w:ascii="Times New Roman" w:hAnsi="Times New Roman"/>
      <w:noProof w:val="0"/>
      <w:color w:val="000000"/>
      <w:lang w:val="en-GB" w:eastAsia="zh-CN"/>
    </w:rPr>
  </w:style>
  <w:style w:type="paragraph" w:customStyle="1" w:styleId="ColorfulShading-Accent31">
    <w:name w:val="Colorful Shading - Accent 31"/>
    <w:basedOn w:val="Normal"/>
    <w:qFormat/>
    <w:pPr>
      <w:spacing w:after="0"/>
    </w:pPr>
    <w:rPr>
      <w:rFonts w:ascii="Cambria" w:eastAsia="Cambria" w:hAnsi="Cambria"/>
      <w:color w:val="auto"/>
      <w:sz w:val="24"/>
      <w:lang w:val="en-US"/>
    </w:rPr>
  </w:style>
  <w:style w:type="paragraph" w:customStyle="1" w:styleId="summarylevel3">
    <w:name w:val="summary level3"/>
    <w:basedOn w:val="Heading3"/>
    <w:next w:val="Normal"/>
    <w:pPr>
      <w:keepLines w:val="0"/>
      <w:suppressLineNumbers/>
      <w:spacing w:before="100"/>
    </w:pPr>
    <w:rPr>
      <w:rFonts w:ascii="Times New Roman Bold" w:hAnsi="Times New Roman Bold"/>
      <w:snapToGrid/>
      <w:lang w:val="en-AU"/>
    </w:rPr>
  </w:style>
  <w:style w:type="paragraph" w:customStyle="1" w:styleId="intro">
    <w:name w:val="intro"/>
    <w:basedOn w:val="Normal"/>
    <w:pPr>
      <w:spacing w:before="100" w:after="100"/>
    </w:pPr>
    <w:rPr>
      <w:color w:val="auto"/>
      <w:sz w:val="24"/>
      <w:lang w:val="en-US" w:eastAsia="ja-JP"/>
    </w:rPr>
  </w:style>
  <w:style w:type="paragraph" w:customStyle="1" w:styleId="BodyTextLeft">
    <w:name w:val="Body Text Left"/>
    <w:basedOn w:val="Normal"/>
    <w:pPr>
      <w:widowControl w:val="0"/>
    </w:pPr>
    <w:rPr>
      <w:rFonts w:eastAsia="MS Mincho"/>
      <w:color w:val="auto"/>
      <w:kern w:val="2"/>
      <w:sz w:val="24"/>
      <w:lang w:eastAsia="ja-JP"/>
    </w:rPr>
  </w:style>
  <w:style w:type="paragraph" w:customStyle="1" w:styleId="bullet0">
    <w:name w:val="bullet"/>
    <w:basedOn w:val="Normal"/>
    <w:autoRedefine/>
    <w:pPr>
      <w:spacing w:after="0"/>
      <w:ind w:left="1080"/>
    </w:pPr>
    <w:rPr>
      <w:color w:val="auto"/>
      <w:sz w:val="24"/>
    </w:rPr>
  </w:style>
  <w:style w:type="paragraph" w:customStyle="1" w:styleId="ExecSumHeading">
    <w:name w:val="Exec Sum Heading"/>
    <w:basedOn w:val="Heading1"/>
    <w:pPr>
      <w:widowControl w:val="0"/>
      <w:tabs>
        <w:tab w:val="left" w:pos="851"/>
      </w:tabs>
      <w:spacing w:before="240"/>
    </w:pPr>
    <w:rPr>
      <w:rFonts w:ascii="Times New Roman Bold" w:eastAsia="MS Mincho" w:hAnsi="Times New Roman Bold"/>
      <w:color w:val="auto"/>
      <w:kern w:val="32"/>
      <w:sz w:val="30"/>
    </w:rPr>
  </w:style>
  <w:style w:type="character" w:customStyle="1" w:styleId="text">
    <w:name w:val="text"/>
    <w:basedOn w:val="DefaultParagraphFont"/>
  </w:style>
  <w:style w:type="paragraph" w:customStyle="1" w:styleId="StyleHeading1Para1Heading1Char1CharHeading1CharCharC">
    <w:name w:val="Style Heading 1Para (1)Heading 1 Char1 CharHeading 1 Char Char C..."/>
    <w:basedOn w:val="Heading1"/>
    <w:pPr>
      <w:tabs>
        <w:tab w:val="left" w:pos="851"/>
      </w:tabs>
      <w:spacing w:before="240" w:after="60"/>
    </w:pPr>
    <w:rPr>
      <w:rFonts w:ascii="Times New Roman Bold" w:hAnsi="Times New Roman Bold"/>
      <w:kern w:val="32"/>
      <w:sz w:val="30"/>
      <w:lang w:val="en-US"/>
    </w:rPr>
  </w:style>
  <w:style w:type="character" w:customStyle="1" w:styleId="StyleHeading1Para1Heading1Char1CharHeading1CharCharCChar">
    <w:name w:val="Style Heading 1Para (1)Heading 1 Char1 CharHeading 1 Char Char C... Char"/>
    <w:rPr>
      <w:rFonts w:cs="Arial"/>
      <w:b/>
      <w:bCs/>
      <w:noProof w:val="0"/>
      <w:color w:val="000000"/>
      <w:kern w:val="32"/>
      <w:sz w:val="28"/>
      <w:szCs w:val="32"/>
      <w:lang w:val="en-US" w:eastAsia="en-US" w:bidi="ar-SA"/>
    </w:rPr>
  </w:style>
  <w:style w:type="paragraph" w:customStyle="1" w:styleId="StyleBodyTextLeftAfter0pt">
    <w:name w:val="Style Body Text Left + After:  0 pt"/>
    <w:basedOn w:val="BodyTextLeft"/>
    <w:rPr>
      <w:lang w:eastAsia="zh-CN"/>
    </w:rPr>
  </w:style>
  <w:style w:type="paragraph" w:customStyle="1" w:styleId="StyleBodyTextIndent2Firstline0cm">
    <w:name w:val="Style Body Text Indent 2 + First line:  0 cm"/>
    <w:basedOn w:val="BodyTextIndent2"/>
    <w:pPr>
      <w:spacing w:after="240"/>
      <w:ind w:firstLine="0"/>
    </w:pPr>
  </w:style>
  <w:style w:type="paragraph" w:customStyle="1" w:styleId="StyleBodyTextIndent2Firstline0cm1">
    <w:name w:val="Style Body Text Indent 2 + First line:  0 cm1"/>
    <w:basedOn w:val="BodyTextIndent2"/>
    <w:pPr>
      <w:spacing w:after="240"/>
      <w:ind w:firstLine="0"/>
    </w:pPr>
  </w:style>
  <w:style w:type="paragraph" w:customStyle="1" w:styleId="NormalBold">
    <w:name w:val="Normal + Bold"/>
    <w:aliases w:val="Italic,Centered"/>
    <w:basedOn w:val="Execlevel3"/>
    <w:pPr>
      <w:spacing w:after="240"/>
      <w:jc w:val="center"/>
    </w:pPr>
  </w:style>
  <w:style w:type="paragraph" w:styleId="List5">
    <w:name w:val="List 5"/>
    <w:basedOn w:val="Normal"/>
    <w:semiHidden/>
    <w:pPr>
      <w:tabs>
        <w:tab w:val="left" w:pos="4680"/>
        <w:tab w:val="right" w:pos="9360"/>
      </w:tabs>
      <w:spacing w:before="220" w:after="0" w:line="220" w:lineRule="exact"/>
      <w:ind w:left="1800" w:hanging="360"/>
      <w:jc w:val="both"/>
    </w:pPr>
    <w:rPr>
      <w:rFonts w:ascii="Arial" w:hAnsi="Arial"/>
      <w:color w:val="auto"/>
      <w:lang w:val="en-US"/>
    </w:rPr>
  </w:style>
  <w:style w:type="paragraph" w:customStyle="1" w:styleId="enclosures">
    <w:name w:val="enclosures"/>
    <w:basedOn w:val="Normal"/>
    <w:next w:val="Normal"/>
    <w:rsid w:val="00255612"/>
    <w:pPr>
      <w:tabs>
        <w:tab w:val="left" w:pos="720"/>
        <w:tab w:val="right" w:pos="9360"/>
      </w:tabs>
      <w:spacing w:after="0"/>
    </w:pPr>
    <w:rPr>
      <w:rFonts w:ascii="Helvetica" w:hAnsi="Helvetica"/>
      <w:color w:val="auto"/>
      <w:lang w:val="en-US"/>
    </w:rPr>
  </w:style>
  <w:style w:type="character" w:customStyle="1" w:styleId="CommentTextChar1">
    <w:name w:val="Comment Text Char1"/>
    <w:rPr>
      <w:rFonts w:cs="Times New Roman"/>
      <w:noProof w:val="0"/>
      <w:sz w:val="24"/>
      <w:lang w:val="en-US" w:eastAsia="ja-JP"/>
    </w:rPr>
  </w:style>
  <w:style w:type="character" w:customStyle="1" w:styleId="CommentTextChar">
    <w:name w:val="Comment Text Char"/>
    <w:uiPriority w:val="99"/>
    <w:rPr>
      <w:rFonts w:ascii="Times New Roman" w:hAnsi="Times New Roman" w:cs="Times New Roman"/>
      <w:noProof w:val="0"/>
      <w:sz w:val="24"/>
      <w:lang w:val="x-none" w:eastAsia="ja-JP"/>
    </w:rPr>
  </w:style>
  <w:style w:type="character" w:customStyle="1" w:styleId="BalloonTextChar">
    <w:name w:val="Balloon Text Char"/>
    <w:uiPriority w:val="99"/>
    <w:rPr>
      <w:rFonts w:ascii="Tahoma" w:hAnsi="Tahoma" w:cs="MS Mincho"/>
      <w:sz w:val="16"/>
    </w:rPr>
  </w:style>
  <w:style w:type="character" w:customStyle="1" w:styleId="CommentSubjectChar">
    <w:name w:val="Comment Subject Char"/>
    <w:uiPriority w:val="99"/>
    <w:rPr>
      <w:rFonts w:eastAsia="Times New Roman" w:cs="Times New Roman"/>
      <w:b/>
      <w:bCs/>
      <w:noProof w:val="0"/>
      <w:sz w:val="24"/>
      <w:lang w:val="en-US" w:eastAsia="ja-JP"/>
    </w:rPr>
  </w:style>
  <w:style w:type="character" w:customStyle="1" w:styleId="Heading5Char">
    <w:name w:val="Heading 5 Char"/>
    <w:aliases w:val="Subpara 2 Char"/>
    <w:uiPriority w:val="9"/>
    <w:rPr>
      <w:rFonts w:ascii="Cambria" w:eastAsia="Times New Roman" w:hAnsi="Cambria" w:cs="Times New Roman"/>
      <w:color w:val="243F60"/>
    </w:rPr>
  </w:style>
  <w:style w:type="character" w:customStyle="1" w:styleId="Heading6Char">
    <w:name w:val="Heading 6 Char"/>
    <w:aliases w:val="Subpara 3 Char"/>
    <w:uiPriority w:val="9"/>
    <w:rPr>
      <w:rFonts w:ascii="Cambria" w:eastAsia="Times New Roman" w:hAnsi="Cambria" w:cs="Times New Roman"/>
      <w:i/>
      <w:iCs/>
      <w:color w:val="243F60"/>
    </w:rPr>
  </w:style>
  <w:style w:type="character" w:customStyle="1" w:styleId="Heading7Char">
    <w:name w:val="Heading 7 Char"/>
    <w:aliases w:val="Subpara 4 Char"/>
    <w:uiPriority w:val="9"/>
    <w:rPr>
      <w:rFonts w:ascii="Cambria" w:eastAsia="Times New Roman" w:hAnsi="Cambria" w:cs="Times New Roman"/>
      <w:i/>
      <w:iCs/>
      <w:color w:val="404040"/>
    </w:rPr>
  </w:style>
  <w:style w:type="character" w:customStyle="1" w:styleId="Heading8Char">
    <w:name w:val="Heading 8 Char"/>
    <w:aliases w:val="Subpara 5 Char"/>
    <w:uiPriority w:val="9"/>
    <w:rPr>
      <w:rFonts w:ascii="Cambria" w:eastAsia="Times New Roman" w:hAnsi="Cambria" w:cs="Times New Roman"/>
      <w:color w:val="404040"/>
      <w:sz w:val="20"/>
      <w:szCs w:val="20"/>
    </w:rPr>
  </w:style>
  <w:style w:type="character" w:customStyle="1" w:styleId="Heading9Char">
    <w:name w:val="Heading 9 Char"/>
    <w:aliases w:val="Subpara 6 Char"/>
    <w:uiPriority w:val="9"/>
    <w:rPr>
      <w:rFonts w:ascii="Cambria" w:eastAsia="Times New Roman" w:hAnsi="Cambria" w:cs="Times New Roman"/>
      <w:i/>
      <w:iCs/>
      <w:color w:val="404040"/>
      <w:sz w:val="20"/>
      <w:szCs w:val="20"/>
    </w:rPr>
  </w:style>
  <w:style w:type="paragraph" w:customStyle="1" w:styleId="Paraindent">
    <w:name w:val="Para indent"/>
    <w:basedOn w:val="Normal"/>
    <w:qFormat/>
    <w:pPr>
      <w:widowControl w:val="0"/>
      <w:spacing w:before="120" w:after="120"/>
      <w:ind w:left="709" w:right="720"/>
      <w:jc w:val="both"/>
    </w:pPr>
    <w:rPr>
      <w:i/>
      <w:sz w:val="20"/>
    </w:rPr>
  </w:style>
  <w:style w:type="paragraph" w:customStyle="1" w:styleId="BulletsinTable">
    <w:name w:val="Bullets in Table"/>
    <w:basedOn w:val="ListParagraph1"/>
    <w:qFormat/>
    <w:pPr>
      <w:numPr>
        <w:numId w:val="9"/>
      </w:numPr>
      <w:autoSpaceDE w:val="0"/>
      <w:autoSpaceDN w:val="0"/>
      <w:adjustRightInd w:val="0"/>
      <w:ind w:left="720" w:right="720"/>
      <w:jc w:val="left"/>
    </w:pPr>
    <w:rPr>
      <w:rFonts w:ascii="Times New Roman" w:eastAsia="Times New Roman" w:hAnsi="Times New Roman"/>
      <w:i/>
      <w:color w:val="000000"/>
      <w:sz w:val="20"/>
      <w:lang w:val="en"/>
    </w:rPr>
  </w:style>
  <w:style w:type="paragraph" w:customStyle="1" w:styleId="Annex">
    <w:name w:val="Annex"/>
    <w:basedOn w:val="Caption"/>
    <w:qFormat/>
    <w:pPr>
      <w:spacing w:before="100" w:after="100" w:line="240" w:lineRule="auto"/>
      <w:ind w:left="426" w:right="720"/>
    </w:pPr>
    <w:rPr>
      <w:b/>
      <w:caps/>
      <w:color w:val="auto"/>
      <w:sz w:val="20"/>
    </w:rPr>
  </w:style>
  <w:style w:type="paragraph" w:customStyle="1" w:styleId="Tableandfigureheadings">
    <w:name w:val="Table and figure headings"/>
    <w:basedOn w:val="TableofFigures"/>
    <w:qFormat/>
    <w:pPr>
      <w:keepNext/>
      <w:ind w:left="0" w:right="720" w:firstLine="0"/>
      <w:jc w:val="left"/>
    </w:pPr>
    <w:rPr>
      <w:rFonts w:eastAsia="Times New Roman"/>
      <w:i/>
      <w:caps w:val="0"/>
      <w:sz w:val="24"/>
    </w:rPr>
  </w:style>
  <w:style w:type="paragraph" w:customStyle="1" w:styleId="Bulletsnumbered">
    <w:name w:val="Bullets numbered"/>
    <w:basedOn w:val="Paraindent"/>
    <w:qFormat/>
    <w:pPr>
      <w:tabs>
        <w:tab w:val="num" w:pos="720"/>
      </w:tabs>
      <w:ind w:left="1560" w:hanging="720"/>
    </w:pPr>
  </w:style>
  <w:style w:type="paragraph" w:customStyle="1" w:styleId="Style">
    <w:name w:val="Style"/>
    <w:pPr>
      <w:widowControl w:val="0"/>
      <w:numPr>
        <w:numId w:val="29"/>
      </w:numPr>
      <w:tabs>
        <w:tab w:val="clear" w:pos="720"/>
      </w:tabs>
      <w:autoSpaceDE w:val="0"/>
      <w:autoSpaceDN w:val="0"/>
      <w:adjustRightInd w:val="0"/>
      <w:ind w:left="0" w:firstLine="0"/>
    </w:pPr>
    <w:rPr>
      <w:rFonts w:ascii="Arial" w:hAnsi="Arial"/>
      <w:sz w:val="24"/>
      <w:lang w:val="en-GB" w:eastAsia="ko-KR"/>
    </w:rPr>
  </w:style>
  <w:style w:type="paragraph" w:customStyle="1" w:styleId="Chapternumber">
    <w:name w:val="Chapter number"/>
    <w:basedOn w:val="Normal"/>
    <w:pPr>
      <w:widowControl w:val="0"/>
      <w:suppressAutoHyphens/>
      <w:autoSpaceDE w:val="0"/>
      <w:autoSpaceDN w:val="0"/>
      <w:adjustRightInd w:val="0"/>
      <w:spacing w:before="100" w:after="567" w:line="640" w:lineRule="atLeast"/>
      <w:ind w:right="720"/>
      <w:textAlignment w:val="center"/>
    </w:pPr>
    <w:rPr>
      <w:rFonts w:ascii="FrutigerLTStd-Light" w:hAnsi="FrutigerLTStd-Light"/>
      <w:i/>
      <w:sz w:val="60"/>
    </w:rPr>
  </w:style>
  <w:style w:type="paragraph" w:customStyle="1" w:styleId="Tabletext0">
    <w:name w:val="Table text"/>
    <w:basedOn w:val="Normal"/>
    <w:pPr>
      <w:widowControl w:val="0"/>
      <w:suppressAutoHyphens/>
      <w:autoSpaceDE w:val="0"/>
      <w:autoSpaceDN w:val="0"/>
      <w:adjustRightInd w:val="0"/>
      <w:spacing w:before="100" w:after="113" w:line="288" w:lineRule="auto"/>
      <w:ind w:right="720"/>
      <w:textAlignment w:val="center"/>
    </w:pPr>
    <w:rPr>
      <w:rFonts w:ascii="FrutigerLTStd-Light" w:hAnsi="FrutigerLTStd-Light"/>
      <w:i/>
      <w:sz w:val="24"/>
    </w:rPr>
  </w:style>
  <w:style w:type="paragraph" w:customStyle="1" w:styleId="Bodycopynoindent">
    <w:name w:val="Body copy (no indent)"/>
    <w:basedOn w:val="Normal"/>
    <w:pPr>
      <w:widowControl w:val="0"/>
      <w:suppressAutoHyphens/>
      <w:autoSpaceDE w:val="0"/>
      <w:autoSpaceDN w:val="0"/>
      <w:adjustRightInd w:val="0"/>
      <w:spacing w:before="100" w:after="280" w:line="320" w:lineRule="atLeast"/>
      <w:ind w:right="720"/>
      <w:textAlignment w:val="center"/>
    </w:pPr>
    <w:rPr>
      <w:rFonts w:ascii="FrutigerLTStd-Light" w:hAnsi="FrutigerLTStd-Light"/>
      <w:i/>
      <w:sz w:val="24"/>
    </w:rPr>
  </w:style>
  <w:style w:type="paragraph" w:customStyle="1" w:styleId="Bullettext">
    <w:name w:val="Bullet text"/>
    <w:basedOn w:val="Normal"/>
    <w:next w:val="Normal"/>
    <w:pPr>
      <w:widowControl w:val="0"/>
      <w:tabs>
        <w:tab w:val="num" w:pos="851"/>
      </w:tabs>
      <w:suppressAutoHyphens/>
      <w:autoSpaceDE w:val="0"/>
      <w:autoSpaceDN w:val="0"/>
      <w:adjustRightInd w:val="0"/>
      <w:spacing w:before="100" w:after="113" w:line="320" w:lineRule="atLeast"/>
      <w:ind w:left="851" w:right="720" w:hanging="284"/>
      <w:textAlignment w:val="center"/>
    </w:pPr>
    <w:rPr>
      <w:rFonts w:ascii="FrutigerLTStd-Light" w:hAnsi="FrutigerLTStd-Light"/>
      <w:i/>
      <w:sz w:val="24"/>
    </w:rPr>
  </w:style>
  <w:style w:type="paragraph" w:customStyle="1" w:styleId="Bullettextlastline">
    <w:name w:val="Bullet text last line"/>
    <w:basedOn w:val="Normal"/>
    <w:pPr>
      <w:widowControl w:val="0"/>
      <w:tabs>
        <w:tab w:val="num" w:pos="851"/>
      </w:tabs>
      <w:suppressAutoHyphens/>
      <w:autoSpaceDE w:val="0"/>
      <w:autoSpaceDN w:val="0"/>
      <w:adjustRightInd w:val="0"/>
      <w:spacing w:before="100" w:after="280" w:line="320" w:lineRule="atLeast"/>
      <w:ind w:left="851" w:right="720" w:hanging="284"/>
      <w:textAlignment w:val="center"/>
    </w:pPr>
    <w:rPr>
      <w:rFonts w:ascii="FrutigerLTStd-Light" w:hAnsi="FrutigerLTStd-Light"/>
      <w:i/>
      <w:sz w:val="24"/>
    </w:rPr>
  </w:style>
  <w:style w:type="paragraph" w:customStyle="1" w:styleId="Section2numbered">
    <w:name w:val="Section 2 numbered"/>
    <w:pPr>
      <w:tabs>
        <w:tab w:val="num" w:pos="1492"/>
      </w:tabs>
      <w:spacing w:after="227"/>
      <w:ind w:left="1492" w:hanging="360"/>
    </w:pPr>
    <w:rPr>
      <w:rFonts w:ascii="FrutigerLTStd-Light" w:hAnsi="FrutigerLTStd-Light"/>
      <w:color w:val="000000"/>
      <w:sz w:val="24"/>
      <w:lang w:val="en-GB" w:eastAsia="ko-KR"/>
    </w:rPr>
  </w:style>
  <w:style w:type="character" w:customStyle="1" w:styleId="Boldtext">
    <w:name w:val="Bold text"/>
    <w:rPr>
      <w:rFonts w:ascii="FrutigerLTStd-Bold" w:hAnsi="FrutigerLTStd-Bold" w:cs="Verdana"/>
      <w:b/>
      <w:bCs/>
    </w:rPr>
  </w:style>
  <w:style w:type="paragraph" w:customStyle="1" w:styleId="Section3numbered">
    <w:name w:val="Section 3 numbered"/>
    <w:pPr>
      <w:numPr>
        <w:numId w:val="30"/>
      </w:numPr>
      <w:tabs>
        <w:tab w:val="clear" w:pos="720"/>
        <w:tab w:val="num" w:pos="680"/>
      </w:tabs>
      <w:spacing w:after="227"/>
      <w:ind w:left="680" w:hanging="680"/>
    </w:pPr>
    <w:rPr>
      <w:rFonts w:ascii="FrutigerLTStd-Light" w:hAnsi="FrutigerLTStd-Light"/>
      <w:color w:val="000000"/>
      <w:sz w:val="24"/>
      <w:lang w:val="en-GB" w:eastAsia="ko-KR"/>
    </w:rPr>
  </w:style>
  <w:style w:type="paragraph" w:customStyle="1" w:styleId="Section6numbered">
    <w:name w:val="Section 6 numbered"/>
    <w:pPr>
      <w:tabs>
        <w:tab w:val="num" w:pos="0"/>
      </w:tabs>
      <w:spacing w:after="227"/>
      <w:ind w:left="578"/>
    </w:pPr>
    <w:rPr>
      <w:rFonts w:ascii="FrutigerLTStd-Light" w:hAnsi="FrutigerLTStd-Light"/>
      <w:color w:val="000000"/>
      <w:sz w:val="24"/>
      <w:lang w:val="en-GB" w:eastAsia="ko-KR"/>
    </w:rPr>
  </w:style>
  <w:style w:type="paragraph" w:customStyle="1" w:styleId="BasicParagraph">
    <w:name w:val="[Basic Paragraph]"/>
    <w:basedOn w:val="Normal"/>
    <w:pPr>
      <w:widowControl w:val="0"/>
      <w:numPr>
        <w:numId w:val="31"/>
      </w:numPr>
      <w:tabs>
        <w:tab w:val="clear" w:pos="720"/>
      </w:tabs>
      <w:autoSpaceDE w:val="0"/>
      <w:autoSpaceDN w:val="0"/>
      <w:adjustRightInd w:val="0"/>
      <w:spacing w:before="100" w:after="0" w:line="288" w:lineRule="auto"/>
      <w:ind w:left="0" w:right="720" w:firstLine="0"/>
      <w:textAlignment w:val="center"/>
    </w:pPr>
    <w:rPr>
      <w:rFonts w:ascii="Times-Roman" w:hAnsi="Times-Roman"/>
      <w:i/>
      <w:sz w:val="24"/>
      <w:lang w:val="en-US"/>
    </w:rPr>
  </w:style>
  <w:style w:type="character" w:customStyle="1" w:styleId="t1">
    <w:name w:val="t1"/>
    <w:basedOn w:val="DefaultParagraphFont"/>
  </w:style>
  <w:style w:type="paragraph" w:customStyle="1" w:styleId="Bulletstechnologytable">
    <w:name w:val="Bullets technology table"/>
    <w:basedOn w:val="BulletsinTable"/>
    <w:qFormat/>
    <w:pPr>
      <w:ind w:left="175" w:hanging="142"/>
    </w:pPr>
  </w:style>
  <w:style w:type="paragraph" w:customStyle="1" w:styleId="Recommendationsnumbered">
    <w:name w:val="Recommendations numbered"/>
    <w:basedOn w:val="Bulletsnumbered"/>
    <w:qFormat/>
    <w:pPr>
      <w:ind w:left="1134" w:hanging="425"/>
    </w:pPr>
  </w:style>
  <w:style w:type="paragraph" w:customStyle="1" w:styleId="wbtbullet1">
    <w:name w:val="wbtbullet1"/>
    <w:basedOn w:val="Normal"/>
    <w:pPr>
      <w:spacing w:before="100" w:after="0"/>
      <w:ind w:right="720"/>
      <w:jc w:val="both"/>
    </w:pPr>
    <w:rPr>
      <w:rFonts w:ascii="Verdana" w:hAnsi="Verdana"/>
      <w:i/>
      <w:color w:val="auto"/>
      <w:sz w:val="16"/>
    </w:rPr>
  </w:style>
  <w:style w:type="paragraph" w:customStyle="1" w:styleId="Box">
    <w:name w:val="Box"/>
    <w:basedOn w:val="BodyText"/>
    <w:qFormat/>
    <w:pPr>
      <w:numPr>
        <w:ilvl w:val="1"/>
        <w:numId w:val="7"/>
      </w:numPr>
      <w:pBdr>
        <w:top w:val="single" w:sz="4" w:space="1" w:color="auto"/>
        <w:left w:val="single" w:sz="4" w:space="4" w:color="auto"/>
        <w:bottom w:val="single" w:sz="4" w:space="1" w:color="auto"/>
        <w:right w:val="single" w:sz="4" w:space="4" w:color="auto"/>
      </w:pBdr>
      <w:spacing w:before="100" w:after="0" w:line="240" w:lineRule="auto"/>
      <w:ind w:right="720"/>
    </w:pPr>
    <w:rPr>
      <w:rFonts w:ascii="Calibri" w:hAnsi="Calibri"/>
      <w:i/>
      <w:color w:val="auto"/>
      <w:spacing w:val="-2"/>
      <w:sz w:val="18"/>
      <w:lang w:val="en-US"/>
    </w:rPr>
  </w:style>
  <w:style w:type="character" w:customStyle="1" w:styleId="content1">
    <w:name w:val="content1"/>
    <w:rPr>
      <w:rFonts w:ascii="Trebuchet MS" w:hAnsi="Trebuchet MS" w:hint="default"/>
      <w:color w:val="292929"/>
      <w:sz w:val="18"/>
      <w:szCs w:val="18"/>
    </w:rPr>
  </w:style>
  <w:style w:type="character" w:customStyle="1" w:styleId="smbody1">
    <w:name w:val="smbody1"/>
    <w:rPr>
      <w:rFonts w:ascii="Verdana" w:hAnsi="Verdana" w:hint="default"/>
      <w:color w:val="333333"/>
      <w:sz w:val="15"/>
      <w:szCs w:val="15"/>
    </w:rPr>
  </w:style>
  <w:style w:type="paragraph" w:customStyle="1" w:styleId="Text0">
    <w:name w:val="Text"/>
    <w:basedOn w:val="Normal"/>
    <w:pPr>
      <w:spacing w:before="100" w:after="0"/>
      <w:ind w:right="720"/>
      <w:jc w:val="both"/>
    </w:pPr>
    <w:rPr>
      <w:rFonts w:ascii="Arial" w:hAnsi="Arial"/>
      <w:i/>
      <w:color w:val="auto"/>
      <w:sz w:val="18"/>
      <w:lang w:val="en-US"/>
    </w:rPr>
  </w:style>
  <w:style w:type="paragraph" w:customStyle="1" w:styleId="SimonUberschrift">
    <w:name w:val="Simon Uberschrift"/>
    <w:basedOn w:val="Heading3"/>
    <w:next w:val="Heading1"/>
    <w:pPr>
      <w:keepLines w:val="0"/>
      <w:numPr>
        <w:ilvl w:val="2"/>
        <w:numId w:val="1"/>
      </w:numPr>
      <w:tabs>
        <w:tab w:val="num" w:pos="1800"/>
      </w:tabs>
      <w:spacing w:before="240" w:after="60"/>
      <w:ind w:left="1440" w:firstLine="0"/>
    </w:pPr>
    <w:rPr>
      <w:b w:val="0"/>
      <w:i/>
      <w:snapToGrid/>
    </w:rPr>
  </w:style>
  <w:style w:type="character" w:customStyle="1" w:styleId="TitleChar">
    <w:name w:val="Title Char"/>
    <w:uiPriority w:val="10"/>
    <w:rPr>
      <w:rFonts w:ascii="Arial" w:eastAsia="Times New Roman" w:hAnsi="Arial" w:cs="Arial"/>
      <w:b/>
      <w:bCs/>
      <w:kern w:val="28"/>
      <w:sz w:val="28"/>
      <w:szCs w:val="32"/>
      <w:lang w:eastAsia="en-US"/>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pacing w:before="100" w:after="100"/>
      <w:ind w:right="720"/>
      <w:jc w:val="both"/>
      <w:textAlignment w:val="top"/>
    </w:pPr>
    <w:rPr>
      <w:rFonts w:ascii="Arial" w:eastAsia="Arial Unicode MS" w:hAnsi="Arial"/>
      <w:i/>
      <w:color w:val="auto"/>
      <w:sz w:val="18"/>
      <w:lang w:val="en-US"/>
    </w:rPr>
  </w:style>
  <w:style w:type="paragraph" w:customStyle="1" w:styleId="xl23">
    <w:name w:val="xl23"/>
    <w:basedOn w:val="Normal"/>
    <w:pPr>
      <w:pBdr>
        <w:top w:val="single" w:sz="4" w:space="0" w:color="auto"/>
        <w:left w:val="single" w:sz="4" w:space="0" w:color="auto"/>
        <w:bottom w:val="single" w:sz="4" w:space="0" w:color="auto"/>
        <w:right w:val="single" w:sz="4" w:space="0" w:color="auto"/>
      </w:pBdr>
      <w:spacing w:before="100" w:after="100"/>
      <w:ind w:right="720"/>
      <w:jc w:val="both"/>
      <w:textAlignment w:val="top"/>
    </w:pPr>
    <w:rPr>
      <w:rFonts w:ascii="Arial" w:eastAsia="Arial Unicode MS" w:hAnsi="Arial"/>
      <w:i/>
      <w:color w:val="auto"/>
      <w:sz w:val="18"/>
      <w:lang w:val="en-US"/>
    </w:rPr>
  </w:style>
  <w:style w:type="character" w:customStyle="1" w:styleId="BodyText3Char">
    <w:name w:val="Body Text 3 Char"/>
    <w:rPr>
      <w:rFonts w:ascii="Arial" w:eastAsia="Times New Roman" w:hAnsi="Arial" w:cs="Times New Roman"/>
      <w:sz w:val="16"/>
      <w:szCs w:val="16"/>
      <w:lang w:eastAsia="en-US"/>
    </w:rPr>
  </w:style>
  <w:style w:type="paragraph" w:customStyle="1" w:styleId="TablesinAnnexlandscape">
    <w:name w:val="Tables in Annex landscape"/>
    <w:basedOn w:val="Table"/>
    <w:qFormat/>
    <w:pPr>
      <w:keepLines w:val="0"/>
      <w:spacing w:before="120" w:after="120"/>
      <w:ind w:left="709" w:right="720"/>
    </w:pPr>
    <w:rPr>
      <w:b/>
      <w:i/>
      <w:snapToGrid/>
    </w:rPr>
  </w:style>
  <w:style w:type="paragraph" w:customStyle="1" w:styleId="Tablefootnote">
    <w:name w:val="Table footnote"/>
    <w:basedOn w:val="Normal"/>
    <w:qFormat/>
    <w:pPr>
      <w:tabs>
        <w:tab w:val="left" w:pos="3000"/>
      </w:tabs>
      <w:spacing w:before="100" w:after="0"/>
      <w:ind w:left="709" w:right="720"/>
    </w:pPr>
    <w:rPr>
      <w:i/>
      <w:color w:val="auto"/>
      <w:sz w:val="18"/>
    </w:rPr>
  </w:style>
  <w:style w:type="paragraph" w:customStyle="1" w:styleId="TableinfrontwithmeandKJ">
    <w:name w:val="Table in front with me and KJ"/>
    <w:basedOn w:val="Normal"/>
    <w:qFormat/>
    <w:pPr>
      <w:spacing w:before="60" w:after="60"/>
      <w:ind w:right="720"/>
    </w:pPr>
    <w:rPr>
      <w:i/>
      <w:color w:val="auto"/>
      <w:sz w:val="18"/>
    </w:rPr>
  </w:style>
  <w:style w:type="paragraph" w:customStyle="1" w:styleId="ParaindentItalicsubheader">
    <w:name w:val="Para indent Italic subheader"/>
    <w:basedOn w:val="Paraindent"/>
    <w:qFormat/>
    <w:rPr>
      <w:i w:val="0"/>
    </w:rPr>
  </w:style>
  <w:style w:type="paragraph" w:customStyle="1" w:styleId="Paratextintable">
    <w:name w:val="Para text in table"/>
    <w:basedOn w:val="Normal"/>
    <w:qFormat/>
    <w:pPr>
      <w:spacing w:before="120" w:after="120"/>
      <w:ind w:right="720"/>
    </w:pPr>
    <w:rPr>
      <w:color w:val="auto"/>
      <w:sz w:val="18"/>
      <w:lang w:val="en-US"/>
    </w:rPr>
  </w:style>
  <w:style w:type="paragraph" w:customStyle="1" w:styleId="Bulletsnumberedintable">
    <w:name w:val="Bullets numbered in table"/>
    <w:basedOn w:val="ListParagraph1"/>
    <w:qFormat/>
    <w:pPr>
      <w:numPr>
        <w:numId w:val="10"/>
      </w:numPr>
      <w:spacing w:before="100" w:after="0"/>
      <w:ind w:right="720"/>
      <w:jc w:val="left"/>
    </w:pPr>
    <w:rPr>
      <w:rFonts w:ascii="Times New Roman" w:eastAsia="Times New Roman" w:hAnsi="Times New Roman"/>
      <w:i/>
      <w:sz w:val="18"/>
      <w:lang w:val="en-US"/>
    </w:rPr>
  </w:style>
  <w:style w:type="paragraph" w:customStyle="1" w:styleId="Paranumbered">
    <w:name w:val="Para numbered"/>
    <w:basedOn w:val="ListParagraph1"/>
    <w:qFormat/>
    <w:pPr>
      <w:numPr>
        <w:numId w:val="11"/>
      </w:numPr>
      <w:spacing w:before="120" w:after="120"/>
      <w:ind w:left="709" w:right="720" w:hanging="709"/>
      <w:jc w:val="left"/>
    </w:pPr>
    <w:rPr>
      <w:rFonts w:ascii="Times New Roman" w:eastAsia="Times New Roman" w:hAnsi="Times New Roman"/>
      <w:i/>
      <w:sz w:val="18"/>
      <w:lang w:val="en-US"/>
    </w:rPr>
  </w:style>
  <w:style w:type="paragraph" w:customStyle="1" w:styleId="Bulletsubindent">
    <w:name w:val="Bullet sub indent"/>
    <w:basedOn w:val="ListParagraph1"/>
    <w:qFormat/>
    <w:pPr>
      <w:numPr>
        <w:numId w:val="0"/>
      </w:numPr>
      <w:autoSpaceDE w:val="0"/>
      <w:autoSpaceDN w:val="0"/>
      <w:adjustRightInd w:val="0"/>
      <w:ind w:left="1985" w:right="720" w:hanging="360"/>
      <w:jc w:val="left"/>
    </w:pPr>
    <w:rPr>
      <w:rFonts w:ascii="Times New Roman" w:eastAsia="Times New Roman" w:hAnsi="Times New Roman"/>
      <w:i/>
      <w:color w:val="000000"/>
      <w:lang w:val="en"/>
    </w:rPr>
  </w:style>
  <w:style w:type="paragraph" w:customStyle="1" w:styleId="TableandFigureVol1">
    <w:name w:val="Table and Figure Vol 1"/>
    <w:basedOn w:val="Caption"/>
    <w:qFormat/>
    <w:pPr>
      <w:keepNext/>
      <w:spacing w:before="100" w:after="120" w:line="240" w:lineRule="auto"/>
      <w:ind w:left="709" w:right="720"/>
      <w:jc w:val="both"/>
    </w:pPr>
    <w:rPr>
      <w:rFonts w:ascii="Calibri" w:hAnsi="Calibri"/>
      <w:b/>
      <w:color w:val="auto"/>
      <w:sz w:val="20"/>
    </w:rPr>
  </w:style>
  <w:style w:type="paragraph" w:customStyle="1" w:styleId="GEFChar">
    <w:name w:val="GEF Char"/>
    <w:basedOn w:val="Normal"/>
    <w:pPr>
      <w:numPr>
        <w:numId w:val="33"/>
      </w:numPr>
      <w:spacing w:before="180" w:after="0" w:line="250" w:lineRule="exact"/>
      <w:ind w:left="0" w:right="720" w:firstLine="0"/>
      <w:jc w:val="both"/>
    </w:pPr>
    <w:rPr>
      <w:i/>
      <w:color w:val="auto"/>
      <w:sz w:val="20"/>
    </w:rPr>
  </w:style>
  <w:style w:type="character" w:customStyle="1" w:styleId="ft">
    <w:name w:val="ft"/>
  </w:style>
  <w:style w:type="character" w:customStyle="1" w:styleId="googqs-tidbit-0">
    <w:name w:val="goog_qs-tidbit-0"/>
    <w:basedOn w:val="DefaultParagraphFont"/>
  </w:style>
  <w:style w:type="character" w:customStyle="1" w:styleId="style81">
    <w:name w:val="style81"/>
    <w:rPr>
      <w:rFonts w:ascii="Verdana" w:hAnsi="Verdana" w:hint="default"/>
      <w:color w:val="008000"/>
      <w:sz w:val="27"/>
      <w:szCs w:val="27"/>
    </w:rPr>
  </w:style>
  <w:style w:type="character" w:customStyle="1" w:styleId="A6">
    <w:name w:val="A6"/>
    <w:rPr>
      <w:rFonts w:cs="Georgia"/>
      <w:color w:val="000000"/>
      <w:sz w:val="20"/>
      <w:szCs w:val="20"/>
    </w:rPr>
  </w:style>
  <w:style w:type="character" w:customStyle="1" w:styleId="googqs-tidbit1">
    <w:name w:val="goog_qs-tidbit1"/>
    <w:rPr>
      <w:vanish w:val="0"/>
      <w:webHidden w:val="0"/>
      <w:specVanish w:val="0"/>
    </w:rPr>
  </w:style>
  <w:style w:type="paragraph" w:customStyle="1" w:styleId="bodytext0">
    <w:name w:val="bodytext"/>
    <w:basedOn w:val="Normal"/>
    <w:pPr>
      <w:spacing w:before="100" w:after="100"/>
      <w:ind w:right="720"/>
    </w:pPr>
    <w:rPr>
      <w:i/>
      <w:color w:val="auto"/>
      <w:sz w:val="24"/>
    </w:rPr>
  </w:style>
  <w:style w:type="paragraph" w:customStyle="1" w:styleId="MeetingInfo">
    <w:name w:val="MeetingInfo"/>
    <w:basedOn w:val="Normal"/>
    <w:pPr>
      <w:pBdr>
        <w:top w:val="single" w:sz="12" w:space="6" w:color="auto"/>
        <w:left w:val="single" w:sz="12" w:space="6" w:color="auto"/>
        <w:bottom w:val="single" w:sz="12" w:space="6" w:color="auto"/>
        <w:right w:val="single" w:sz="12" w:space="6" w:color="auto"/>
      </w:pBdr>
      <w:spacing w:before="120" w:after="120"/>
      <w:ind w:right="720"/>
      <w:jc w:val="center"/>
    </w:pPr>
    <w:rPr>
      <w:b/>
      <w:i/>
      <w:noProof/>
      <w:color w:val="auto"/>
      <w:sz w:val="28"/>
    </w:rPr>
  </w:style>
  <w:style w:type="paragraph" w:customStyle="1" w:styleId="BlankLine">
    <w:name w:val="BlankLine"/>
    <w:basedOn w:val="Normal"/>
    <w:next w:val="Normal"/>
    <w:pPr>
      <w:numPr>
        <w:numId w:val="13"/>
      </w:numPr>
      <w:spacing w:before="100" w:after="0"/>
      <w:ind w:right="720"/>
    </w:pPr>
    <w:rPr>
      <w:i/>
      <w:noProof/>
      <w:color w:val="auto"/>
      <w:sz w:val="18"/>
    </w:rPr>
  </w:style>
  <w:style w:type="character" w:customStyle="1" w:styleId="Bold">
    <w:name w:val="Bold"/>
    <w:rPr>
      <w:b/>
    </w:rPr>
  </w:style>
  <w:style w:type="character" w:customStyle="1" w:styleId="BoldItalic">
    <w:name w:val="Bold Italic"/>
    <w:rPr>
      <w:b/>
      <w:i/>
    </w:rPr>
  </w:style>
  <w:style w:type="character" w:customStyle="1" w:styleId="BoldItalicUnderline">
    <w:name w:val="Bold Italic Underline"/>
    <w:rPr>
      <w:b/>
      <w:i/>
      <w:u w:val="single"/>
    </w:rPr>
  </w:style>
  <w:style w:type="character" w:customStyle="1" w:styleId="BoldUnderline">
    <w:name w:val="Bold Underline"/>
    <w:rPr>
      <w:b/>
      <w:u w:val="single"/>
    </w:rPr>
  </w:style>
  <w:style w:type="paragraph" w:customStyle="1" w:styleId="BoxText">
    <w:name w:val="Box Text"/>
    <w:basedOn w:val="BoxNewPara"/>
    <w:pPr>
      <w:tabs>
        <w:tab w:val="clear" w:pos="425"/>
        <w:tab w:val="left" w:pos="426"/>
      </w:tabs>
    </w:pPr>
  </w:style>
  <w:style w:type="paragraph" w:customStyle="1" w:styleId="BoxNewPara">
    <w:name w:val="Box NewPara"/>
    <w:basedOn w:val="Normal"/>
    <w:next w:val="Normal"/>
    <w:pPr>
      <w:pBdr>
        <w:left w:val="single" w:sz="6" w:space="1" w:color="auto"/>
        <w:right w:val="single" w:sz="6" w:space="1" w:color="auto"/>
      </w:pBdr>
      <w:shd w:val="pct10" w:color="auto" w:fill="auto"/>
      <w:tabs>
        <w:tab w:val="left" w:pos="425"/>
        <w:tab w:val="num" w:pos="720"/>
      </w:tabs>
      <w:spacing w:before="100" w:after="0"/>
      <w:ind w:left="720" w:right="720" w:hanging="360"/>
      <w:jc w:val="both"/>
    </w:pPr>
    <w:rPr>
      <w:i/>
      <w:noProof/>
      <w:color w:val="auto"/>
      <w:sz w:val="20"/>
    </w:rPr>
  </w:style>
  <w:style w:type="paragraph" w:customStyle="1" w:styleId="FigureCaption">
    <w:name w:val="Figure Caption"/>
    <w:basedOn w:val="Normal"/>
    <w:pPr>
      <w:spacing w:before="120" w:after="0"/>
      <w:ind w:right="720"/>
    </w:pPr>
    <w:rPr>
      <w:noProof/>
      <w:color w:val="auto"/>
      <w:sz w:val="18"/>
    </w:rPr>
  </w:style>
  <w:style w:type="paragraph" w:customStyle="1" w:styleId="BoxNote">
    <w:name w:val="Box Note"/>
    <w:basedOn w:val="Normal"/>
    <w:next w:val="Normal"/>
    <w:pPr>
      <w:pBdr>
        <w:left w:val="single" w:sz="6" w:space="1" w:color="auto"/>
        <w:right w:val="single" w:sz="6" w:space="1" w:color="auto"/>
      </w:pBdr>
      <w:shd w:val="pct10" w:color="auto" w:fill="auto"/>
      <w:suppressAutoHyphens/>
      <w:spacing w:before="100" w:after="0"/>
      <w:ind w:right="720"/>
      <w:jc w:val="both"/>
    </w:pPr>
    <w:rPr>
      <w:noProof/>
      <w:color w:val="auto"/>
      <w:sz w:val="20"/>
    </w:rPr>
  </w:style>
  <w:style w:type="paragraph" w:customStyle="1" w:styleId="NewPara">
    <w:name w:val="NewPara"/>
    <w:basedOn w:val="Normal"/>
    <w:next w:val="Normal"/>
    <w:pPr>
      <w:numPr>
        <w:numId w:val="35"/>
      </w:numPr>
      <w:tabs>
        <w:tab w:val="clear" w:pos="720"/>
        <w:tab w:val="left" w:pos="709"/>
      </w:tabs>
      <w:spacing w:before="160" w:after="20"/>
      <w:ind w:left="0" w:right="720" w:firstLine="0"/>
    </w:pPr>
    <w:rPr>
      <w:i/>
      <w:noProof/>
      <w:color w:val="auto"/>
      <w:sz w:val="18"/>
    </w:rPr>
  </w:style>
  <w:style w:type="paragraph" w:customStyle="1" w:styleId="BoxParaTitle">
    <w:name w:val="Box ParaTitle"/>
    <w:basedOn w:val="BoxNote"/>
    <w:rPr>
      <w:b/>
      <w:i/>
    </w:rPr>
  </w:style>
  <w:style w:type="paragraph" w:customStyle="1" w:styleId="BoxRandList1">
    <w:name w:val="Box RandList 1"/>
    <w:basedOn w:val="Normal"/>
    <w:pPr>
      <w:numPr>
        <w:numId w:val="15"/>
      </w:numPr>
      <w:pBdr>
        <w:left w:val="single" w:sz="6" w:space="10" w:color="auto"/>
        <w:right w:val="single" w:sz="6" w:space="10" w:color="auto"/>
      </w:pBdr>
      <w:shd w:val="pct10" w:color="auto" w:fill="auto"/>
      <w:tabs>
        <w:tab w:val="left" w:pos="437"/>
      </w:tabs>
      <w:spacing w:before="100" w:after="0" w:line="360" w:lineRule="auto"/>
      <w:ind w:left="437" w:right="181" w:hanging="256"/>
      <w:jc w:val="both"/>
    </w:pPr>
    <w:rPr>
      <w:i/>
      <w:noProof/>
      <w:color w:val="auto"/>
      <w:sz w:val="20"/>
    </w:rPr>
  </w:style>
  <w:style w:type="paragraph" w:customStyle="1" w:styleId="RandListLev1">
    <w:name w:val="Rand List Lev1"/>
    <w:basedOn w:val="Normal"/>
    <w:pPr>
      <w:numPr>
        <w:numId w:val="12"/>
      </w:numPr>
      <w:tabs>
        <w:tab w:val="left" w:pos="754"/>
      </w:tabs>
      <w:spacing w:before="100" w:after="0"/>
      <w:ind w:left="754" w:right="720" w:hanging="357"/>
    </w:pPr>
    <w:rPr>
      <w:i/>
      <w:noProof/>
      <w:color w:val="auto"/>
      <w:sz w:val="18"/>
    </w:rPr>
  </w:style>
  <w:style w:type="paragraph" w:customStyle="1" w:styleId="BoxRandList2">
    <w:name w:val="Box RandList 2"/>
    <w:basedOn w:val="BoxRandList1"/>
    <w:pPr>
      <w:pBdr>
        <w:left w:val="single" w:sz="6" w:space="20" w:color="auto"/>
        <w:right w:val="single" w:sz="6" w:space="20" w:color="auto"/>
      </w:pBdr>
      <w:tabs>
        <w:tab w:val="left" w:pos="635"/>
      </w:tabs>
      <w:ind w:left="635" w:right="380" w:hanging="255"/>
    </w:pPr>
  </w:style>
  <w:style w:type="paragraph" w:customStyle="1" w:styleId="BoxRandList3">
    <w:name w:val="Box RandList 3"/>
    <w:basedOn w:val="BoxRandList2"/>
    <w:pPr>
      <w:pBdr>
        <w:left w:val="single" w:sz="6" w:space="29" w:color="auto"/>
        <w:right w:val="single" w:sz="6" w:space="30" w:color="auto"/>
      </w:pBdr>
      <w:tabs>
        <w:tab w:val="left" w:pos="816"/>
      </w:tabs>
      <w:ind w:left="816" w:right="584"/>
    </w:pPr>
  </w:style>
  <w:style w:type="paragraph" w:customStyle="1" w:styleId="BoxSeqList1">
    <w:name w:val="Box SeqList 1"/>
    <w:basedOn w:val="Normal"/>
    <w:pPr>
      <w:numPr>
        <w:numId w:val="36"/>
      </w:numPr>
      <w:pBdr>
        <w:left w:val="single" w:sz="6" w:space="8" w:color="auto"/>
        <w:right w:val="single" w:sz="6" w:space="10" w:color="auto"/>
      </w:pBdr>
      <w:shd w:val="pct10" w:color="auto" w:fill="auto"/>
      <w:tabs>
        <w:tab w:val="num" w:pos="567"/>
      </w:tabs>
      <w:spacing w:before="100" w:after="0" w:line="360" w:lineRule="auto"/>
      <w:ind w:left="567" w:right="181" w:hanging="425"/>
      <w:jc w:val="both"/>
    </w:pPr>
    <w:rPr>
      <w:i/>
      <w:noProof/>
      <w:color w:val="auto"/>
      <w:sz w:val="20"/>
    </w:rPr>
  </w:style>
  <w:style w:type="paragraph" w:customStyle="1" w:styleId="BoxSeqList3">
    <w:name w:val="Box SeqList 3"/>
    <w:basedOn w:val="BoxSeqList2"/>
    <w:pPr>
      <w:numPr>
        <w:ilvl w:val="0"/>
        <w:numId w:val="34"/>
      </w:numPr>
      <w:pBdr>
        <w:left w:val="single" w:sz="6" w:space="30" w:color="auto"/>
        <w:right w:val="single" w:sz="6" w:space="30" w:color="auto"/>
      </w:pBdr>
      <w:tabs>
        <w:tab w:val="clear" w:pos="720"/>
        <w:tab w:val="num" w:pos="1009"/>
      </w:tabs>
      <w:ind w:left="1009" w:right="584" w:hanging="425"/>
    </w:pPr>
  </w:style>
  <w:style w:type="paragraph" w:customStyle="1" w:styleId="BoxSeqList2">
    <w:name w:val="Box SeqList 2"/>
    <w:basedOn w:val="BoxSeqList1"/>
    <w:pPr>
      <w:numPr>
        <w:ilvl w:val="2"/>
        <w:numId w:val="14"/>
      </w:numPr>
      <w:pBdr>
        <w:left w:val="single" w:sz="6" w:space="20" w:color="auto"/>
      </w:pBdr>
      <w:tabs>
        <w:tab w:val="clear" w:pos="2160"/>
      </w:tabs>
      <w:ind w:hanging="360"/>
    </w:pPr>
  </w:style>
  <w:style w:type="paragraph" w:customStyle="1" w:styleId="TableTitle">
    <w:name w:val="Table Title"/>
    <w:basedOn w:val="Normal"/>
    <w:pPr>
      <w:keepNext/>
      <w:spacing w:before="120" w:after="0"/>
      <w:ind w:right="720"/>
    </w:pPr>
    <w:rPr>
      <w:b/>
      <w:i/>
      <w:noProof/>
      <w:color w:val="auto"/>
      <w:sz w:val="18"/>
    </w:rPr>
  </w:style>
  <w:style w:type="paragraph" w:customStyle="1" w:styleId="TableEntry">
    <w:name w:val="TableEntry"/>
    <w:basedOn w:val="Normal"/>
    <w:pPr>
      <w:numPr>
        <w:ilvl w:val="1"/>
        <w:numId w:val="35"/>
      </w:numPr>
      <w:spacing w:before="80" w:after="0"/>
      <w:ind w:left="0" w:right="720" w:firstLine="0"/>
    </w:pPr>
    <w:rPr>
      <w:i/>
      <w:noProof/>
      <w:color w:val="auto"/>
      <w:sz w:val="18"/>
    </w:rPr>
  </w:style>
  <w:style w:type="paragraph" w:customStyle="1" w:styleId="BoxTitle">
    <w:name w:val="Box Title"/>
    <w:basedOn w:val="Normal"/>
    <w:next w:val="BoxText"/>
    <w:pPr>
      <w:numPr>
        <w:ilvl w:val="3"/>
        <w:numId w:val="35"/>
      </w:numPr>
      <w:pBdr>
        <w:top w:val="single" w:sz="6" w:space="7" w:color="auto"/>
        <w:left w:val="single" w:sz="6" w:space="7" w:color="auto"/>
        <w:right w:val="single" w:sz="6" w:space="7" w:color="auto"/>
      </w:pBdr>
      <w:shd w:val="pct10" w:color="auto" w:fill="auto"/>
      <w:spacing w:before="120" w:after="0" w:line="360" w:lineRule="auto"/>
      <w:ind w:left="119" w:right="119" w:firstLine="0"/>
      <w:jc w:val="center"/>
    </w:pPr>
    <w:rPr>
      <w:b/>
      <w:noProof/>
      <w:color w:val="auto"/>
      <w:sz w:val="20"/>
    </w:rPr>
  </w:style>
  <w:style w:type="character" w:customStyle="1" w:styleId="Chart">
    <w:name w:val="Chart"/>
    <w:basedOn w:val="DefaultParagraphFont"/>
  </w:style>
  <w:style w:type="paragraph" w:customStyle="1" w:styleId="RandListLev2">
    <w:name w:val="Rand List Lev2"/>
    <w:basedOn w:val="RandListLev1"/>
    <w:pPr>
      <w:tabs>
        <w:tab w:val="clear" w:pos="754"/>
        <w:tab w:val="left" w:pos="1134"/>
      </w:tabs>
      <w:ind w:left="1134"/>
    </w:pPr>
  </w:style>
  <w:style w:type="paragraph" w:customStyle="1" w:styleId="RandListLev3">
    <w:name w:val="Rand List Lev3"/>
    <w:basedOn w:val="RandListLev2"/>
    <w:pPr>
      <w:tabs>
        <w:tab w:val="clear" w:pos="1134"/>
        <w:tab w:val="left" w:pos="1559"/>
      </w:tabs>
      <w:ind w:left="1559"/>
    </w:pPr>
  </w:style>
  <w:style w:type="paragraph" w:customStyle="1" w:styleId="RandListLev4">
    <w:name w:val="Rand List Lev4"/>
    <w:basedOn w:val="RandListLev3"/>
    <w:pPr>
      <w:tabs>
        <w:tab w:val="clear" w:pos="1559"/>
        <w:tab w:val="left" w:pos="1984"/>
      </w:tabs>
      <w:ind w:left="1984"/>
    </w:pPr>
  </w:style>
  <w:style w:type="paragraph" w:customStyle="1" w:styleId="DefListHeader">
    <w:name w:val="Def List Header"/>
    <w:basedOn w:val="Normal"/>
    <w:next w:val="Normal"/>
    <w:pPr>
      <w:keepNext/>
      <w:tabs>
        <w:tab w:val="left" w:pos="2835"/>
      </w:tabs>
      <w:spacing w:before="120" w:after="0"/>
      <w:ind w:right="720"/>
    </w:pPr>
    <w:rPr>
      <w:b/>
      <w:i/>
      <w:caps/>
      <w:noProof/>
      <w:color w:val="auto"/>
      <w:sz w:val="28"/>
    </w:rPr>
  </w:style>
  <w:style w:type="paragraph" w:customStyle="1" w:styleId="DefinitionList">
    <w:name w:val="Definition List"/>
    <w:basedOn w:val="Normal"/>
    <w:next w:val="Normal"/>
    <w:pPr>
      <w:tabs>
        <w:tab w:val="left" w:pos="2835"/>
      </w:tabs>
      <w:spacing w:before="120" w:after="0"/>
      <w:ind w:left="2835" w:right="720" w:hanging="2835"/>
    </w:pPr>
    <w:rPr>
      <w:i/>
      <w:noProof/>
      <w:color w:val="auto"/>
      <w:sz w:val="18"/>
    </w:rPr>
  </w:style>
  <w:style w:type="paragraph" w:customStyle="1" w:styleId="DocTitle">
    <w:name w:val="DocTitle"/>
    <w:basedOn w:val="Normal"/>
    <w:next w:val="MeetingInfo"/>
    <w:pPr>
      <w:spacing w:before="120" w:after="480"/>
      <w:ind w:right="720"/>
      <w:jc w:val="center"/>
    </w:pPr>
    <w:rPr>
      <w:i/>
      <w:smallCaps/>
      <w:noProof/>
      <w:color w:val="808080"/>
      <w:sz w:val="56"/>
    </w:rPr>
  </w:style>
  <w:style w:type="paragraph" w:customStyle="1" w:styleId="EndBox">
    <w:name w:val="EndBox"/>
    <w:basedOn w:val="Normal"/>
    <w:next w:val="Normal"/>
    <w:pPr>
      <w:pBdr>
        <w:left w:val="single" w:sz="6" w:space="1" w:color="auto"/>
        <w:bottom w:val="single" w:sz="6" w:space="1" w:color="auto"/>
        <w:right w:val="single" w:sz="6" w:space="1" w:color="auto"/>
      </w:pBdr>
      <w:shd w:val="pct10" w:color="auto" w:fill="auto"/>
      <w:spacing w:before="100" w:after="0"/>
      <w:ind w:right="720"/>
    </w:pPr>
    <w:rPr>
      <w:i/>
      <w:noProof/>
      <w:color w:val="auto"/>
      <w:sz w:val="18"/>
    </w:rPr>
  </w:style>
  <w:style w:type="paragraph" w:customStyle="1" w:styleId="FigInfo-P">
    <w:name w:val="FigInfo-P"/>
    <w:basedOn w:val="Normal"/>
    <w:pPr>
      <w:spacing w:before="120" w:after="0"/>
      <w:ind w:right="720"/>
    </w:pPr>
    <w:rPr>
      <w:i/>
      <w:noProof/>
      <w:color w:val="auto"/>
      <w:sz w:val="18"/>
    </w:rPr>
  </w:style>
  <w:style w:type="paragraph" w:customStyle="1" w:styleId="FigureTitle">
    <w:name w:val="Figure Title"/>
    <w:basedOn w:val="Normal"/>
    <w:pPr>
      <w:keepNext/>
      <w:spacing w:before="120" w:after="0"/>
      <w:ind w:right="720"/>
    </w:pPr>
    <w:rPr>
      <w:b/>
      <w:noProof/>
      <w:color w:val="auto"/>
      <w:sz w:val="18"/>
    </w:rPr>
  </w:style>
  <w:style w:type="character" w:customStyle="1" w:styleId="Graph">
    <w:name w:val="Graph"/>
    <w:basedOn w:val="DefaultParagraphFont"/>
  </w:style>
  <w:style w:type="character" w:customStyle="1" w:styleId="Image">
    <w:name w:val="Image"/>
    <w:basedOn w:val="DefaultParagraphFont"/>
  </w:style>
  <w:style w:type="character" w:customStyle="1" w:styleId="ItalicUnderline">
    <w:name w:val="Italic Underline"/>
    <w:rPr>
      <w:i/>
      <w:u w:val="single"/>
    </w:rPr>
  </w:style>
  <w:style w:type="paragraph" w:customStyle="1" w:styleId="ListHeader">
    <w:name w:val="List Header"/>
    <w:basedOn w:val="Normal"/>
    <w:pPr>
      <w:keepNext/>
      <w:spacing w:before="120" w:after="0"/>
      <w:ind w:right="720"/>
    </w:pPr>
    <w:rPr>
      <w:i/>
      <w:noProof/>
      <w:color w:val="auto"/>
      <w:sz w:val="18"/>
    </w:rPr>
  </w:style>
  <w:style w:type="paragraph" w:customStyle="1" w:styleId="MeetInfo">
    <w:name w:val="MeetInfo"/>
    <w:basedOn w:val="Normal"/>
    <w:next w:val="Normal"/>
    <w:pPr>
      <w:tabs>
        <w:tab w:val="left" w:pos="426"/>
      </w:tabs>
      <w:spacing w:before="60" w:after="0"/>
      <w:ind w:right="720"/>
    </w:pPr>
    <w:rPr>
      <w:i/>
      <w:noProof/>
      <w:color w:val="auto"/>
      <w:sz w:val="18"/>
    </w:rPr>
  </w:style>
  <w:style w:type="paragraph" w:customStyle="1" w:styleId="SpacePara">
    <w:name w:val="SpacePara"/>
    <w:basedOn w:val="Normal"/>
    <w:next w:val="DocTitle"/>
    <w:pPr>
      <w:spacing w:before="100" w:after="0" w:line="480" w:lineRule="auto"/>
      <w:ind w:right="720"/>
    </w:pPr>
    <w:rPr>
      <w:i/>
      <w:noProof/>
      <w:color w:val="auto"/>
      <w:sz w:val="18"/>
    </w:rPr>
  </w:style>
  <w:style w:type="character" w:customStyle="1" w:styleId="NroPara">
    <w:name w:val="NroPara"/>
    <w:basedOn w:val="DefaultParagraphFont"/>
  </w:style>
  <w:style w:type="character" w:customStyle="1" w:styleId="NumBox">
    <w:name w:val="NumBox"/>
    <w:basedOn w:val="DefaultParagraphFont"/>
  </w:style>
  <w:style w:type="character" w:customStyle="1" w:styleId="NumFigure">
    <w:name w:val="NumFigure"/>
    <w:basedOn w:val="DefaultParagraphFont"/>
  </w:style>
  <w:style w:type="character" w:customStyle="1" w:styleId="NumTable">
    <w:name w:val="NumTable"/>
    <w:basedOn w:val="DefaultParagraphFont"/>
  </w:style>
  <w:style w:type="paragraph" w:customStyle="1" w:styleId="PgBrk">
    <w:name w:val="PgBrk"/>
    <w:basedOn w:val="Normal"/>
    <w:next w:val="Heading1"/>
    <w:pPr>
      <w:pageBreakBefore/>
      <w:spacing w:before="120" w:after="0" w:line="14" w:lineRule="exact"/>
      <w:ind w:right="720"/>
    </w:pPr>
    <w:rPr>
      <w:i/>
      <w:noProof/>
      <w:color w:val="auto"/>
      <w:sz w:val="18"/>
    </w:rPr>
  </w:style>
  <w:style w:type="paragraph" w:customStyle="1" w:styleId="StartBack">
    <w:name w:val="StartBack"/>
    <w:basedOn w:val="SpacePara"/>
    <w:next w:val="Normal"/>
  </w:style>
  <w:style w:type="paragraph" w:customStyle="1" w:styleId="StartBody">
    <w:name w:val="StartBody"/>
    <w:basedOn w:val="SpacePara"/>
    <w:next w:val="Normal"/>
  </w:style>
  <w:style w:type="paragraph" w:customStyle="1" w:styleId="TBL-COLMNhd">
    <w:name w:val="TBL-COLMNhd"/>
    <w:basedOn w:val="Normal"/>
    <w:pPr>
      <w:tabs>
        <w:tab w:val="left" w:pos="-720"/>
      </w:tabs>
      <w:suppressAutoHyphens/>
      <w:spacing w:before="60" w:after="20"/>
      <w:ind w:right="720"/>
      <w:jc w:val="center"/>
    </w:pPr>
    <w:rPr>
      <w:b/>
      <w:i/>
      <w:noProof/>
      <w:color w:val="auto"/>
      <w:sz w:val="18"/>
    </w:rPr>
  </w:style>
  <w:style w:type="character" w:customStyle="1" w:styleId="Term">
    <w:name w:val="Term"/>
    <w:rPr>
      <w:b/>
    </w:rPr>
  </w:style>
  <w:style w:type="character" w:customStyle="1" w:styleId="TermHeading">
    <w:name w:val="Term Heading"/>
    <w:rPr>
      <w:b/>
    </w:rPr>
  </w:style>
  <w:style w:type="paragraph" w:customStyle="1" w:styleId="TOCRef">
    <w:name w:val="TOCRef"/>
    <w:basedOn w:val="Normal"/>
    <w:next w:val="TOC1"/>
    <w:pPr>
      <w:spacing w:before="120" w:after="0" w:line="200" w:lineRule="exact"/>
      <w:ind w:right="720"/>
      <w:jc w:val="right"/>
    </w:pPr>
    <w:rPr>
      <w:i/>
      <w:noProof/>
      <w:color w:val="auto"/>
      <w:sz w:val="18"/>
    </w:rPr>
  </w:style>
  <w:style w:type="paragraph" w:customStyle="1" w:styleId="TOCTitle">
    <w:name w:val="TOCTitle"/>
    <w:basedOn w:val="Normal"/>
    <w:next w:val="TOCRef"/>
    <w:pPr>
      <w:pBdr>
        <w:top w:val="single" w:sz="6" w:space="5" w:color="auto"/>
        <w:bottom w:val="single" w:sz="6" w:space="5" w:color="auto"/>
      </w:pBdr>
      <w:spacing w:before="600" w:after="600" w:line="360" w:lineRule="auto"/>
      <w:ind w:left="-170" w:right="-170"/>
      <w:jc w:val="center"/>
    </w:pPr>
    <w:rPr>
      <w:b/>
      <w:i/>
      <w:noProof/>
      <w:color w:val="auto"/>
      <w:sz w:val="28"/>
    </w:rPr>
  </w:style>
  <w:style w:type="character" w:customStyle="1" w:styleId="Underline">
    <w:name w:val="Underline"/>
    <w:rPr>
      <w:u w:val="single"/>
    </w:rPr>
  </w:style>
  <w:style w:type="character" w:customStyle="1" w:styleId="XReference">
    <w:name w:val="XReference"/>
    <w:rPr>
      <w:color w:val="0000FF"/>
    </w:rPr>
  </w:style>
  <w:style w:type="paragraph" w:customStyle="1" w:styleId="Format1">
    <w:name w:val="Format1"/>
    <w:basedOn w:val="Normal"/>
    <w:pPr>
      <w:spacing w:before="60" w:after="0"/>
      <w:ind w:right="720"/>
    </w:pPr>
    <w:rPr>
      <w:rFonts w:ascii="Courier New" w:hAnsi="Courier New"/>
      <w:i/>
      <w:noProof/>
      <w:color w:val="auto"/>
      <w:sz w:val="18"/>
    </w:rPr>
  </w:style>
  <w:style w:type="paragraph" w:customStyle="1" w:styleId="Format2">
    <w:name w:val="Format2"/>
    <w:basedOn w:val="Normal"/>
    <w:pPr>
      <w:spacing w:before="60" w:after="0"/>
      <w:ind w:right="720"/>
    </w:pPr>
    <w:rPr>
      <w:rFonts w:ascii="Courier New" w:hAnsi="Courier New"/>
      <w:i/>
      <w:noProof/>
      <w:color w:val="auto"/>
      <w:sz w:val="16"/>
    </w:rPr>
  </w:style>
  <w:style w:type="paragraph" w:customStyle="1" w:styleId="RightJust">
    <w:name w:val="RightJust"/>
    <w:basedOn w:val="Normal"/>
    <w:pPr>
      <w:spacing w:before="120" w:after="0"/>
      <w:ind w:right="720"/>
      <w:jc w:val="right"/>
    </w:pPr>
    <w:rPr>
      <w:i/>
      <w:noProof/>
      <w:color w:val="auto"/>
      <w:sz w:val="18"/>
    </w:rPr>
  </w:style>
  <w:style w:type="paragraph" w:customStyle="1" w:styleId="BlockQuote">
    <w:name w:val="BlockQuote"/>
    <w:basedOn w:val="Normal"/>
    <w:pPr>
      <w:spacing w:before="60" w:after="0"/>
      <w:ind w:left="284" w:right="284"/>
    </w:pPr>
    <w:rPr>
      <w:noProof/>
      <w:color w:val="auto"/>
      <w:sz w:val="18"/>
    </w:rPr>
  </w:style>
  <w:style w:type="paragraph" w:customStyle="1" w:styleId="BoxBlankLine">
    <w:name w:val="Box BlankLine"/>
    <w:basedOn w:val="BlankLine"/>
    <w:next w:val="Normal"/>
    <w:pPr>
      <w:pBdr>
        <w:left w:val="single" w:sz="6" w:space="1" w:color="auto"/>
        <w:right w:val="single" w:sz="6" w:space="1" w:color="auto"/>
      </w:pBdr>
      <w:shd w:val="pct10" w:color="auto" w:fill="auto"/>
      <w:jc w:val="both"/>
    </w:pPr>
    <w:rPr>
      <w:sz w:val="20"/>
    </w:rPr>
  </w:style>
  <w:style w:type="paragraph" w:customStyle="1" w:styleId="BoxFigCaption">
    <w:name w:val="Box FigCaption"/>
    <w:basedOn w:val="Normal"/>
    <w:pPr>
      <w:shd w:val="pct10" w:color="auto" w:fill="auto"/>
      <w:spacing w:before="100" w:after="0"/>
      <w:ind w:right="720"/>
      <w:jc w:val="both"/>
    </w:pPr>
    <w:rPr>
      <w:noProof/>
      <w:color w:val="auto"/>
      <w:sz w:val="20"/>
    </w:rPr>
  </w:style>
  <w:style w:type="paragraph" w:customStyle="1" w:styleId="BoxTableTitle">
    <w:name w:val="Box Table Title"/>
    <w:basedOn w:val="Normal"/>
    <w:pPr>
      <w:keepNext/>
      <w:pBdr>
        <w:left w:val="single" w:sz="6" w:space="1" w:color="auto"/>
        <w:right w:val="single" w:sz="6" w:space="1" w:color="auto"/>
      </w:pBdr>
      <w:shd w:val="pct10" w:color="auto" w:fill="auto"/>
      <w:spacing w:before="120" w:after="0"/>
      <w:ind w:right="720"/>
      <w:jc w:val="both"/>
    </w:pPr>
    <w:rPr>
      <w:b/>
      <w:i/>
      <w:noProof/>
      <w:color w:val="auto"/>
      <w:sz w:val="20"/>
    </w:rPr>
  </w:style>
  <w:style w:type="paragraph" w:customStyle="1" w:styleId="BoxTblEntry">
    <w:name w:val="Box TblEntry"/>
    <w:basedOn w:val="Normal"/>
    <w:pPr>
      <w:shd w:val="pct10" w:color="auto" w:fill="auto"/>
      <w:spacing w:before="120" w:after="0"/>
      <w:ind w:right="720"/>
      <w:jc w:val="both"/>
    </w:pPr>
    <w:rPr>
      <w:i/>
      <w:noProof/>
      <w:color w:val="auto"/>
      <w:sz w:val="20"/>
    </w:rPr>
  </w:style>
  <w:style w:type="character" w:customStyle="1" w:styleId="BoxFigInfo-C">
    <w:name w:val="BoxFigInfo-C"/>
    <w:basedOn w:val="DefaultParagraphFont"/>
  </w:style>
  <w:style w:type="paragraph" w:customStyle="1" w:styleId="BoxFigInfo-P">
    <w:name w:val="BoxFigInfo-P"/>
    <w:basedOn w:val="BoxText"/>
  </w:style>
  <w:style w:type="paragraph" w:customStyle="1" w:styleId="BoxFigTitle">
    <w:name w:val="BoxFigTitle"/>
    <w:basedOn w:val="BoxFigCaption"/>
    <w:pPr>
      <w:keepNext/>
    </w:pPr>
    <w:rPr>
      <w:b/>
      <w:i/>
    </w:rPr>
  </w:style>
  <w:style w:type="paragraph" w:customStyle="1" w:styleId="BoxTblColHd">
    <w:name w:val="BoxTblColHd"/>
    <w:basedOn w:val="BoxTblEntry"/>
    <w:rPr>
      <w:b/>
    </w:rPr>
  </w:style>
  <w:style w:type="paragraph" w:customStyle="1" w:styleId="DashListLev1">
    <w:name w:val="Dash List Lev1"/>
    <w:basedOn w:val="Normal"/>
    <w:pPr>
      <w:tabs>
        <w:tab w:val="num" w:pos="720"/>
      </w:tabs>
      <w:spacing w:before="100" w:after="0"/>
      <w:ind w:left="720" w:right="720" w:hanging="360"/>
    </w:pPr>
    <w:rPr>
      <w:i/>
      <w:noProof/>
      <w:color w:val="auto"/>
      <w:sz w:val="18"/>
    </w:rPr>
  </w:style>
  <w:style w:type="paragraph" w:customStyle="1" w:styleId="DashListLev2">
    <w:name w:val="Dash List Lev2"/>
    <w:basedOn w:val="DashListLev1"/>
    <w:pPr>
      <w:numPr>
        <w:numId w:val="17"/>
      </w:numPr>
      <w:tabs>
        <w:tab w:val="num" w:pos="2892"/>
      </w:tabs>
      <w:ind w:left="981" w:hanging="357"/>
    </w:pPr>
  </w:style>
  <w:style w:type="paragraph" w:customStyle="1" w:styleId="DashListLev3">
    <w:name w:val="Dash List Lev3"/>
    <w:basedOn w:val="DashListLev2"/>
    <w:pPr>
      <w:numPr>
        <w:numId w:val="16"/>
      </w:numPr>
      <w:ind w:left="1208" w:hanging="357"/>
    </w:pPr>
  </w:style>
  <w:style w:type="paragraph" w:customStyle="1" w:styleId="DashListLev4">
    <w:name w:val="Dash List Lev4"/>
    <w:basedOn w:val="DashListLev3"/>
    <w:pPr>
      <w:numPr>
        <w:numId w:val="38"/>
      </w:numPr>
      <w:ind w:left="1434" w:hanging="357"/>
    </w:pPr>
  </w:style>
  <w:style w:type="paragraph" w:styleId="EndnoteText">
    <w:name w:val="endnote text"/>
    <w:basedOn w:val="Normal"/>
    <w:semiHidden/>
    <w:pPr>
      <w:numPr>
        <w:numId w:val="37"/>
      </w:numPr>
      <w:spacing w:before="120" w:after="0"/>
      <w:ind w:left="0" w:right="720" w:firstLine="0"/>
    </w:pPr>
    <w:rPr>
      <w:i/>
      <w:noProof/>
      <w:color w:val="auto"/>
      <w:sz w:val="18"/>
    </w:rPr>
  </w:style>
  <w:style w:type="character" w:customStyle="1" w:styleId="EndnoteTextChar">
    <w:name w:val="Endnote Text Char"/>
    <w:semiHidden/>
    <w:rPr>
      <w:rFonts w:ascii="Times New Roman" w:eastAsia="Times New Roman" w:hAnsi="Times New Roman" w:cs="Times New Roman"/>
      <w:noProof/>
      <w:szCs w:val="20"/>
    </w:rPr>
  </w:style>
  <w:style w:type="character" w:customStyle="1" w:styleId="FigInfo-C">
    <w:name w:val="FigInfo-C"/>
    <w:basedOn w:val="DefaultParagraphFont"/>
  </w:style>
  <w:style w:type="paragraph" w:customStyle="1" w:styleId="ParaNote">
    <w:name w:val="Para Note"/>
    <w:basedOn w:val="Note"/>
    <w:pPr>
      <w:keepLines w:val="0"/>
      <w:pBdr>
        <w:top w:val="single" w:sz="6" w:space="3" w:color="auto" w:shadow="1"/>
        <w:left w:val="single" w:sz="6" w:space="3" w:color="auto" w:shadow="1"/>
        <w:bottom w:val="single" w:sz="6" w:space="3" w:color="auto" w:shadow="1"/>
        <w:right w:val="single" w:sz="6" w:space="3" w:color="auto" w:shadow="1"/>
      </w:pBdr>
      <w:shd w:val="pct20" w:color="auto" w:fill="auto"/>
      <w:suppressAutoHyphens/>
      <w:spacing w:before="120"/>
      <w:ind w:right="720"/>
    </w:pPr>
    <w:rPr>
      <w:rFonts w:eastAsia="Times New Roman"/>
      <w:b/>
      <w:noProof/>
      <w:sz w:val="18"/>
    </w:rPr>
  </w:style>
  <w:style w:type="character" w:customStyle="1" w:styleId="Picture">
    <w:name w:val="Picture"/>
    <w:basedOn w:val="DefaultParagraphFont"/>
  </w:style>
  <w:style w:type="paragraph" w:customStyle="1" w:styleId="PlainList1">
    <w:name w:val="PlainList 1"/>
    <w:basedOn w:val="Normal"/>
    <w:pPr>
      <w:spacing w:before="100" w:after="0"/>
      <w:ind w:right="720"/>
    </w:pPr>
    <w:rPr>
      <w:i/>
      <w:noProof/>
      <w:color w:val="auto"/>
      <w:sz w:val="18"/>
    </w:rPr>
  </w:style>
  <w:style w:type="paragraph" w:customStyle="1" w:styleId="PlainList2">
    <w:name w:val="PlainList 2"/>
    <w:basedOn w:val="PlainList1"/>
    <w:pPr>
      <w:ind w:left="567"/>
    </w:pPr>
  </w:style>
  <w:style w:type="paragraph" w:customStyle="1" w:styleId="PlainList3">
    <w:name w:val="PlainList 3"/>
    <w:basedOn w:val="PlainList2"/>
    <w:pPr>
      <w:ind w:left="1134"/>
    </w:pPr>
  </w:style>
  <w:style w:type="paragraph" w:customStyle="1" w:styleId="PlainList4">
    <w:name w:val="PlainList 4"/>
    <w:basedOn w:val="PlainList3"/>
    <w:pPr>
      <w:ind w:left="1701"/>
    </w:pPr>
  </w:style>
  <w:style w:type="character" w:customStyle="1" w:styleId="Quote1">
    <w:name w:val="Quote1"/>
    <w:rPr>
      <w:rFonts w:ascii="Times New Roman" w:hAnsi="Times New Roman"/>
      <w:i/>
      <w:sz w:val="20"/>
    </w:rPr>
  </w:style>
  <w:style w:type="character" w:customStyle="1" w:styleId="NroSeq">
    <w:name w:val="NroSeq"/>
    <w:rPr>
      <w:color w:val="0000FF"/>
    </w:rPr>
  </w:style>
  <w:style w:type="character" w:customStyle="1" w:styleId="NroTOC">
    <w:name w:val="NroTOC"/>
    <w:rPr>
      <w:color w:val="auto"/>
      <w:sz w:val="22"/>
      <w:u w:val="none"/>
      <w:vertAlign w:val="baseline"/>
    </w:rPr>
  </w:style>
  <w:style w:type="paragraph" w:customStyle="1" w:styleId="PrelimNote">
    <w:name w:val="PrelimNote"/>
    <w:basedOn w:val="Normal"/>
    <w:next w:val="Normal"/>
    <w:pPr>
      <w:spacing w:before="120" w:after="0"/>
      <w:ind w:left="709" w:right="709"/>
    </w:pPr>
    <w:rPr>
      <w:i/>
      <w:noProof/>
      <w:color w:val="auto"/>
      <w:sz w:val="18"/>
    </w:rPr>
  </w:style>
  <w:style w:type="paragraph" w:customStyle="1" w:styleId="CentredJust">
    <w:name w:val="CentredJust"/>
    <w:basedOn w:val="Normal"/>
    <w:pPr>
      <w:spacing w:before="120" w:after="0"/>
      <w:ind w:right="720"/>
      <w:jc w:val="center"/>
    </w:pPr>
    <w:rPr>
      <w:i/>
      <w:noProof/>
      <w:color w:val="auto"/>
      <w:sz w:val="18"/>
    </w:rPr>
  </w:style>
  <w:style w:type="character" w:customStyle="1" w:styleId="Subscript">
    <w:name w:val="Subscript"/>
    <w:rPr>
      <w:noProof w:val="0"/>
      <w:vertAlign w:val="subscript"/>
      <w:lang w:val="en-GB"/>
    </w:rPr>
  </w:style>
  <w:style w:type="character" w:customStyle="1" w:styleId="Superscript">
    <w:name w:val="Superscript"/>
    <w:rPr>
      <w:noProof w:val="0"/>
      <w:vertAlign w:val="superscript"/>
      <w:lang w:val="en-GB"/>
    </w:rPr>
  </w:style>
  <w:style w:type="paragraph" w:customStyle="1" w:styleId="ListDel">
    <w:name w:val="ListDel"/>
    <w:basedOn w:val="Normal"/>
    <w:next w:val="Country"/>
    <w:pPr>
      <w:spacing w:before="120" w:after="0"/>
      <w:ind w:right="720"/>
      <w:jc w:val="center"/>
    </w:pPr>
    <w:rPr>
      <w:b/>
      <w:i/>
      <w:noProof/>
      <w:color w:val="auto"/>
      <w:sz w:val="18"/>
    </w:rPr>
  </w:style>
  <w:style w:type="paragraph" w:customStyle="1" w:styleId="Country">
    <w:name w:val="Country"/>
    <w:basedOn w:val="Normal"/>
    <w:next w:val="Role"/>
    <w:pPr>
      <w:keepNext/>
      <w:spacing w:before="120" w:after="0"/>
      <w:ind w:right="720"/>
    </w:pPr>
    <w:rPr>
      <w:b/>
      <w:i/>
      <w:caps/>
      <w:noProof/>
      <w:color w:val="auto"/>
      <w:sz w:val="18"/>
    </w:rPr>
  </w:style>
  <w:style w:type="paragraph" w:customStyle="1" w:styleId="Role">
    <w:name w:val="Role"/>
    <w:basedOn w:val="Normal"/>
    <w:next w:val="Name"/>
    <w:pPr>
      <w:keepNext/>
      <w:spacing w:before="120" w:after="0"/>
      <w:ind w:right="720"/>
    </w:pPr>
    <w:rPr>
      <w:i/>
      <w:noProof/>
      <w:color w:val="auto"/>
      <w:sz w:val="18"/>
    </w:rPr>
  </w:style>
  <w:style w:type="paragraph" w:customStyle="1" w:styleId="Name">
    <w:name w:val="Name"/>
    <w:basedOn w:val="Normal"/>
    <w:pPr>
      <w:keepLines/>
      <w:spacing w:before="120" w:after="0"/>
      <w:ind w:left="284" w:right="720"/>
    </w:pPr>
    <w:rPr>
      <w:i/>
      <w:noProof/>
      <w:color w:val="auto"/>
      <w:sz w:val="18"/>
    </w:rPr>
  </w:style>
  <w:style w:type="paragraph" w:customStyle="1" w:styleId="ColumnBreak">
    <w:name w:val="ColumnBreak"/>
    <w:basedOn w:val="Normal"/>
    <w:next w:val="Normal"/>
    <w:pPr>
      <w:spacing w:before="100" w:after="0" w:line="10" w:lineRule="exact"/>
      <w:ind w:right="720"/>
    </w:pPr>
    <w:rPr>
      <w:rFonts w:ascii="Courier New" w:hAnsi="Courier New"/>
      <w:i/>
      <w:noProof/>
      <w:color w:val="auto"/>
      <w:sz w:val="18"/>
    </w:rPr>
  </w:style>
  <w:style w:type="paragraph" w:customStyle="1" w:styleId="ContBrk">
    <w:name w:val="ContBrk"/>
    <w:basedOn w:val="Normal"/>
    <w:next w:val="Normal"/>
    <w:pPr>
      <w:spacing w:before="120" w:after="0" w:line="360" w:lineRule="auto"/>
      <w:ind w:right="720"/>
    </w:pPr>
    <w:rPr>
      <w:rFonts w:ascii="Courier New" w:hAnsi="Courier New"/>
      <w:i/>
      <w:noProof/>
      <w:color w:val="auto"/>
      <w:sz w:val="18"/>
    </w:rPr>
  </w:style>
  <w:style w:type="paragraph" w:customStyle="1" w:styleId="SectionBreak">
    <w:name w:val="SectionBreak"/>
    <w:basedOn w:val="Normal"/>
    <w:next w:val="Heading1"/>
    <w:pPr>
      <w:spacing w:before="100" w:after="0" w:line="10" w:lineRule="exact"/>
      <w:ind w:right="720"/>
    </w:pPr>
    <w:rPr>
      <w:rFonts w:ascii="Courier New" w:hAnsi="Courier New"/>
      <w:i/>
      <w:noProof/>
      <w:color w:val="auto"/>
      <w:sz w:val="18"/>
    </w:rPr>
  </w:style>
  <w:style w:type="paragraph" w:customStyle="1" w:styleId="HeadingAnnex">
    <w:name w:val="Heading Annex"/>
    <w:basedOn w:val="Normal"/>
    <w:next w:val="Normal"/>
    <w:pPr>
      <w:keepNext/>
      <w:pBdr>
        <w:top w:val="single" w:sz="6" w:space="1" w:color="auto"/>
        <w:bottom w:val="single" w:sz="6" w:space="1" w:color="auto"/>
      </w:pBdr>
      <w:spacing w:before="240" w:after="0"/>
      <w:ind w:left="709" w:right="720" w:hanging="709"/>
      <w:jc w:val="center"/>
    </w:pPr>
    <w:rPr>
      <w:rFonts w:ascii="Times New Roman Bold" w:hAnsi="Times New Roman Bold"/>
      <w:b/>
      <w:i/>
      <w:caps/>
      <w:noProof/>
      <w:color w:val="auto"/>
      <w:sz w:val="24"/>
    </w:rPr>
  </w:style>
  <w:style w:type="paragraph" w:customStyle="1" w:styleId="SeqListLev1">
    <w:name w:val="Seq List Lev1"/>
    <w:basedOn w:val="Normal"/>
    <w:pPr>
      <w:numPr>
        <w:ilvl w:val="1"/>
        <w:numId w:val="13"/>
      </w:numPr>
      <w:spacing w:before="100" w:after="0"/>
      <w:ind w:right="720"/>
    </w:pPr>
    <w:rPr>
      <w:i/>
      <w:noProof/>
      <w:color w:val="auto"/>
      <w:sz w:val="18"/>
    </w:rPr>
  </w:style>
  <w:style w:type="paragraph" w:customStyle="1" w:styleId="SeqListLev2">
    <w:name w:val="Seq List Lev2"/>
    <w:basedOn w:val="SeqListLev1"/>
    <w:pPr>
      <w:numPr>
        <w:ilvl w:val="2"/>
      </w:numPr>
    </w:pPr>
  </w:style>
  <w:style w:type="paragraph" w:customStyle="1" w:styleId="SeqListLev3">
    <w:name w:val="Seq List Lev3"/>
    <w:basedOn w:val="SeqListLev2"/>
    <w:pPr>
      <w:numPr>
        <w:ilvl w:val="3"/>
      </w:numPr>
    </w:pPr>
  </w:style>
  <w:style w:type="paragraph" w:customStyle="1" w:styleId="SeqListLev4">
    <w:name w:val="Seq List Lev4"/>
    <w:basedOn w:val="SeqListLev3"/>
    <w:pPr>
      <w:numPr>
        <w:ilvl w:val="0"/>
        <w:numId w:val="0"/>
      </w:numPr>
      <w:tabs>
        <w:tab w:val="num" w:pos="567"/>
        <w:tab w:val="num" w:pos="1440"/>
        <w:tab w:val="num" w:pos="2126"/>
      </w:tabs>
      <w:ind w:left="2126" w:hanging="425"/>
    </w:pPr>
  </w:style>
  <w:style w:type="paragraph" w:customStyle="1" w:styleId="CarCar">
    <w:name w:val="Car Car"/>
    <w:basedOn w:val="Normal"/>
    <w:pPr>
      <w:numPr>
        <w:ilvl w:val="2"/>
        <w:numId w:val="35"/>
      </w:numPr>
      <w:tabs>
        <w:tab w:val="num" w:pos="805"/>
      </w:tabs>
      <w:spacing w:before="100" w:after="160" w:line="240" w:lineRule="exact"/>
      <w:ind w:left="0" w:right="720" w:firstLine="0"/>
    </w:pPr>
    <w:rPr>
      <w:rFonts w:ascii="Tahoma" w:eastAsia="MS Mincho" w:hAnsi="Tahoma"/>
      <w:i/>
      <w:color w:val="auto"/>
      <w:sz w:val="20"/>
      <w:lang w:val="en-US"/>
    </w:rPr>
  </w:style>
  <w:style w:type="paragraph" w:customStyle="1" w:styleId="ListParagraph12">
    <w:name w:val="List Paragraph12"/>
    <w:basedOn w:val="Normal"/>
    <w:qFormat/>
    <w:pPr>
      <w:spacing w:before="100" w:after="100"/>
      <w:ind w:left="720" w:right="720"/>
    </w:pPr>
    <w:rPr>
      <w:rFonts w:eastAsia="Calibri"/>
      <w:i/>
      <w:color w:val="auto"/>
      <w:sz w:val="24"/>
    </w:rPr>
  </w:style>
  <w:style w:type="paragraph" w:customStyle="1" w:styleId="CharChar">
    <w:name w:val="(文字) (文字) Char (文字) (文字) Char"/>
    <w:basedOn w:val="Normal"/>
    <w:pPr>
      <w:tabs>
        <w:tab w:val="num" w:pos="2160"/>
      </w:tabs>
      <w:spacing w:before="100" w:after="160" w:line="240" w:lineRule="exact"/>
      <w:ind w:right="720"/>
    </w:pPr>
    <w:rPr>
      <w:rFonts w:ascii="Tahoma" w:eastAsia="MS Mincho" w:hAnsi="Tahoma"/>
      <w:i/>
      <w:color w:val="auto"/>
      <w:sz w:val="20"/>
      <w:lang w:val="en-US"/>
    </w:rPr>
  </w:style>
  <w:style w:type="paragraph" w:customStyle="1" w:styleId="IPPBullet2">
    <w:name w:val="IPP Bullet2"/>
    <w:basedOn w:val="IPPNormal"/>
    <w:next w:val="IPPBullet1"/>
    <w:qFormat/>
    <w:pPr>
      <w:numPr>
        <w:numId w:val="0"/>
      </w:numPr>
      <w:tabs>
        <w:tab w:val="left" w:pos="567"/>
      </w:tabs>
      <w:spacing w:after="60"/>
      <w:ind w:left="720" w:hanging="360"/>
    </w:pPr>
  </w:style>
  <w:style w:type="paragraph" w:customStyle="1" w:styleId="IPPNormal">
    <w:name w:val="IPP Normal"/>
    <w:basedOn w:val="Normal"/>
    <w:qFormat/>
    <w:pPr>
      <w:numPr>
        <w:numId w:val="39"/>
      </w:numPr>
      <w:spacing w:before="100" w:after="180"/>
      <w:ind w:left="0" w:right="720" w:firstLine="0"/>
      <w:jc w:val="both"/>
    </w:pPr>
    <w:rPr>
      <w:rFonts w:eastAsia="Times"/>
      <w:i/>
      <w:color w:val="auto"/>
      <w:sz w:val="18"/>
    </w:rPr>
  </w:style>
  <w:style w:type="paragraph" w:customStyle="1" w:styleId="IPPBullet1">
    <w:name w:val="IPP Bullet1"/>
    <w:basedOn w:val="Normal"/>
    <w:qFormat/>
    <w:pPr>
      <w:numPr>
        <w:numId w:val="22"/>
      </w:numPr>
      <w:spacing w:before="100" w:after="60"/>
      <w:ind w:right="720"/>
      <w:jc w:val="both"/>
    </w:pPr>
    <w:rPr>
      <w:rFonts w:eastAsia="Times"/>
      <w:i/>
      <w:color w:val="auto"/>
      <w:sz w:val="18"/>
    </w:rPr>
  </w:style>
  <w:style w:type="paragraph" w:customStyle="1" w:styleId="IPPTitle16ptIndent">
    <w:name w:val="IPP Title16pt Indent"/>
    <w:basedOn w:val="Normal"/>
    <w:qFormat/>
    <w:pPr>
      <w:spacing w:before="100" w:after="720"/>
      <w:ind w:left="1701" w:right="1701"/>
      <w:jc w:val="center"/>
    </w:pPr>
    <w:rPr>
      <w:rFonts w:ascii="Arial" w:hAnsi="Arial"/>
      <w:b/>
      <w:i/>
      <w:color w:val="auto"/>
      <w:sz w:val="32"/>
    </w:rPr>
  </w:style>
  <w:style w:type="paragraph" w:customStyle="1" w:styleId="IPPHeadSection">
    <w:name w:val="IPP HeadSection"/>
    <w:basedOn w:val="Normal"/>
    <w:next w:val="Normal"/>
    <w:qFormat/>
    <w:pPr>
      <w:keepNext/>
      <w:numPr>
        <w:numId w:val="41"/>
      </w:numPr>
      <w:tabs>
        <w:tab w:val="left" w:pos="851"/>
      </w:tabs>
      <w:spacing w:before="360" w:after="120"/>
      <w:ind w:left="851" w:right="720" w:hanging="851"/>
      <w:jc w:val="both"/>
      <w:outlineLvl w:val="0"/>
    </w:pPr>
    <w:rPr>
      <w:rFonts w:eastAsia="Times"/>
      <w:b/>
      <w:i/>
      <w:caps/>
      <w:color w:val="auto"/>
      <w:sz w:val="24"/>
    </w:rPr>
  </w:style>
  <w:style w:type="paragraph" w:customStyle="1" w:styleId="IPPHeading1">
    <w:name w:val="IPP Heading1"/>
    <w:basedOn w:val="IPPNormal"/>
    <w:next w:val="IPPNormal"/>
    <w:qFormat/>
    <w:pPr>
      <w:keepNext/>
      <w:tabs>
        <w:tab w:val="left" w:pos="567"/>
      </w:tabs>
      <w:spacing w:before="240" w:after="120"/>
      <w:ind w:left="567" w:hanging="567"/>
      <w:jc w:val="left"/>
      <w:outlineLvl w:val="1"/>
    </w:pPr>
    <w:rPr>
      <w:b/>
      <w:sz w:val="24"/>
    </w:rPr>
  </w:style>
  <w:style w:type="paragraph" w:customStyle="1" w:styleId="IPPSubhead">
    <w:name w:val="IPP Subhead"/>
    <w:basedOn w:val="Normal"/>
    <w:qFormat/>
    <w:pPr>
      <w:keepNext/>
      <w:spacing w:before="100" w:after="0"/>
      <w:ind w:left="567" w:right="720" w:hanging="567"/>
    </w:pPr>
    <w:rPr>
      <w:b/>
      <w:i/>
      <w:color w:val="auto"/>
      <w:sz w:val="18"/>
    </w:rPr>
  </w:style>
  <w:style w:type="paragraph" w:customStyle="1" w:styleId="IPPBullet1Last">
    <w:name w:val="IPP Bullet1Last"/>
    <w:basedOn w:val="IPPNormal"/>
    <w:next w:val="IPPBullet1"/>
    <w:qFormat/>
    <w:pPr>
      <w:numPr>
        <w:numId w:val="20"/>
      </w:numPr>
      <w:tabs>
        <w:tab w:val="num" w:pos="360"/>
      </w:tabs>
      <w:ind w:left="360"/>
    </w:pPr>
    <w:rPr>
      <w:lang w:val="en-US"/>
    </w:rPr>
  </w:style>
  <w:style w:type="paragraph" w:customStyle="1" w:styleId="IPPTitle16pt">
    <w:name w:val="IPP Title16pt"/>
    <w:basedOn w:val="Normal"/>
    <w:qFormat/>
    <w:pPr>
      <w:spacing w:before="100" w:after="720"/>
      <w:ind w:left="1701" w:right="1701"/>
      <w:jc w:val="center"/>
    </w:pPr>
    <w:rPr>
      <w:rFonts w:ascii="Arial" w:hAnsi="Arial"/>
      <w:b/>
      <w:i/>
      <w:color w:val="auto"/>
      <w:sz w:val="32"/>
    </w:rPr>
  </w:style>
  <w:style w:type="paragraph" w:customStyle="1" w:styleId="IPPTitle18pt">
    <w:name w:val="IPP Title18pt"/>
    <w:basedOn w:val="Normal"/>
    <w:qFormat/>
    <w:pPr>
      <w:spacing w:before="100" w:after="360"/>
      <w:ind w:right="720"/>
      <w:jc w:val="center"/>
    </w:pPr>
    <w:rPr>
      <w:rFonts w:ascii="Arial" w:hAnsi="Arial"/>
      <w:b/>
      <w:i/>
      <w:color w:val="auto"/>
      <w:sz w:val="36"/>
    </w:rPr>
  </w:style>
  <w:style w:type="paragraph" w:customStyle="1" w:styleId="IPPAnnexHead">
    <w:name w:val="IPP AnnexHead"/>
    <w:basedOn w:val="IPPNormal"/>
    <w:next w:val="IPPNormal"/>
    <w:qFormat/>
    <w:pPr>
      <w:keepNext/>
      <w:numPr>
        <w:numId w:val="42"/>
      </w:numPr>
      <w:tabs>
        <w:tab w:val="left" w:pos="567"/>
      </w:tabs>
      <w:spacing w:before="120"/>
      <w:ind w:left="0" w:firstLine="0"/>
      <w:jc w:val="left"/>
      <w:outlineLvl w:val="1"/>
    </w:pPr>
    <w:rPr>
      <w:b/>
      <w:sz w:val="24"/>
    </w:rPr>
  </w:style>
  <w:style w:type="paragraph" w:customStyle="1" w:styleId="IPPNormalCloseSpace">
    <w:name w:val="IPP NormalCloseSpace"/>
    <w:basedOn w:val="Normal"/>
    <w:qFormat/>
    <w:pPr>
      <w:keepNext/>
      <w:numPr>
        <w:numId w:val="40"/>
      </w:numPr>
      <w:spacing w:before="100" w:after="60"/>
      <w:ind w:left="0" w:right="720" w:firstLine="0"/>
      <w:jc w:val="both"/>
    </w:pPr>
    <w:rPr>
      <w:i/>
      <w:color w:val="auto"/>
      <w:sz w:val="18"/>
    </w:rPr>
  </w:style>
  <w:style w:type="paragraph" w:customStyle="1" w:styleId="IPPHeading2">
    <w:name w:val="IPP Heading2"/>
    <w:basedOn w:val="IPPNormal"/>
    <w:next w:val="IPPNormal"/>
    <w:qFormat/>
    <w:pPr>
      <w:keepNext/>
      <w:tabs>
        <w:tab w:val="left" w:pos="567"/>
      </w:tabs>
      <w:spacing w:before="120" w:after="120"/>
      <w:ind w:left="567" w:hanging="567"/>
      <w:jc w:val="left"/>
      <w:outlineLvl w:val="2"/>
    </w:pPr>
    <w:rPr>
      <w:b/>
      <w:sz w:val="24"/>
    </w:rPr>
  </w:style>
  <w:style w:type="paragraph" w:customStyle="1" w:styleId="IPPReferences">
    <w:name w:val="IPP References"/>
    <w:basedOn w:val="IPPNormal"/>
    <w:qFormat/>
    <w:pPr>
      <w:spacing w:after="60"/>
      <w:ind w:left="567" w:hanging="567"/>
    </w:pPr>
  </w:style>
  <w:style w:type="paragraph" w:customStyle="1" w:styleId="IPPArial">
    <w:name w:val="IPP Arial"/>
    <w:basedOn w:val="IPPNormal"/>
    <w:qFormat/>
    <w:pPr>
      <w:spacing w:after="0"/>
    </w:pPr>
    <w:rPr>
      <w:rFonts w:ascii="Arial" w:hAnsi="Arial"/>
    </w:rPr>
  </w:style>
  <w:style w:type="paragraph" w:customStyle="1" w:styleId="IPPArialTable">
    <w:name w:val="IPP Arial Table"/>
    <w:basedOn w:val="IPPArial"/>
    <w:qFormat/>
    <w:pPr>
      <w:spacing w:before="60" w:after="60"/>
      <w:jc w:val="left"/>
    </w:pPr>
  </w:style>
  <w:style w:type="paragraph" w:customStyle="1" w:styleId="IPPSubheadSpace">
    <w:name w:val="IPP Subhead Space"/>
    <w:basedOn w:val="IPPSubhead"/>
    <w:qFormat/>
    <w:pPr>
      <w:tabs>
        <w:tab w:val="left" w:pos="567"/>
      </w:tabs>
      <w:spacing w:before="60" w:after="60"/>
    </w:pPr>
  </w:style>
  <w:style w:type="paragraph" w:customStyle="1" w:styleId="IPPNumberedList">
    <w:name w:val="IPP NumberedList"/>
    <w:basedOn w:val="IPPBullet1"/>
    <w:qFormat/>
    <w:pPr>
      <w:numPr>
        <w:numId w:val="0"/>
      </w:numPr>
      <w:ind w:left="720" w:hanging="360"/>
    </w:pPr>
  </w:style>
  <w:style w:type="paragraph" w:customStyle="1" w:styleId="IPPNumberedListLast0">
    <w:name w:val="IPP NumberedListLast"/>
    <w:basedOn w:val="IPPNumberedList"/>
    <w:qFormat/>
    <w:pPr>
      <w:spacing w:after="180"/>
    </w:pPr>
  </w:style>
  <w:style w:type="paragraph" w:customStyle="1" w:styleId="IPPHdg1Num">
    <w:name w:val="IPP Hdg1Num"/>
    <w:basedOn w:val="IPPNormal"/>
    <w:next w:val="IPPNormal"/>
    <w:qFormat/>
    <w:pPr>
      <w:keepNext/>
      <w:tabs>
        <w:tab w:val="num" w:pos="0"/>
        <w:tab w:val="left" w:pos="567"/>
      </w:tabs>
      <w:spacing w:before="240" w:after="120"/>
      <w:ind w:hanging="482"/>
      <w:outlineLvl w:val="1"/>
    </w:pPr>
    <w:rPr>
      <w:b/>
      <w:sz w:val="24"/>
    </w:rPr>
  </w:style>
  <w:style w:type="paragraph" w:customStyle="1" w:styleId="IPPNumberedList0">
    <w:name w:val="IPPNumberedList"/>
    <w:basedOn w:val="IPPBullet1"/>
    <w:qFormat/>
    <w:pPr>
      <w:numPr>
        <w:numId w:val="0"/>
      </w:numPr>
      <w:tabs>
        <w:tab w:val="num" w:pos="720"/>
      </w:tabs>
      <w:ind w:left="720" w:hanging="360"/>
    </w:pPr>
  </w:style>
  <w:style w:type="paragraph" w:customStyle="1" w:styleId="IPPLetterList">
    <w:name w:val="IPP LetterList"/>
    <w:basedOn w:val="IPPBullet2"/>
    <w:qFormat/>
    <w:pPr>
      <w:numPr>
        <w:numId w:val="24"/>
      </w:numPr>
      <w:jc w:val="left"/>
    </w:pPr>
  </w:style>
  <w:style w:type="paragraph" w:customStyle="1" w:styleId="IPPSubheadSpace3">
    <w:name w:val="IPP Subhead Space3"/>
    <w:basedOn w:val="IPPSubhead"/>
    <w:qFormat/>
    <w:pPr>
      <w:spacing w:before="60" w:after="60"/>
    </w:pPr>
  </w:style>
  <w:style w:type="paragraph" w:customStyle="1" w:styleId="font1">
    <w:name w:val="font1"/>
    <w:basedOn w:val="Normal"/>
    <w:pPr>
      <w:spacing w:before="100" w:after="100"/>
      <w:ind w:right="720"/>
    </w:pPr>
    <w:rPr>
      <w:rFonts w:ascii="Arial" w:hAnsi="Arial"/>
      <w:i/>
      <w:color w:val="auto"/>
      <w:sz w:val="20"/>
      <w:lang w:val="en-US"/>
    </w:rPr>
  </w:style>
  <w:style w:type="paragraph" w:customStyle="1" w:styleId="Contents">
    <w:name w:val="Contents"/>
    <w:pPr>
      <w:tabs>
        <w:tab w:val="left" w:pos="-1440"/>
        <w:tab w:val="left" w:pos="-720"/>
        <w:tab w:val="left" w:pos="0"/>
        <w:tab w:val="left" w:pos="835"/>
        <w:tab w:val="left" w:pos="1392"/>
      </w:tabs>
      <w:suppressAutoHyphens/>
      <w:jc w:val="both"/>
    </w:pPr>
    <w:rPr>
      <w:rFonts w:ascii="Courier" w:hAnsi="Courier"/>
      <w:spacing w:val="-3"/>
      <w:sz w:val="24"/>
      <w:lang w:val="en-GB" w:eastAsia="ko-KR"/>
    </w:rPr>
  </w:style>
  <w:style w:type="paragraph" w:customStyle="1" w:styleId="IPPQuote">
    <w:name w:val="IPP Quote"/>
    <w:basedOn w:val="IPPNormal"/>
    <w:qFormat/>
    <w:pPr>
      <w:ind w:left="851" w:right="851"/>
    </w:pPr>
    <w:rPr>
      <w:sz w:val="19"/>
    </w:rPr>
  </w:style>
  <w:style w:type="character" w:customStyle="1" w:styleId="NewParaChar">
    <w:name w:val="NewPara Char"/>
    <w:rPr>
      <w:rFonts w:ascii="Times New Roman" w:eastAsia="Times New Roman" w:hAnsi="Times New Roman" w:cs="Times New Roman"/>
      <w:noProof/>
      <w:szCs w:val="20"/>
    </w:rPr>
  </w:style>
  <w:style w:type="paragraph" w:customStyle="1" w:styleId="IPPHeading1Appendix">
    <w:name w:val="IPP Heading1 Appendix"/>
    <w:basedOn w:val="IPPHeading1"/>
    <w:qFormat/>
    <w:pPr>
      <w:ind w:left="720" w:hanging="360"/>
      <w:outlineLvl w:val="9"/>
    </w:pPr>
  </w:style>
  <w:style w:type="paragraph" w:customStyle="1" w:styleId="IPPHeadSectionAppendix">
    <w:name w:val="IPP HeadSection Appendix"/>
    <w:basedOn w:val="IPPHeadSection"/>
    <w:qFormat/>
    <w:pPr>
      <w:ind w:left="720" w:hanging="360"/>
      <w:outlineLvl w:val="9"/>
    </w:pPr>
  </w:style>
  <w:style w:type="paragraph" w:customStyle="1" w:styleId="IPPHeading2Appendix">
    <w:name w:val="IPP Heading2 Appendix"/>
    <w:basedOn w:val="IPPHeading2"/>
    <w:qFormat/>
    <w:pPr>
      <w:tabs>
        <w:tab w:val="left" w:pos="851"/>
        <w:tab w:val="left" w:pos="1134"/>
      </w:tabs>
      <w:ind w:left="720" w:hanging="360"/>
      <w:outlineLvl w:val="9"/>
    </w:pPr>
  </w:style>
  <w:style w:type="paragraph" w:customStyle="1" w:styleId="IPPAnnexHeadAppendix">
    <w:name w:val="IPP AnnexHead Appendix"/>
    <w:basedOn w:val="IPPAnnexHead"/>
    <w:qFormat/>
    <w:pPr>
      <w:numPr>
        <w:numId w:val="25"/>
      </w:numPr>
      <w:tabs>
        <w:tab w:val="clear" w:pos="567"/>
        <w:tab w:val="num" w:pos="1440"/>
      </w:tabs>
      <w:ind w:left="1440"/>
      <w:outlineLvl w:val="9"/>
    </w:pPr>
  </w:style>
  <w:style w:type="paragraph" w:customStyle="1" w:styleId="IPPIndent">
    <w:name w:val="IPP Indent"/>
    <w:basedOn w:val="Normal"/>
    <w:qFormat/>
    <w:pPr>
      <w:tabs>
        <w:tab w:val="left" w:pos="2835"/>
      </w:tabs>
      <w:spacing w:before="100" w:after="180"/>
      <w:ind w:left="567" w:right="720"/>
      <w:jc w:val="both"/>
    </w:pPr>
    <w:rPr>
      <w:rFonts w:eastAsia="Times"/>
      <w:i/>
      <w:color w:val="auto"/>
      <w:sz w:val="18"/>
    </w:rPr>
  </w:style>
  <w:style w:type="paragraph" w:customStyle="1" w:styleId="FooterLandscape">
    <w:name w:val="FooterLandscape"/>
    <w:basedOn w:val="Footer"/>
    <w:qFormat/>
    <w:pPr>
      <w:tabs>
        <w:tab w:val="clear" w:pos="4320"/>
        <w:tab w:val="clear" w:pos="8640"/>
        <w:tab w:val="right" w:pos="13892"/>
      </w:tabs>
      <w:spacing w:before="100" w:after="0"/>
      <w:ind w:right="720"/>
    </w:pPr>
    <w:rPr>
      <w:rFonts w:ascii="Arial" w:eastAsia="Times" w:hAnsi="Arial"/>
      <w:i/>
      <w:color w:val="auto"/>
      <w:sz w:val="18"/>
    </w:rPr>
  </w:style>
  <w:style w:type="paragraph" w:customStyle="1" w:styleId="IPPNumberClose">
    <w:name w:val="IPP NumberClose"/>
    <w:basedOn w:val="IPPNumber"/>
    <w:qFormat/>
    <w:pPr>
      <w:keepNext/>
      <w:spacing w:after="60"/>
    </w:pPr>
  </w:style>
  <w:style w:type="paragraph" w:customStyle="1" w:styleId="IPPNumber">
    <w:name w:val="IPP Number"/>
    <w:basedOn w:val="IPPNormal"/>
    <w:qFormat/>
    <w:pPr>
      <w:numPr>
        <w:numId w:val="0"/>
      </w:numPr>
      <w:tabs>
        <w:tab w:val="num" w:pos="720"/>
        <w:tab w:val="num" w:pos="2892"/>
      </w:tabs>
      <w:ind w:left="2892" w:hanging="579"/>
    </w:pPr>
  </w:style>
  <w:style w:type="paragraph" w:customStyle="1" w:styleId="IPPNumberedListLast">
    <w:name w:val="IPPNumberedListLast"/>
    <w:basedOn w:val="IPPNumberedList0"/>
    <w:qFormat/>
    <w:pPr>
      <w:numPr>
        <w:numId w:val="43"/>
      </w:numPr>
      <w:tabs>
        <w:tab w:val="num" w:pos="680"/>
      </w:tabs>
      <w:spacing w:after="180"/>
      <w:ind w:left="680" w:hanging="680"/>
    </w:pPr>
  </w:style>
  <w:style w:type="paragraph" w:customStyle="1" w:styleId="Comments">
    <w:name w:val="Comments"/>
    <w:basedOn w:val="Normal"/>
    <w:pPr>
      <w:spacing w:before="100" w:after="0"/>
      <w:ind w:left="284" w:right="720" w:hanging="284"/>
      <w:jc w:val="both"/>
    </w:pPr>
    <w:rPr>
      <w:i/>
      <w:color w:val="auto"/>
      <w:sz w:val="18"/>
    </w:rPr>
  </w:style>
  <w:style w:type="paragraph" w:customStyle="1" w:styleId="Indent1">
    <w:name w:val="Indent 1"/>
    <w:basedOn w:val="Normal"/>
    <w:qFormat/>
    <w:pPr>
      <w:spacing w:before="100" w:after="60"/>
      <w:ind w:left="567" w:right="720"/>
    </w:pPr>
    <w:rPr>
      <w:rFonts w:ascii="Georgia" w:eastAsia="Times" w:hAnsi="Georgia"/>
      <w:i/>
      <w:color w:val="auto"/>
      <w:sz w:val="18"/>
      <w:lang w:val="en-AU"/>
    </w:rPr>
  </w:style>
  <w:style w:type="paragraph" w:customStyle="1" w:styleId="Subhead">
    <w:name w:val="Subhead"/>
    <w:basedOn w:val="Normal"/>
    <w:qFormat/>
    <w:pPr>
      <w:keepNext/>
      <w:spacing w:before="120" w:after="60"/>
      <w:ind w:right="720"/>
    </w:pPr>
    <w:rPr>
      <w:rFonts w:ascii="Georgia" w:eastAsia="Times" w:hAnsi="Georgia"/>
      <w:b/>
      <w:i/>
      <w:color w:val="auto"/>
      <w:sz w:val="19"/>
      <w:lang w:val="en-AU"/>
    </w:rPr>
  </w:style>
  <w:style w:type="paragraph" w:customStyle="1" w:styleId="IPPNumberSubhead">
    <w:name w:val="IPP NumberSubhead"/>
    <w:basedOn w:val="IPPNumber"/>
    <w:qFormat/>
    <w:pPr>
      <w:keepNext/>
      <w:numPr>
        <w:numId w:val="44"/>
      </w:numPr>
      <w:tabs>
        <w:tab w:val="num" w:pos="567"/>
      </w:tabs>
      <w:spacing w:after="60"/>
      <w:ind w:firstLine="0"/>
    </w:pPr>
    <w:rPr>
      <w:b/>
    </w:rPr>
  </w:style>
  <w:style w:type="paragraph" w:customStyle="1" w:styleId="IPPSubheadNumber">
    <w:name w:val="IPP SubheadNumber"/>
    <w:basedOn w:val="IPPSubhead"/>
    <w:qFormat/>
    <w:pPr>
      <w:numPr>
        <w:numId w:val="27"/>
      </w:numPr>
      <w:tabs>
        <w:tab w:val="num" w:pos="720"/>
      </w:tabs>
      <w:ind w:left="720"/>
    </w:pPr>
  </w:style>
  <w:style w:type="paragraph" w:customStyle="1" w:styleId="IPPLetterListIndent">
    <w:name w:val="IPP LetterList Indent"/>
    <w:basedOn w:val="IPPLetterList"/>
    <w:qFormat/>
    <w:pPr>
      <w:numPr>
        <w:numId w:val="28"/>
      </w:numPr>
      <w:tabs>
        <w:tab w:val="clear" w:pos="567"/>
        <w:tab w:val="num" w:pos="720"/>
      </w:tabs>
      <w:ind w:left="720"/>
    </w:pPr>
  </w:style>
  <w:style w:type="paragraph" w:customStyle="1" w:styleId="IPPSubheadSpaceAfter">
    <w:name w:val="IPP Subhead SpaceAfter"/>
    <w:basedOn w:val="IPPSubhead"/>
    <w:qFormat/>
    <w:pPr>
      <w:spacing w:after="60"/>
    </w:pPr>
  </w:style>
  <w:style w:type="paragraph" w:customStyle="1" w:styleId="IPPArialFootnote">
    <w:name w:val="IPP Arial Footnote"/>
    <w:basedOn w:val="IPPArialTable"/>
    <w:qFormat/>
    <w:pPr>
      <w:tabs>
        <w:tab w:val="left" w:pos="567"/>
      </w:tabs>
      <w:ind w:left="567" w:hanging="567"/>
    </w:pPr>
    <w:rPr>
      <w:sz w:val="16"/>
    </w:rPr>
  </w:style>
  <w:style w:type="paragraph" w:customStyle="1" w:styleId="IPPContentsHead">
    <w:name w:val="IPP ContentsHead"/>
    <w:basedOn w:val="IPPSubhead"/>
    <w:next w:val="IPPNormal"/>
    <w:qFormat/>
    <w:pPr>
      <w:spacing w:after="240"/>
    </w:pPr>
    <w:rPr>
      <w:sz w:val="24"/>
    </w:rPr>
  </w:style>
  <w:style w:type="paragraph" w:customStyle="1" w:styleId="IPPNumberedListArial">
    <w:name w:val="IPP NumberedListArial"/>
    <w:basedOn w:val="IPPNumberedList"/>
    <w:qFormat/>
    <w:pPr>
      <w:numPr>
        <w:numId w:val="45"/>
      </w:numPr>
      <w:tabs>
        <w:tab w:val="num" w:pos="567"/>
      </w:tabs>
      <w:ind w:left="567" w:hanging="567"/>
    </w:pPr>
    <w:rPr>
      <w:rFonts w:ascii="Arial" w:hAnsi="Arial"/>
    </w:rPr>
  </w:style>
  <w:style w:type="paragraph" w:customStyle="1" w:styleId="IPPIndentClose">
    <w:name w:val="IPP Indent Close"/>
    <w:basedOn w:val="IPPNormal"/>
    <w:qFormat/>
    <w:pPr>
      <w:numPr>
        <w:numId w:val="46"/>
      </w:numPr>
      <w:tabs>
        <w:tab w:val="left" w:pos="2835"/>
      </w:tabs>
      <w:spacing w:after="60"/>
      <w:ind w:left="567" w:firstLine="0"/>
    </w:pPr>
  </w:style>
  <w:style w:type="paragraph" w:customStyle="1" w:styleId="IPPHdg2Num">
    <w:name w:val="IPP Hdg2Num"/>
    <w:basedOn w:val="IPPNormal"/>
    <w:next w:val="IPPNormal"/>
    <w:qFormat/>
    <w:pPr>
      <w:keepNext/>
      <w:tabs>
        <w:tab w:val="left" w:pos="567"/>
        <w:tab w:val="num" w:pos="680"/>
      </w:tabs>
      <w:spacing w:before="120" w:after="120"/>
      <w:ind w:left="680" w:hanging="680"/>
      <w:outlineLvl w:val="2"/>
    </w:pPr>
    <w:rPr>
      <w:b/>
      <w:sz w:val="24"/>
    </w:rPr>
  </w:style>
  <w:style w:type="character" w:customStyle="1" w:styleId="FollowedHyperlink1">
    <w:name w:val="FollowedHyperlink1"/>
    <w:rPr>
      <w:color w:val="800080"/>
      <w:u w:val="single"/>
    </w:rPr>
  </w:style>
  <w:style w:type="character" w:customStyle="1" w:styleId="txt">
    <w:name w:val="txt"/>
    <w:basedOn w:val="DefaultParagraphFont"/>
  </w:style>
  <w:style w:type="character" w:customStyle="1" w:styleId="highlight">
    <w:name w:val="highlight"/>
    <w:rPr>
      <w:rFonts w:cs="Times New Roman"/>
    </w:rPr>
  </w:style>
  <w:style w:type="paragraph" w:styleId="HTMLPreformatted">
    <w:name w:val="HTML Preformatted"/>
    <w:basedOn w:val="Normal"/>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i/>
      <w:color w:val="auto"/>
      <w:sz w:val="20"/>
    </w:rPr>
  </w:style>
  <w:style w:type="character" w:customStyle="1" w:styleId="txtboldonly">
    <w:name w:val="txtboldonly"/>
    <w:basedOn w:val="DefaultParagraphFont"/>
  </w:style>
  <w:style w:type="paragraph" w:styleId="BodyTextFirstIndent2">
    <w:name w:val="Body Text First Indent 2"/>
    <w:basedOn w:val="BodyTextIndent"/>
    <w:semiHidden/>
    <w:pPr>
      <w:spacing w:after="120" w:line="240" w:lineRule="auto"/>
      <w:ind w:left="283" w:firstLine="210"/>
    </w:pPr>
    <w:rPr>
      <w:i/>
      <w:color w:val="auto"/>
      <w:sz w:val="24"/>
      <w:lang w:val="en-US"/>
    </w:rPr>
  </w:style>
  <w:style w:type="character" w:customStyle="1" w:styleId="pagination">
    <w:name w:val="pagination"/>
    <w:basedOn w:val="DefaultParagraphFont"/>
  </w:style>
  <w:style w:type="character" w:customStyle="1" w:styleId="CarCar5">
    <w:name w:val="Car Car5"/>
    <w:rPr>
      <w:rFonts w:cs="Consolas"/>
      <w:noProof w:val="0"/>
      <w:szCs w:val="24"/>
      <w:u w:val="single"/>
      <w:lang w:val="en-US" w:eastAsia="ja-JP" w:bidi="he-IL"/>
    </w:rPr>
  </w:style>
  <w:style w:type="character" w:customStyle="1" w:styleId="CarCar4">
    <w:name w:val="Car Car4"/>
    <w:rPr>
      <w:rFonts w:eastAsia="MS Mincho" w:cs="Arial"/>
      <w:b/>
      <w:bCs/>
      <w:iCs/>
      <w:noProof w:val="0"/>
      <w:kern w:val="32"/>
      <w:sz w:val="24"/>
      <w:szCs w:val="24"/>
      <w:lang w:val="en-US" w:eastAsia="ja-JP" w:bidi="ar-SA"/>
    </w:rPr>
  </w:style>
  <w:style w:type="character" w:customStyle="1" w:styleId="CarCar3">
    <w:name w:val="Car Car3"/>
    <w:locked/>
    <w:rPr>
      <w:rFonts w:eastAsia="MS Mincho" w:cs="Arial"/>
      <w:b/>
      <w:bCs/>
      <w:i/>
      <w:iCs/>
      <w:noProof w:val="0"/>
      <w:kern w:val="32"/>
      <w:sz w:val="24"/>
      <w:szCs w:val="26"/>
      <w:lang w:val="it-IT" w:eastAsia="ja-JP" w:bidi="ar-SA"/>
    </w:rPr>
  </w:style>
  <w:style w:type="paragraph" w:customStyle="1" w:styleId="CM7">
    <w:name w:val="CM7"/>
    <w:basedOn w:val="Normal"/>
    <w:next w:val="Normal"/>
    <w:pPr>
      <w:autoSpaceDE w:val="0"/>
      <w:autoSpaceDN w:val="0"/>
      <w:adjustRightInd w:val="0"/>
      <w:spacing w:after="0" w:line="198" w:lineRule="atLeast"/>
    </w:pPr>
    <w:rPr>
      <w:rFonts w:ascii="OJFKL G+ Melior" w:eastAsia="Calibri" w:hAnsi="OJFKL G+ Melior"/>
      <w:i/>
      <w:color w:val="auto"/>
      <w:sz w:val="18"/>
      <w:lang w:val="fr-FR"/>
    </w:rPr>
  </w:style>
  <w:style w:type="paragraph" w:customStyle="1" w:styleId="mainheader">
    <w:name w:val="mainheader"/>
    <w:basedOn w:val="Normal"/>
    <w:pPr>
      <w:spacing w:before="100" w:after="100"/>
    </w:pPr>
    <w:rPr>
      <w:rFonts w:eastAsia="MS Mincho"/>
      <w:i/>
      <w:color w:val="auto"/>
      <w:sz w:val="18"/>
      <w:lang w:val="fr-FR" w:eastAsia="ja-JP"/>
    </w:rPr>
  </w:style>
  <w:style w:type="character" w:customStyle="1" w:styleId="surname">
    <w:name w:val="surname"/>
    <w:basedOn w:val="DefaultParagraphFont"/>
  </w:style>
  <w:style w:type="character" w:customStyle="1" w:styleId="CarCar7">
    <w:name w:val="Car Car7"/>
    <w:locked/>
    <w:rPr>
      <w:rFonts w:eastAsia="MS Mincho"/>
      <w:noProof w:val="0"/>
      <w:sz w:val="24"/>
      <w:szCs w:val="24"/>
      <w:lang w:val="fr-FR" w:eastAsia="ja-JP" w:bidi="ar-SA"/>
    </w:rPr>
  </w:style>
  <w:style w:type="character" w:customStyle="1" w:styleId="name0">
    <w:name w:val="name"/>
    <w:basedOn w:val="DefaultParagraphFont"/>
  </w:style>
  <w:style w:type="character" w:customStyle="1" w:styleId="forenames">
    <w:name w:val="forenames"/>
    <w:basedOn w:val="DefaultParagraphFont"/>
  </w:style>
  <w:style w:type="character" w:customStyle="1" w:styleId="txtsmall">
    <w:name w:val="txtsmall"/>
    <w:basedOn w:val="DefaultParagraphFont"/>
  </w:style>
  <w:style w:type="character" w:customStyle="1" w:styleId="mw-formatted-date">
    <w:name w:val="mw-formatted-date"/>
    <w:basedOn w:val="DefaultParagraphFont"/>
  </w:style>
  <w:style w:type="paragraph" w:customStyle="1" w:styleId="MediumGrid1-Accent22">
    <w:name w:val="Medium Grid 1 - Accent 22"/>
    <w:basedOn w:val="Normal"/>
    <w:qFormat/>
    <w:pPr>
      <w:spacing w:after="200" w:line="276" w:lineRule="auto"/>
      <w:ind w:left="720"/>
    </w:pPr>
    <w:rPr>
      <w:rFonts w:ascii="Calibri" w:eastAsia="Calibri" w:hAnsi="Calibri"/>
      <w:i/>
      <w:color w:val="auto"/>
    </w:rPr>
  </w:style>
  <w:style w:type="character" w:customStyle="1" w:styleId="CharChar3">
    <w:name w:val="Char Char3"/>
    <w:rPr>
      <w:sz w:val="22"/>
      <w:szCs w:val="22"/>
    </w:rPr>
  </w:style>
  <w:style w:type="character" w:customStyle="1" w:styleId="fm-citation-ids-label1">
    <w:name w:val="fm-citation-ids-label1"/>
    <w:rPr>
      <w:color w:val="333333"/>
    </w:rPr>
  </w:style>
  <w:style w:type="character" w:customStyle="1" w:styleId="citation-abbreviation2">
    <w:name w:val="citation-abbreviation2"/>
    <w:basedOn w:val="DefaultParagraphFont"/>
  </w:style>
  <w:style w:type="character" w:customStyle="1" w:styleId="citation-publication-date">
    <w:name w:val="citation-publication-date"/>
    <w:basedOn w:val="DefaultParagraphFont"/>
  </w:style>
  <w:style w:type="character" w:customStyle="1" w:styleId="citation-volume">
    <w:name w:val="citation-volume"/>
    <w:basedOn w:val="DefaultParagraphFont"/>
  </w:style>
  <w:style w:type="character" w:customStyle="1" w:styleId="citation-issue">
    <w:name w:val="citation-issue"/>
    <w:basedOn w:val="DefaultParagraphFont"/>
  </w:style>
  <w:style w:type="character" w:customStyle="1" w:styleId="citation-flpages">
    <w:name w:val="citation-flpages"/>
    <w:basedOn w:val="DefaultParagraphFont"/>
  </w:style>
  <w:style w:type="paragraph" w:customStyle="1" w:styleId="citation">
    <w:name w:val="citation"/>
    <w:basedOn w:val="Normal"/>
    <w:pPr>
      <w:spacing w:before="100" w:after="100"/>
    </w:pPr>
    <w:rPr>
      <w:i/>
      <w:color w:val="auto"/>
      <w:sz w:val="18"/>
    </w:rPr>
  </w:style>
  <w:style w:type="paragraph" w:customStyle="1" w:styleId="authlist">
    <w:name w:val="auth_list"/>
    <w:basedOn w:val="Normal"/>
    <w:pPr>
      <w:spacing w:before="100" w:after="100"/>
    </w:pPr>
    <w:rPr>
      <w:i/>
      <w:color w:val="auto"/>
      <w:sz w:val="18"/>
    </w:rPr>
  </w:style>
  <w:style w:type="paragraph" w:customStyle="1" w:styleId="MDthesisHeading2">
    <w:name w:val="MD thesis Heading 2"/>
    <w:basedOn w:val="Heading2"/>
    <w:next w:val="Normal"/>
    <w:autoRedefine/>
    <w:pPr>
      <w:tabs>
        <w:tab w:val="left" w:pos="709"/>
      </w:tabs>
      <w:spacing w:before="120" w:after="60" w:line="360" w:lineRule="auto"/>
      <w:ind w:left="709" w:firstLine="720"/>
    </w:pPr>
    <w:rPr>
      <w:b w:val="0"/>
      <w:i/>
      <w:snapToGrid/>
    </w:rPr>
  </w:style>
  <w:style w:type="paragraph" w:customStyle="1" w:styleId="title1">
    <w:name w:val="title1"/>
    <w:basedOn w:val="Normal"/>
    <w:pPr>
      <w:spacing w:after="0"/>
    </w:pPr>
    <w:rPr>
      <w:i/>
      <w:color w:val="auto"/>
      <w:sz w:val="29"/>
    </w:rPr>
  </w:style>
  <w:style w:type="paragraph" w:customStyle="1" w:styleId="rprtbody1">
    <w:name w:val="rprtbody1"/>
    <w:basedOn w:val="Normal"/>
    <w:pPr>
      <w:spacing w:before="34" w:after="34"/>
    </w:pPr>
    <w:rPr>
      <w:i/>
      <w:color w:val="auto"/>
      <w:sz w:val="28"/>
    </w:rPr>
  </w:style>
  <w:style w:type="paragraph" w:customStyle="1" w:styleId="aux1">
    <w:name w:val="aux1"/>
    <w:basedOn w:val="Normal"/>
    <w:pPr>
      <w:spacing w:after="0" w:line="320" w:lineRule="atLeast"/>
    </w:pPr>
    <w:rPr>
      <w:i/>
      <w:color w:val="auto"/>
      <w:sz w:val="18"/>
    </w:rPr>
  </w:style>
  <w:style w:type="character" w:customStyle="1" w:styleId="src1">
    <w:name w:val="src1"/>
    <w:rPr>
      <w:vanish w:val="0"/>
      <w:webHidden w:val="0"/>
      <w:specVanish w:val="0"/>
    </w:rPr>
  </w:style>
  <w:style w:type="character" w:customStyle="1" w:styleId="jrnl">
    <w:name w:val="jrnl"/>
    <w:basedOn w:val="DefaultParagraphFont"/>
  </w:style>
  <w:style w:type="character" w:customStyle="1" w:styleId="prevauthlinks1">
    <w:name w:val="prevauthlinks1"/>
    <w:rPr>
      <w:color w:val="C0C0C0"/>
      <w:u w:val="single"/>
    </w:rPr>
  </w:style>
  <w:style w:type="character" w:customStyle="1" w:styleId="nbapihighlight">
    <w:name w:val="nbapihighlight"/>
    <w:basedOn w:val="DefaultParagraphFont"/>
  </w:style>
  <w:style w:type="character" w:customStyle="1" w:styleId="bf">
    <w:name w:val="bf"/>
    <w:basedOn w:val="DefaultParagraphFont"/>
  </w:style>
  <w:style w:type="character" w:customStyle="1" w:styleId="it">
    <w:name w:val="it"/>
    <w:basedOn w:val="DefaultParagraphFont"/>
  </w:style>
  <w:style w:type="paragraph" w:customStyle="1" w:styleId="ptdocpara">
    <w:name w:val="ptdocpara"/>
    <w:basedOn w:val="Normal"/>
    <w:pPr>
      <w:spacing w:before="100" w:after="100"/>
    </w:pPr>
    <w:rPr>
      <w:i/>
      <w:color w:val="auto"/>
      <w:sz w:val="18"/>
    </w:rPr>
  </w:style>
  <w:style w:type="character" w:customStyle="1" w:styleId="ptdocpublication">
    <w:name w:val="ptdocpublication"/>
    <w:basedOn w:val="DefaultParagraphFont"/>
  </w:style>
  <w:style w:type="character" w:customStyle="1" w:styleId="ptdocissuevolume">
    <w:name w:val="ptdocissuevolume"/>
    <w:basedOn w:val="DefaultParagraphFont"/>
  </w:style>
  <w:style w:type="character" w:customStyle="1" w:styleId="ptdocissuedate">
    <w:name w:val="ptdocissuedate"/>
    <w:basedOn w:val="DefaultParagraphFont"/>
  </w:style>
  <w:style w:type="character" w:customStyle="1" w:styleId="ptdocissuepage">
    <w:name w:val="ptdocissuepage"/>
    <w:basedOn w:val="DefaultParagraphFont"/>
  </w:style>
  <w:style w:type="paragraph" w:customStyle="1" w:styleId="Referencetext121">
    <w:name w:val="סגנון Reference text + ‏12 נק מודגש1"/>
    <w:basedOn w:val="Normal"/>
    <w:autoRedefine/>
    <w:pPr>
      <w:spacing w:after="0" w:line="480" w:lineRule="auto"/>
      <w:jc w:val="both"/>
    </w:pPr>
    <w:rPr>
      <w:i/>
      <w:color w:val="auto"/>
      <w:sz w:val="18"/>
    </w:rPr>
  </w:style>
  <w:style w:type="paragraph" w:customStyle="1" w:styleId="10">
    <w:name w:val="סגנון כותרת 1 +"/>
    <w:basedOn w:val="Heading1"/>
    <w:pPr>
      <w:spacing w:before="240" w:after="60"/>
    </w:pPr>
    <w:rPr>
      <w:rFonts w:ascii="Arial" w:hAnsi="Arial"/>
      <w:i/>
      <w:color w:val="auto"/>
      <w:kern w:val="32"/>
      <w:sz w:val="32"/>
    </w:rPr>
  </w:style>
  <w:style w:type="paragraph" w:customStyle="1" w:styleId="14">
    <w:name w:val="אותיות גדולות 14"/>
    <w:basedOn w:val="10"/>
    <w:rPr>
      <w:b w:val="0"/>
    </w:rPr>
  </w:style>
  <w:style w:type="paragraph" w:customStyle="1" w:styleId="a3">
    <w:name w:val="טקסט מרכזי"/>
    <w:basedOn w:val="Normal"/>
    <w:pPr>
      <w:spacing w:after="0" w:line="480" w:lineRule="auto"/>
      <w:jc w:val="both"/>
    </w:pPr>
    <w:rPr>
      <w:rFonts w:ascii="Arial" w:hAnsi="Arial"/>
      <w:i/>
      <w:color w:val="auto"/>
      <w:sz w:val="18"/>
    </w:rPr>
  </w:style>
  <w:style w:type="character" w:customStyle="1" w:styleId="search1">
    <w:name w:val="search1"/>
    <w:rPr>
      <w:color w:val="228622"/>
    </w:rPr>
  </w:style>
  <w:style w:type="character" w:customStyle="1" w:styleId="style221">
    <w:name w:val="style221"/>
    <w:rPr>
      <w:color w:val="006633"/>
    </w:rPr>
  </w:style>
  <w:style w:type="character" w:customStyle="1" w:styleId="medium-normal1">
    <w:name w:val="medium-normal1"/>
    <w:rPr>
      <w:rFonts w:ascii="Arial" w:hAnsi="Arial" w:cs="Arial" w:hint="default"/>
      <w:b w:val="0"/>
      <w:bCs w:val="0"/>
      <w:i w:val="0"/>
      <w:iCs w:val="0"/>
      <w:sz w:val="20"/>
      <w:szCs w:val="20"/>
    </w:rPr>
  </w:style>
  <w:style w:type="character" w:styleId="HTMLVariable">
    <w:name w:val="HTML Variable"/>
    <w:rPr>
      <w:rFonts w:ascii="Verdana" w:hAnsi="Verdana" w:hint="default"/>
      <w:i w:val="0"/>
      <w:iCs w:val="0"/>
      <w:color w:val="000000"/>
      <w:sz w:val="20"/>
      <w:szCs w:val="20"/>
    </w:rPr>
  </w:style>
  <w:style w:type="paragraph" w:customStyle="1" w:styleId="last">
    <w:name w:val="last"/>
    <w:basedOn w:val="Normal"/>
    <w:pPr>
      <w:spacing w:before="100" w:after="100"/>
    </w:pPr>
    <w:rPr>
      <w:rFonts w:eastAsia="Calibri"/>
      <w:i/>
      <w:color w:val="auto"/>
      <w:sz w:val="18"/>
    </w:rPr>
  </w:style>
  <w:style w:type="paragraph" w:customStyle="1" w:styleId="firstlast">
    <w:name w:val="first last"/>
    <w:basedOn w:val="Normal"/>
    <w:pPr>
      <w:spacing w:before="100" w:after="100"/>
    </w:pPr>
    <w:rPr>
      <w:rFonts w:eastAsia="Calibri"/>
      <w:i/>
      <w:color w:val="auto"/>
      <w:sz w:val="18"/>
    </w:rPr>
  </w:style>
  <w:style w:type="character" w:customStyle="1" w:styleId="databold1">
    <w:name w:val="data_bold1"/>
    <w:rPr>
      <w:b/>
      <w:bCs/>
    </w:rPr>
  </w:style>
  <w:style w:type="paragraph" w:customStyle="1" w:styleId="normaltext">
    <w:name w:val="normaltext"/>
    <w:basedOn w:val="Normal"/>
    <w:pPr>
      <w:spacing w:before="120" w:after="60"/>
    </w:pPr>
    <w:rPr>
      <w:rFonts w:ascii="Arial" w:hAnsi="Arial"/>
      <w:i/>
      <w:sz w:val="20"/>
    </w:rPr>
  </w:style>
  <w:style w:type="paragraph" w:customStyle="1" w:styleId="heading10">
    <w:name w:val="heading1"/>
    <w:basedOn w:val="Normal"/>
    <w:next w:val="Normal"/>
    <w:pPr>
      <w:keepNext/>
      <w:keepLines/>
      <w:tabs>
        <w:tab w:val="left" w:pos="454"/>
      </w:tabs>
      <w:suppressAutoHyphens/>
      <w:overflowPunct w:val="0"/>
      <w:autoSpaceDE w:val="0"/>
      <w:autoSpaceDN w:val="0"/>
      <w:adjustRightInd w:val="0"/>
      <w:spacing w:before="600" w:after="320" w:line="240" w:lineRule="atLeast"/>
      <w:textAlignment w:val="baseline"/>
    </w:pPr>
    <w:rPr>
      <w:rFonts w:ascii="Times" w:hAnsi="Times"/>
      <w:b/>
      <w:i/>
      <w:color w:val="auto"/>
      <w:sz w:val="18"/>
    </w:rPr>
  </w:style>
  <w:style w:type="character" w:customStyle="1" w:styleId="heading1Carattere">
    <w:name w:val="heading1 Carattere"/>
    <w:rPr>
      <w:rFonts w:ascii="Times" w:hAnsi="Times"/>
      <w:b/>
      <w:noProof w:val="0"/>
      <w:sz w:val="24"/>
      <w:lang w:val="en-US" w:eastAsia="de-DE" w:bidi="ar-SA"/>
    </w:rPr>
  </w:style>
  <w:style w:type="paragraph" w:customStyle="1" w:styleId="literaturelist">
    <w:name w:val="literature list"/>
    <w:basedOn w:val="Normal"/>
    <w:pPr>
      <w:tabs>
        <w:tab w:val="num" w:pos="720"/>
        <w:tab w:val="left" w:pos="5760"/>
      </w:tabs>
      <w:spacing w:after="0" w:line="480" w:lineRule="auto"/>
      <w:ind w:left="720" w:right="170" w:hanging="360"/>
      <w:jc w:val="both"/>
      <w:outlineLvl w:val="0"/>
    </w:pPr>
    <w:rPr>
      <w:i/>
      <w:noProof/>
      <w:color w:val="auto"/>
      <w:sz w:val="18"/>
    </w:rPr>
  </w:style>
  <w:style w:type="character" w:customStyle="1" w:styleId="body1">
    <w:name w:val="body1"/>
    <w:rPr>
      <w:rFonts w:ascii="Verdana" w:hAnsi="Verdana" w:hint="default"/>
      <w:sz w:val="20"/>
      <w:szCs w:val="20"/>
    </w:rPr>
  </w:style>
  <w:style w:type="character" w:customStyle="1" w:styleId="bodybold1">
    <w:name w:val="bodybold1"/>
    <w:rPr>
      <w:rFonts w:ascii="Verdana" w:hAnsi="Verdana" w:hint="default"/>
      <w:b/>
      <w:bCs/>
      <w:sz w:val="20"/>
      <w:szCs w:val="20"/>
    </w:rPr>
  </w:style>
  <w:style w:type="paragraph" w:customStyle="1" w:styleId="CM1">
    <w:name w:val="CM1"/>
    <w:basedOn w:val="Default"/>
    <w:next w:val="Default"/>
    <w:pPr>
      <w:widowControl w:val="0"/>
    </w:pPr>
    <w:rPr>
      <w:color w:val="auto"/>
    </w:rPr>
  </w:style>
  <w:style w:type="paragraph" w:customStyle="1" w:styleId="CM2">
    <w:name w:val="CM2"/>
    <w:basedOn w:val="Default"/>
    <w:next w:val="Default"/>
    <w:pPr>
      <w:widowControl w:val="0"/>
      <w:spacing w:line="553" w:lineRule="atLeast"/>
    </w:pPr>
    <w:rPr>
      <w:color w:val="auto"/>
    </w:rPr>
  </w:style>
  <w:style w:type="paragraph" w:customStyle="1" w:styleId="CM27">
    <w:name w:val="CM27"/>
    <w:basedOn w:val="Default"/>
    <w:next w:val="Default"/>
    <w:pPr>
      <w:widowControl w:val="0"/>
      <w:spacing w:after="78"/>
    </w:pPr>
    <w:rPr>
      <w:color w:val="auto"/>
    </w:rPr>
  </w:style>
  <w:style w:type="paragraph" w:customStyle="1" w:styleId="CM3">
    <w:name w:val="CM3"/>
    <w:basedOn w:val="Default"/>
    <w:next w:val="Default"/>
    <w:pPr>
      <w:widowControl w:val="0"/>
      <w:numPr>
        <w:numId w:val="32"/>
      </w:numPr>
      <w:tabs>
        <w:tab w:val="clear" w:pos="720"/>
        <w:tab w:val="num" w:pos="680"/>
      </w:tabs>
      <w:spacing w:line="551" w:lineRule="atLeast"/>
      <w:ind w:left="0" w:firstLine="0"/>
    </w:pPr>
    <w:rPr>
      <w:color w:val="auto"/>
    </w:rPr>
  </w:style>
  <w:style w:type="paragraph" w:customStyle="1" w:styleId="CM28">
    <w:name w:val="CM28"/>
    <w:basedOn w:val="Default"/>
    <w:next w:val="Default"/>
    <w:pPr>
      <w:widowControl w:val="0"/>
      <w:spacing w:after="412"/>
    </w:pPr>
    <w:rPr>
      <w:color w:val="auto"/>
    </w:rPr>
  </w:style>
  <w:style w:type="paragraph" w:customStyle="1" w:styleId="CM30">
    <w:name w:val="CM30"/>
    <w:basedOn w:val="Default"/>
    <w:next w:val="Default"/>
    <w:pPr>
      <w:widowControl w:val="0"/>
      <w:spacing w:after="75"/>
    </w:pPr>
    <w:rPr>
      <w:color w:val="auto"/>
    </w:rPr>
  </w:style>
  <w:style w:type="paragraph" w:customStyle="1" w:styleId="CM10">
    <w:name w:val="CM10"/>
    <w:basedOn w:val="Default"/>
    <w:next w:val="Default"/>
    <w:pPr>
      <w:widowControl w:val="0"/>
      <w:spacing w:line="556" w:lineRule="atLeast"/>
    </w:pPr>
    <w:rPr>
      <w:color w:val="auto"/>
    </w:rPr>
  </w:style>
  <w:style w:type="paragraph" w:customStyle="1" w:styleId="CM32">
    <w:name w:val="CM32"/>
    <w:basedOn w:val="Default"/>
    <w:next w:val="Default"/>
    <w:pPr>
      <w:widowControl w:val="0"/>
      <w:spacing w:after="725"/>
    </w:pPr>
    <w:rPr>
      <w:color w:val="auto"/>
    </w:rPr>
  </w:style>
  <w:style w:type="paragraph" w:customStyle="1" w:styleId="CM33">
    <w:name w:val="CM33"/>
    <w:basedOn w:val="Default"/>
    <w:next w:val="Default"/>
    <w:pPr>
      <w:widowControl w:val="0"/>
      <w:numPr>
        <w:numId w:val="47"/>
      </w:numPr>
      <w:spacing w:after="538"/>
      <w:ind w:left="0" w:firstLine="0"/>
    </w:pPr>
    <w:rPr>
      <w:color w:val="auto"/>
    </w:rPr>
  </w:style>
  <w:style w:type="paragraph" w:customStyle="1" w:styleId="CM16">
    <w:name w:val="CM16"/>
    <w:basedOn w:val="Default"/>
    <w:next w:val="Default"/>
    <w:pPr>
      <w:widowControl w:val="0"/>
      <w:spacing w:line="553" w:lineRule="atLeast"/>
    </w:pPr>
    <w:rPr>
      <w:color w:val="auto"/>
    </w:rPr>
  </w:style>
  <w:style w:type="paragraph" w:customStyle="1" w:styleId="CM19">
    <w:name w:val="CM19"/>
    <w:basedOn w:val="Default"/>
    <w:next w:val="Default"/>
    <w:pPr>
      <w:widowControl w:val="0"/>
      <w:spacing w:line="268" w:lineRule="atLeast"/>
    </w:pPr>
    <w:rPr>
      <w:color w:val="auto"/>
    </w:rPr>
  </w:style>
  <w:style w:type="character" w:customStyle="1" w:styleId="ZchnZchn16">
    <w:name w:val="Zchn Zchn16"/>
    <w:rPr>
      <w:rFonts w:ascii="Arial" w:hAnsi="Arial" w:cs="Arial"/>
      <w:b/>
      <w:bCs/>
      <w:noProof w:val="0"/>
      <w:kern w:val="32"/>
      <w:sz w:val="32"/>
      <w:szCs w:val="32"/>
      <w:lang w:val="en-US" w:eastAsia="en-US" w:bidi="ar-SA"/>
    </w:rPr>
  </w:style>
  <w:style w:type="character" w:customStyle="1" w:styleId="ZchnZchn1">
    <w:name w:val="Zchn Zchn1"/>
    <w:rPr>
      <w:rFonts w:ascii="Cambria" w:hAnsi="Cambria"/>
      <w:b/>
      <w:bCs/>
      <w:noProof w:val="0"/>
      <w:kern w:val="28"/>
      <w:sz w:val="32"/>
      <w:szCs w:val="32"/>
      <w:lang w:val="ca-ES" w:eastAsia="en-US" w:bidi="ar-SA"/>
    </w:rPr>
  </w:style>
  <w:style w:type="paragraph" w:styleId="NoSpacing">
    <w:name w:val="No Spacing"/>
    <w:uiPriority w:val="1"/>
    <w:qFormat/>
    <w:rPr>
      <w:rFonts w:ascii="Times New Roman" w:hAnsi="Times New Roman"/>
      <w:sz w:val="24"/>
      <w:lang w:val="en-US" w:eastAsia="ko-KR"/>
    </w:rPr>
  </w:style>
  <w:style w:type="character" w:customStyle="1" w:styleId="ZchnZchn">
    <w:name w:val="Zchn Zchn"/>
    <w:rPr>
      <w:rFonts w:ascii="Calibri" w:hAnsi="Calibri"/>
      <w:noProof w:val="0"/>
      <w:lang w:val="ca-ES" w:eastAsia="en-US" w:bidi="ar-SA"/>
    </w:rPr>
  </w:style>
  <w:style w:type="paragraph" w:customStyle="1" w:styleId="references0">
    <w:name w:val="references"/>
    <w:basedOn w:val="Normal"/>
    <w:pPr>
      <w:spacing w:before="60" w:after="60"/>
      <w:ind w:left="1134" w:hanging="1134"/>
      <w:jc w:val="both"/>
    </w:pPr>
    <w:rPr>
      <w:rFonts w:ascii="Garamond" w:hAnsi="Garamond"/>
      <w:i/>
      <w:color w:val="auto"/>
      <w:sz w:val="20"/>
    </w:rPr>
  </w:style>
  <w:style w:type="paragraph" w:customStyle="1" w:styleId="refs">
    <w:name w:val="refs"/>
    <w:basedOn w:val="Normal"/>
    <w:pPr>
      <w:spacing w:before="100" w:after="100"/>
    </w:pPr>
    <w:rPr>
      <w:i/>
      <w:color w:val="auto"/>
      <w:sz w:val="18"/>
    </w:rPr>
  </w:style>
  <w:style w:type="character" w:customStyle="1" w:styleId="ital">
    <w:name w:val="ital"/>
    <w:basedOn w:val="DefaultParagraphFont"/>
  </w:style>
  <w:style w:type="paragraph" w:customStyle="1" w:styleId="Literaturverzeichnis">
    <w:name w:val="Literaturverzeichnis"/>
    <w:basedOn w:val="Normal"/>
    <w:next w:val="Normal"/>
    <w:unhideWhenUsed/>
    <w:pPr>
      <w:spacing w:after="200" w:line="276" w:lineRule="auto"/>
    </w:pPr>
    <w:rPr>
      <w:rFonts w:ascii="Calibri" w:hAnsi="Calibri"/>
      <w:i/>
      <w:color w:val="auto"/>
      <w:lang w:val="de-DE"/>
    </w:rPr>
  </w:style>
  <w:style w:type="character" w:customStyle="1" w:styleId="databold">
    <w:name w:val="data_bold"/>
    <w:basedOn w:val="DefaultParagraphFont"/>
  </w:style>
  <w:style w:type="character" w:customStyle="1" w:styleId="cmpparsedlocationcmpparsedstyle">
    <w:name w:val="cmp_parsed_location cmp_parsed_style"/>
    <w:basedOn w:val="DefaultParagraphFont"/>
  </w:style>
  <w:style w:type="paragraph" w:customStyle="1" w:styleId="MediumGrid1-Accent21">
    <w:name w:val="Medium Grid 1 - Accent 21"/>
    <w:basedOn w:val="Normal"/>
    <w:qFormat/>
    <w:pPr>
      <w:spacing w:after="200" w:line="276" w:lineRule="auto"/>
      <w:ind w:left="720"/>
    </w:pPr>
    <w:rPr>
      <w:rFonts w:ascii="Calibri" w:eastAsia="Calibri" w:hAnsi="Calibri"/>
      <w:b/>
      <w:i/>
      <w:color w:val="auto"/>
    </w:rPr>
  </w:style>
  <w:style w:type="paragraph" w:customStyle="1" w:styleId="ReferencesNIPIndia">
    <w:name w:val="References NIP India"/>
    <w:basedOn w:val="Normal"/>
    <w:qFormat/>
    <w:pPr>
      <w:spacing w:before="20" w:after="20"/>
      <w:ind w:left="709" w:right="720" w:hanging="709"/>
    </w:pPr>
    <w:rPr>
      <w:b/>
      <w:i/>
      <w:color w:val="auto"/>
      <w:sz w:val="18"/>
      <w:lang w:val="en-CA"/>
    </w:rPr>
  </w:style>
  <w:style w:type="character" w:customStyle="1" w:styleId="FootnoteTextChar">
    <w:name w:val="Footnote Text Char"/>
    <w:aliases w:val="Geneva 9 Char,Font: Geneva 9 Char,Boston 10 Char,f Char"/>
    <w:uiPriority w:val="99"/>
    <w:rPr>
      <w:sz w:val="20"/>
      <w:szCs w:val="20"/>
    </w:rPr>
  </w:style>
  <w:style w:type="character" w:customStyle="1" w:styleId="BodyTextIndent2Char">
    <w:name w:val="Body Text Indent 2 Char"/>
    <w:basedOn w:val="DefaultParagraphFont"/>
    <w:semiHidden/>
  </w:style>
  <w:style w:type="paragraph" w:customStyle="1" w:styleId="Textedebulles">
    <w:name w:val="Texte de bulles"/>
    <w:basedOn w:val="Normal"/>
    <w:semiHidden/>
    <w:pPr>
      <w:spacing w:before="100" w:after="0"/>
      <w:ind w:right="720"/>
      <w:jc w:val="both"/>
    </w:pPr>
    <w:rPr>
      <w:rFonts w:ascii="Tahoma" w:hAnsi="Tahoma"/>
      <w:color w:val="auto"/>
      <w:sz w:val="16"/>
    </w:rPr>
  </w:style>
  <w:style w:type="character" w:customStyle="1" w:styleId="CarCar2">
    <w:name w:val="Car Car2"/>
    <w:semiHidden/>
    <w:locked/>
    <w:rPr>
      <w:rFonts w:cs="MS Gothic"/>
      <w:noProof w:val="0"/>
      <w:lang w:val="en-US" w:eastAsia="ja-JP" w:bidi="he-IL"/>
    </w:rPr>
  </w:style>
  <w:style w:type="character" w:customStyle="1" w:styleId="CarCar1">
    <w:name w:val="Car Car1"/>
    <w:semiHidden/>
    <w:locked/>
    <w:rPr>
      <w:rFonts w:cs="MS Gothic"/>
      <w:noProof w:val="0"/>
      <w:lang w:val="en-US" w:eastAsia="ja-JP" w:bidi="he-IL"/>
    </w:rPr>
  </w:style>
  <w:style w:type="character" w:customStyle="1" w:styleId="CharChar4">
    <w:name w:val="Char Char4"/>
    <w:semiHidden/>
    <w:rPr>
      <w:sz w:val="22"/>
      <w:szCs w:val="22"/>
    </w:rPr>
  </w:style>
  <w:style w:type="character" w:customStyle="1" w:styleId="ZchnZchn15">
    <w:name w:val="Zchn Zchn15"/>
    <w:semiHidden/>
    <w:rPr>
      <w:rFonts w:ascii="Arial" w:hAnsi="Arial" w:cs="Arial"/>
      <w:b/>
      <w:bCs/>
      <w:i/>
      <w:iCs/>
      <w:noProof w:val="0"/>
      <w:sz w:val="28"/>
      <w:szCs w:val="28"/>
      <w:lang w:val="en-US" w:eastAsia="en-US" w:bidi="ar-SA"/>
    </w:rPr>
  </w:style>
  <w:style w:type="character" w:customStyle="1" w:styleId="ZchnZchn14">
    <w:name w:val="Zchn Zchn14"/>
    <w:semiHidden/>
    <w:rPr>
      <w:rFonts w:ascii="Arial" w:hAnsi="Arial" w:cs="Arial"/>
      <w:b/>
      <w:bCs/>
      <w:noProof w:val="0"/>
      <w:sz w:val="26"/>
      <w:szCs w:val="26"/>
      <w:lang w:val="en-US" w:eastAsia="en-US" w:bidi="ar-SA"/>
    </w:rPr>
  </w:style>
  <w:style w:type="character" w:customStyle="1" w:styleId="ZchnZchn13">
    <w:name w:val="Zchn Zchn13"/>
    <w:semiHidden/>
    <w:rPr>
      <w:rFonts w:ascii="Arial" w:hAnsi="Arial" w:cs="Arial"/>
      <w:b/>
      <w:bCs/>
      <w:noProof w:val="0"/>
      <w:sz w:val="24"/>
      <w:szCs w:val="24"/>
      <w:lang w:val="de-DE" w:eastAsia="de-DE" w:bidi="ar-SA"/>
    </w:rPr>
  </w:style>
  <w:style w:type="character" w:customStyle="1" w:styleId="ZchnZchn12">
    <w:name w:val="Zchn Zchn12"/>
    <w:semiHidden/>
    <w:rPr>
      <w:rFonts w:ascii="Arial" w:hAnsi="Arial" w:cs="Arial"/>
      <w:b/>
      <w:bCs/>
      <w:noProof w:val="0"/>
      <w:sz w:val="24"/>
      <w:szCs w:val="24"/>
      <w:lang w:val="de-DE" w:eastAsia="de-DE" w:bidi="ar-SA"/>
    </w:rPr>
  </w:style>
  <w:style w:type="character" w:customStyle="1" w:styleId="ZchnZchn11">
    <w:name w:val="Zchn Zchn11"/>
    <w:semiHidden/>
    <w:rPr>
      <w:rFonts w:ascii="Arial" w:hAnsi="Arial" w:cs="Arial"/>
      <w:b/>
      <w:bCs/>
      <w:noProof w:val="0"/>
      <w:lang w:val="de-DE" w:eastAsia="de-DE" w:bidi="ar-SA"/>
    </w:rPr>
  </w:style>
  <w:style w:type="character" w:customStyle="1" w:styleId="ZchnZchn10">
    <w:name w:val="Zchn Zchn10"/>
    <w:semiHidden/>
    <w:rPr>
      <w:rFonts w:ascii="Arial" w:hAnsi="Arial" w:cs="Arial"/>
      <w:b/>
      <w:bCs/>
      <w:noProof w:val="0"/>
      <w:sz w:val="28"/>
      <w:szCs w:val="28"/>
      <w:lang w:val="de-DE" w:eastAsia="de-DE" w:bidi="ar-SA"/>
    </w:rPr>
  </w:style>
  <w:style w:type="character" w:customStyle="1" w:styleId="ZchnZchn9">
    <w:name w:val="Zchn Zchn9"/>
    <w:semiHidden/>
    <w:rPr>
      <w:rFonts w:ascii="Arial" w:hAnsi="Arial" w:cs="Arial"/>
      <w:b/>
      <w:bCs/>
      <w:noProof w:val="0"/>
      <w:lang w:val="de-DE" w:eastAsia="de-DE" w:bidi="ar-SA"/>
    </w:rPr>
  </w:style>
  <w:style w:type="character" w:customStyle="1" w:styleId="ZchnZchn8">
    <w:name w:val="Zchn Zchn8"/>
    <w:semiHidden/>
    <w:rPr>
      <w:rFonts w:ascii="Arial" w:hAnsi="Arial" w:cs="Arial"/>
      <w:noProof w:val="0"/>
      <w:sz w:val="24"/>
      <w:szCs w:val="24"/>
      <w:lang w:val="de-DE" w:eastAsia="de-DE" w:bidi="ar-SA"/>
    </w:rPr>
  </w:style>
  <w:style w:type="character" w:customStyle="1" w:styleId="CharCharZchn">
    <w:name w:val="Char Char Zchn"/>
    <w:aliases w:val="Body Text Char Char Char Char Char Zchn,Body Text Char Char Char Char Zchn Zchn"/>
    <w:semiHidden/>
    <w:locked/>
    <w:rPr>
      <w:rFonts w:eastAsia="MS Mincho"/>
      <w:noProof w:val="0"/>
      <w:color w:val="000000"/>
      <w:sz w:val="24"/>
      <w:lang w:val="en-GB" w:eastAsia="zh-CN" w:bidi="ar-SA"/>
    </w:rPr>
  </w:style>
  <w:style w:type="character" w:customStyle="1" w:styleId="ZchnZchn4">
    <w:name w:val="Zchn Zchn4"/>
    <w:semiHidden/>
    <w:rPr>
      <w:noProof w:val="0"/>
      <w:sz w:val="24"/>
      <w:szCs w:val="24"/>
      <w:lang w:val="en-US" w:eastAsia="en-US" w:bidi="ar-SA"/>
    </w:rPr>
  </w:style>
  <w:style w:type="character" w:customStyle="1" w:styleId="ZchnZchn7">
    <w:name w:val="Zchn Zchn7"/>
    <w:semiHidden/>
    <w:rPr>
      <w:noProof w:val="0"/>
      <w:sz w:val="24"/>
      <w:szCs w:val="24"/>
      <w:lang w:val="en-US" w:eastAsia="en-US" w:bidi="ar-SA"/>
    </w:rPr>
  </w:style>
  <w:style w:type="character" w:customStyle="1" w:styleId="ZchnZchn6">
    <w:name w:val="Zchn Zchn6"/>
    <w:semiHidden/>
    <w:rPr>
      <w:rFonts w:ascii="Courier New" w:hAnsi="Courier New" w:cs="MS Gothic"/>
      <w:noProof w:val="0"/>
      <w:lang w:val="de-DE" w:eastAsia="de-DE" w:bidi="ar-SA"/>
    </w:rPr>
  </w:style>
  <w:style w:type="character" w:customStyle="1" w:styleId="ZchnZchn5">
    <w:name w:val="Zchn Zchn5"/>
    <w:semiHidden/>
    <w:rPr>
      <w:rFonts w:ascii="Arial" w:hAnsi="Arial" w:cs="Arial"/>
      <w:noProof w:val="0"/>
      <w:sz w:val="24"/>
      <w:szCs w:val="24"/>
      <w:lang w:val="de-DE" w:eastAsia="de-DE" w:bidi="ar-SA"/>
    </w:rPr>
  </w:style>
  <w:style w:type="character" w:customStyle="1" w:styleId="ZchnZchn3">
    <w:name w:val="Zchn Zchn3"/>
    <w:semiHidden/>
    <w:rPr>
      <w:rFonts w:ascii="Arial" w:hAnsi="Arial" w:cs="Arial"/>
      <w:noProof w:val="0"/>
      <w:sz w:val="24"/>
      <w:szCs w:val="24"/>
      <w:lang w:val="de-DE" w:eastAsia="de-DE" w:bidi="ar-SA"/>
    </w:rPr>
  </w:style>
  <w:style w:type="paragraph" w:customStyle="1" w:styleId="11">
    <w:name w:val="コメント内容1"/>
    <w:basedOn w:val="CommentText"/>
    <w:next w:val="CommentText"/>
    <w:semiHidden/>
    <w:pPr>
      <w:spacing w:after="0"/>
    </w:pPr>
    <w:rPr>
      <w:rFonts w:ascii="Century" w:eastAsia="MS Mincho" w:hAnsi="Century"/>
      <w:b/>
      <w:bCs/>
      <w:kern w:val="2"/>
      <w:sz w:val="24"/>
      <w:szCs w:val="24"/>
      <w:lang w:val="en-US" w:eastAsia="ja-JP"/>
    </w:rPr>
  </w:style>
  <w:style w:type="paragraph" w:customStyle="1" w:styleId="12">
    <w:name w:val="吹き出し1"/>
    <w:basedOn w:val="Normal"/>
    <w:semiHidden/>
    <w:pPr>
      <w:widowControl w:val="0"/>
      <w:spacing w:after="0"/>
      <w:jc w:val="both"/>
    </w:pPr>
    <w:rPr>
      <w:rFonts w:ascii="Arial" w:eastAsia="MS Gothic" w:hAnsi="Arial"/>
      <w:color w:val="auto"/>
      <w:kern w:val="2"/>
      <w:sz w:val="18"/>
      <w:szCs w:val="18"/>
      <w:lang w:val="en-US" w:eastAsia="ja-JP"/>
    </w:rPr>
  </w:style>
  <w:style w:type="paragraph" w:customStyle="1" w:styleId="a4">
    <w:name w:val="批注框文本"/>
    <w:basedOn w:val="Normal"/>
    <w:semiHidden/>
    <w:pPr>
      <w:widowControl w:val="0"/>
      <w:spacing w:after="0"/>
      <w:jc w:val="both"/>
    </w:pPr>
    <w:rPr>
      <w:rFonts w:eastAsia="MS Mincho"/>
      <w:color w:val="auto"/>
      <w:kern w:val="2"/>
      <w:sz w:val="18"/>
      <w:szCs w:val="18"/>
      <w:lang w:val="en-US" w:eastAsia="ja-JP"/>
    </w:rPr>
  </w:style>
  <w:style w:type="paragraph" w:customStyle="1" w:styleId="a5">
    <w:name w:val="批注主题"/>
    <w:basedOn w:val="CommentText"/>
    <w:next w:val="CommentText"/>
    <w:semiHidden/>
    <w:pPr>
      <w:spacing w:after="0"/>
    </w:pPr>
    <w:rPr>
      <w:rFonts w:ascii="Century" w:eastAsia="MS Mincho" w:hAnsi="Century"/>
      <w:b/>
      <w:bCs/>
      <w:kern w:val="2"/>
      <w:sz w:val="24"/>
      <w:szCs w:val="24"/>
      <w:lang w:val="en-US" w:eastAsia="ja-JP"/>
    </w:rPr>
  </w:style>
  <w:style w:type="paragraph" w:customStyle="1" w:styleId="Textodeglobo1">
    <w:name w:val="Texto de globo1"/>
    <w:basedOn w:val="Normal"/>
    <w:semiHidden/>
    <w:pPr>
      <w:widowControl w:val="0"/>
      <w:spacing w:after="0"/>
      <w:jc w:val="both"/>
    </w:pPr>
    <w:rPr>
      <w:rFonts w:ascii="Tahoma" w:eastAsia="MS Mincho" w:hAnsi="Tahoma" w:cs="Times New Roman Bold"/>
      <w:color w:val="auto"/>
      <w:kern w:val="2"/>
      <w:sz w:val="16"/>
      <w:szCs w:val="16"/>
      <w:lang w:val="en-US" w:eastAsia="ja-JP"/>
    </w:rPr>
  </w:style>
  <w:style w:type="paragraph" w:customStyle="1" w:styleId="a7">
    <w:name w:val="スタイル"/>
    <w:pPr>
      <w:widowControl w:val="0"/>
      <w:autoSpaceDE w:val="0"/>
      <w:autoSpaceDN w:val="0"/>
      <w:adjustRightInd w:val="0"/>
    </w:pPr>
    <w:rPr>
      <w:rFonts w:ascii="Times New Roman" w:eastAsia="MS Mincho" w:hAnsi="Times New Roman"/>
      <w:sz w:val="24"/>
      <w:szCs w:val="24"/>
      <w:lang w:val="en-US" w:eastAsia="ja-JP"/>
    </w:rPr>
  </w:style>
  <w:style w:type="paragraph" w:customStyle="1" w:styleId="BodyText12">
    <w:name w:val="Body Text12"/>
    <w:basedOn w:val="Normal"/>
    <w:rPr>
      <w:szCs w:val="24"/>
    </w:rPr>
  </w:style>
  <w:style w:type="paragraph" w:customStyle="1" w:styleId="Tableandfigureheaders">
    <w:name w:val="Table and figure headers"/>
    <w:basedOn w:val="Caption"/>
    <w:autoRedefine/>
    <w:rsid w:val="00DA0F78"/>
    <w:pPr>
      <w:keepNext/>
      <w:spacing w:after="200" w:line="240" w:lineRule="auto"/>
      <w:ind w:left="1417" w:hanging="992"/>
      <w:jc w:val="both"/>
    </w:pPr>
    <w:rPr>
      <w:b/>
      <w:bCs/>
      <w:color w:val="auto"/>
      <w:sz w:val="24"/>
      <w:szCs w:val="24"/>
      <w:lang w:eastAsia="en-US"/>
    </w:rPr>
  </w:style>
  <w:style w:type="paragraph" w:customStyle="1" w:styleId="Tableandfigfooter">
    <w:name w:val="Table and fig footer"/>
    <w:basedOn w:val="Paraindent"/>
    <w:pPr>
      <w:spacing w:before="0" w:after="0"/>
      <w:ind w:left="425" w:right="0"/>
    </w:pPr>
    <w:rPr>
      <w:rFonts w:ascii="Calibri" w:hAnsi="Calibri"/>
      <w:i w:val="0"/>
      <w:noProof/>
      <w:color w:val="auto"/>
      <w:sz w:val="18"/>
      <w:szCs w:val="22"/>
      <w:lang w:eastAsia="en-GB"/>
    </w:rPr>
  </w:style>
  <w:style w:type="character" w:customStyle="1" w:styleId="CharChar22">
    <w:name w:val="Char Char22"/>
    <w:locked/>
    <w:rPr>
      <w:b/>
      <w:bCs w:val="0"/>
      <w:noProof w:val="0"/>
      <w:color w:val="000000"/>
      <w:sz w:val="28"/>
      <w:lang w:val="en-GB" w:eastAsia="zh-CN" w:bidi="ar-SA"/>
    </w:rPr>
  </w:style>
  <w:style w:type="character" w:customStyle="1" w:styleId="CharChar12">
    <w:name w:val="Char Char12"/>
    <w:rPr>
      <w:rFonts w:ascii="Arial" w:hAnsi="Arial" w:cs="Arial" w:hint="default"/>
      <w:noProof w:val="0"/>
      <w:lang w:val="en-GB" w:eastAsia="zh-CN" w:bidi="ar-SA"/>
    </w:rPr>
  </w:style>
  <w:style w:type="character" w:customStyle="1" w:styleId="110">
    <w:name w:val="(文字) (文字)11"/>
    <w:rPr>
      <w:rFonts w:ascii="SimSun" w:eastAsia="SimSun" w:hint="eastAsia"/>
      <w:noProof w:val="0"/>
      <w:sz w:val="24"/>
      <w:szCs w:val="24"/>
      <w:lang w:val="en-US" w:eastAsia="zh-CN" w:bidi="ar-SA"/>
    </w:rPr>
  </w:style>
  <w:style w:type="character" w:customStyle="1" w:styleId="2">
    <w:name w:val="(文字) (文字)2"/>
    <w:rPr>
      <w:rFonts w:ascii="SimSun" w:eastAsia="SimSun" w:hint="eastAsia"/>
      <w:b/>
      <w:bCs/>
      <w:noProof w:val="0"/>
      <w:sz w:val="24"/>
      <w:szCs w:val="24"/>
      <w:lang w:val="en-US" w:eastAsia="en-US" w:bidi="ar-SA"/>
    </w:rPr>
  </w:style>
  <w:style w:type="character" w:customStyle="1" w:styleId="CarCar192">
    <w:name w:val="Car Car192"/>
    <w:locked/>
    <w:rPr>
      <w:rFonts w:ascii="MS Mincho" w:eastAsia="MS Mincho" w:hint="eastAsia"/>
      <w:noProof w:val="0"/>
      <w:color w:val="000000"/>
      <w:sz w:val="24"/>
      <w:szCs w:val="24"/>
      <w:lang w:val="en-GB" w:eastAsia="zh-CN" w:bidi="ar-SA"/>
    </w:rPr>
  </w:style>
  <w:style w:type="character" w:customStyle="1" w:styleId="Heading1Char3">
    <w:name w:val="Heading 1 Char3"/>
    <w:aliases w:val="Para (1) Char2,Heading 1 Char1 Char Char2,Heading 1 Char Char Char Char1,Para (1) Char Char Char Char1,Para (1) Char1 Char Char1,Heading 1 Char1 Char2,Heading 1 Char Char Char2,Para (1) Char Char Char2,Para (1) Char1 Char2"/>
    <w:rsid w:val="00F95F7D"/>
    <w:rPr>
      <w:sz w:val="28"/>
      <w:lang w:eastAsia="en-US"/>
    </w:rPr>
  </w:style>
  <w:style w:type="character" w:customStyle="1" w:styleId="Heading3Char1">
    <w:name w:val="Heading 3 Char1"/>
    <w:aliases w:val="Heading 3 Char1 Char Char,Heading 3 Char Char Char Char,Char Char Char Char Char,Char Char1 Char Char,Heading 3 Char1 Char Char1,Heading 3 Char Char Char Char1,Char Char Char Char Char1,Char Char1 Char Char1,Heading 3 Char1 Char Char11"/>
    <w:rPr>
      <w:b/>
      <w:bCs w:val="0"/>
      <w:i/>
      <w:iCs w:val="0"/>
      <w:noProof w:val="0"/>
      <w:color w:val="000000"/>
      <w:sz w:val="24"/>
      <w:lang w:val="en-GB" w:eastAsia="en-US"/>
    </w:rPr>
  </w:style>
  <w:style w:type="character" w:customStyle="1" w:styleId="Heading4Char1">
    <w:name w:val="Heading 4 Char1"/>
    <w:rPr>
      <w:b/>
      <w:bCs w:val="0"/>
      <w:i/>
      <w:iCs w:val="0"/>
      <w:noProof w:val="0"/>
      <w:snapToGrid w:val="0"/>
      <w:color w:val="000000"/>
      <w:sz w:val="24"/>
      <w:lang w:val="en-GB" w:eastAsia="zh-CN"/>
    </w:rPr>
  </w:style>
  <w:style w:type="character" w:customStyle="1" w:styleId="Heading311ptBoldChar">
    <w:name w:val="Heading 3 + 11 pt Bold Char"/>
    <w:rPr>
      <w:b/>
      <w:sz w:val="24"/>
    </w:rPr>
  </w:style>
  <w:style w:type="character" w:customStyle="1" w:styleId="A20">
    <w:name w:val="A2"/>
    <w:uiPriority w:val="99"/>
    <w:rPr>
      <w:b/>
      <w:bCs w:val="0"/>
      <w:color w:val="000000"/>
      <w:sz w:val="12"/>
    </w:rPr>
  </w:style>
  <w:style w:type="character" w:customStyle="1" w:styleId="StyleHeading4Left0Firstline0Char">
    <w:name w:val="Style Heading 4 + Left:  0&quot; First line:  0&quot; Char"/>
    <w:rPr>
      <w:b/>
      <w:bCs w:val="0"/>
      <w:i/>
      <w:iCs w:val="0"/>
      <w:noProof w:val="0"/>
      <w:snapToGrid w:val="0"/>
      <w:color w:val="000000"/>
      <w:sz w:val="24"/>
      <w:lang w:val="en-GB" w:eastAsia="zh-CN"/>
    </w:rPr>
  </w:style>
  <w:style w:type="character" w:customStyle="1" w:styleId="ECMStableheaderChar">
    <w:name w:val="ECMS table header Char"/>
    <w:rPr>
      <w:b/>
      <w:bCs w:val="0"/>
      <w:noProof w:val="0"/>
      <w:sz w:val="24"/>
      <w:lang w:val="en-GB" w:eastAsia="en-GB"/>
    </w:rPr>
  </w:style>
  <w:style w:type="character" w:customStyle="1" w:styleId="maintext1">
    <w:name w:val="maintext1"/>
    <w:rPr>
      <w:rFonts w:ascii="Verdana" w:hAnsi="Verdana" w:hint="default"/>
      <w:sz w:val="20"/>
    </w:rPr>
  </w:style>
  <w:style w:type="character" w:customStyle="1" w:styleId="CharChar42">
    <w:name w:val="Char Char42"/>
    <w:locked/>
    <w:rPr>
      <w:noProof w:val="0"/>
      <w:sz w:val="24"/>
      <w:lang w:val="en-US" w:eastAsia="en-AU"/>
    </w:rPr>
  </w:style>
  <w:style w:type="character" w:customStyle="1" w:styleId="apple-style-span">
    <w:name w:val="apple-style-span"/>
    <w:rPr>
      <w:rFonts w:ascii="Times New Roman" w:hAnsi="Times New Roman" w:cs="Times New Roman" w:hint="default"/>
    </w:rPr>
  </w:style>
  <w:style w:type="character" w:customStyle="1" w:styleId="CharChar5">
    <w:name w:val="Char Char5"/>
    <w:locked/>
    <w:rPr>
      <w:rFonts w:ascii="Tahoma" w:hAnsi="Tahoma" w:cs="Times New Roman Bold" w:hint="default"/>
      <w:noProof w:val="0"/>
      <w:sz w:val="16"/>
      <w:lang w:val="en-US" w:eastAsia="en-US"/>
    </w:rPr>
  </w:style>
  <w:style w:type="character" w:customStyle="1" w:styleId="apple-converted-space">
    <w:name w:val="apple-converted-space"/>
    <w:rPr>
      <w:rFonts w:ascii="Times New Roman" w:hAnsi="Times New Roman" w:cs="Times New Roman" w:hint="default"/>
    </w:rPr>
  </w:style>
  <w:style w:type="character" w:customStyle="1" w:styleId="CharChar32">
    <w:name w:val="Char Char32"/>
    <w:locked/>
    <w:rPr>
      <w:noProof w:val="0"/>
      <w:color w:val="000000"/>
      <w:sz w:val="24"/>
      <w:lang w:val="en-GB" w:eastAsia="en-US"/>
    </w:rPr>
  </w:style>
  <w:style w:type="paragraph" w:customStyle="1" w:styleId="listparagraphcxspmiddle">
    <w:name w:val="listparagraphcxspmiddle"/>
    <w:basedOn w:val="Normal"/>
    <w:pPr>
      <w:spacing w:before="100" w:after="100"/>
    </w:pPr>
    <w:rPr>
      <w:color w:val="auto"/>
      <w:lang w:val="en-US"/>
    </w:rPr>
  </w:style>
  <w:style w:type="paragraph" w:customStyle="1" w:styleId="StyleBodyText1After6pt">
    <w:name w:val="Style Body Text1 + After:  6 pt"/>
    <w:basedOn w:val="BodyText12"/>
    <w:rPr>
      <w:szCs w:val="20"/>
    </w:rPr>
  </w:style>
  <w:style w:type="character" w:customStyle="1" w:styleId="DocumentMapChar">
    <w:name w:val="Document Map Char"/>
    <w:uiPriority w:val="99"/>
    <w:semiHidden/>
    <w:rPr>
      <w:rFonts w:ascii="Times New Roman" w:hAnsi="Times New Roman" w:cs="Times New Roman"/>
      <w:color w:val="000000"/>
      <w:sz w:val="0"/>
      <w:szCs w:val="0"/>
    </w:rPr>
  </w:style>
  <w:style w:type="character" w:customStyle="1" w:styleId="SubtitleChar">
    <w:name w:val="Subtitle Char"/>
    <w:uiPriority w:val="11"/>
    <w:rPr>
      <w:rFonts w:ascii="Cambria" w:eastAsia="Times New Roman" w:hAnsi="Cambria" w:cs="Times New Roman"/>
      <w:color w:val="000000"/>
      <w:sz w:val="24"/>
      <w:szCs w:val="24"/>
    </w:rPr>
  </w:style>
  <w:style w:type="character" w:customStyle="1" w:styleId="QuoteChar">
    <w:name w:val="Quote Char"/>
    <w:rPr>
      <w:rFonts w:ascii="Times New Roman" w:hAnsi="Times New Roman"/>
      <w:i/>
      <w:iCs/>
      <w:color w:val="000000"/>
      <w:sz w:val="24"/>
      <w:szCs w:val="24"/>
    </w:rPr>
  </w:style>
  <w:style w:type="character" w:customStyle="1" w:styleId="IntenseQuoteChar">
    <w:name w:val="Intense Quote Char"/>
    <w:rPr>
      <w:rFonts w:ascii="Times New Roman" w:hAnsi="Times New Roman"/>
      <w:b/>
      <w:bCs/>
      <w:i/>
      <w:iCs/>
      <w:color w:val="4F81BD"/>
      <w:sz w:val="24"/>
      <w:szCs w:val="24"/>
    </w:rPr>
  </w:style>
  <w:style w:type="character" w:customStyle="1" w:styleId="A00">
    <w:name w:val="A0"/>
    <w:rPr>
      <w:rFonts w:cs="Arial Unicode MS"/>
      <w:color w:val="000000"/>
      <w:sz w:val="22"/>
      <w:szCs w:val="22"/>
    </w:rPr>
  </w:style>
  <w:style w:type="character" w:customStyle="1" w:styleId="HTMLPreformattedChar">
    <w:name w:val="HTML Preformatted Char"/>
    <w:rPr>
      <w:rFonts w:ascii="Courier New" w:eastAsia="Times New Roman" w:hAnsi="Courier New" w:cs="Times"/>
    </w:rPr>
  </w:style>
  <w:style w:type="character" w:customStyle="1" w:styleId="srch-url21">
    <w:name w:val="srch-url21"/>
    <w:rPr>
      <w:color w:val="5E4606"/>
      <w:u w:val="single"/>
    </w:rPr>
  </w:style>
  <w:style w:type="character" w:customStyle="1" w:styleId="Titre2Car">
    <w:name w:val="Titre 2 Car"/>
    <w:aliases w:val="SubPara (a) Car,Heading 2 Char1 Char Car,SubPara (a) Char1 Char Car,Heading 2 Char3 Char Char Car,Heading 2 Char Char2 Char Char Car,Heading 2 Char1 Char Char1 Char Char Car,SubPara (a) Char Char Char1 Char Char Car,Heading 2 C.. Car"/>
    <w:locked/>
    <w:rPr>
      <w:rFonts w:ascii="Cambria" w:hAnsi="Cambria" w:cs="Times New Roman"/>
      <w:b/>
      <w:bCs/>
      <w:i/>
      <w:iCs/>
      <w:noProof w:val="0"/>
      <w:sz w:val="28"/>
      <w:szCs w:val="28"/>
      <w:lang w:val="en-AU" w:eastAsia="en-AU"/>
    </w:rPr>
  </w:style>
  <w:style w:type="character" w:customStyle="1" w:styleId="Titre3Car">
    <w:name w:val="Titre 3 Car"/>
    <w:aliases w:val="Heading 3 Char1 Char Car,Heading 3 Char Char Char Car,Char Char Char Char Car,Char Char1 Char Car,Sec Car"/>
    <w:locked/>
    <w:rPr>
      <w:rFonts w:cs="Times New Roman"/>
      <w:b/>
      <w:i/>
      <w:iCs/>
      <w:noProof w:val="0"/>
      <w:color w:val="000000"/>
      <w:sz w:val="24"/>
      <w:szCs w:val="24"/>
      <w:lang w:val="en-GB" w:eastAsia="en-US"/>
    </w:rPr>
  </w:style>
  <w:style w:type="character" w:customStyle="1" w:styleId="Titre4Car">
    <w:name w:val="Titre 4 Car"/>
    <w:aliases w:val="MainPara Car"/>
    <w:locked/>
    <w:rPr>
      <w:rFonts w:cs="Times New Roman"/>
      <w:bCs/>
      <w:i/>
      <w:noProof w:val="0"/>
      <w:sz w:val="28"/>
      <w:szCs w:val="28"/>
      <w:lang w:val="en-AU" w:eastAsia="en-AU"/>
    </w:rPr>
  </w:style>
  <w:style w:type="character" w:customStyle="1" w:styleId="Titre5Car">
    <w:name w:val="Titre 5 Car"/>
    <w:aliases w:val="Subpara 2 Car"/>
    <w:semiHidden/>
    <w:locked/>
    <w:rPr>
      <w:rFonts w:ascii="Calibri" w:hAnsi="Calibri" w:cs="Arial"/>
      <w:b/>
      <w:bCs/>
      <w:i/>
      <w:iCs/>
      <w:noProof w:val="0"/>
      <w:sz w:val="26"/>
      <w:szCs w:val="26"/>
      <w:lang w:val="en-AU" w:eastAsia="en-AU"/>
    </w:rPr>
  </w:style>
  <w:style w:type="character" w:customStyle="1" w:styleId="Titre6Car">
    <w:name w:val="Titre 6 Car"/>
    <w:semiHidden/>
    <w:locked/>
    <w:rPr>
      <w:rFonts w:ascii="Calibri" w:hAnsi="Calibri" w:cs="Arial"/>
      <w:b/>
      <w:bCs/>
      <w:noProof w:val="0"/>
      <w:lang w:val="en-AU" w:eastAsia="en-AU"/>
    </w:rPr>
  </w:style>
  <w:style w:type="character" w:customStyle="1" w:styleId="Titre7Car">
    <w:name w:val="Titre 7 Car"/>
    <w:aliases w:val="Subpara 4 Car"/>
    <w:semiHidden/>
    <w:locked/>
    <w:rPr>
      <w:rFonts w:ascii="Calibri" w:hAnsi="Calibri" w:cs="Arial"/>
      <w:noProof w:val="0"/>
      <w:sz w:val="24"/>
      <w:szCs w:val="24"/>
      <w:lang w:val="en-AU" w:eastAsia="en-AU"/>
    </w:rPr>
  </w:style>
  <w:style w:type="character" w:customStyle="1" w:styleId="Titre8Car">
    <w:name w:val="Titre 8 Car"/>
    <w:aliases w:val="Subpara 5 Car"/>
    <w:semiHidden/>
    <w:locked/>
    <w:rPr>
      <w:rFonts w:ascii="Calibri" w:hAnsi="Calibri" w:cs="Arial"/>
      <w:i/>
      <w:iCs/>
      <w:noProof w:val="0"/>
      <w:sz w:val="24"/>
      <w:szCs w:val="24"/>
      <w:lang w:val="en-AU" w:eastAsia="en-AU"/>
    </w:rPr>
  </w:style>
  <w:style w:type="character" w:customStyle="1" w:styleId="Titre9Car">
    <w:name w:val="Titre 9 Car"/>
    <w:aliases w:val="Subpara 6 Car"/>
    <w:semiHidden/>
    <w:locked/>
    <w:rPr>
      <w:rFonts w:ascii="Cambria" w:hAnsi="Cambria" w:cs="Times New Roman"/>
      <w:noProof w:val="0"/>
      <w:lang w:val="en-AU" w:eastAsia="en-AU"/>
    </w:rPr>
  </w:style>
  <w:style w:type="character" w:customStyle="1" w:styleId="TextedebullesCar">
    <w:name w:val="Texte de bulles Car"/>
    <w:semiHidden/>
    <w:locked/>
    <w:rPr>
      <w:rFonts w:cs="Times New Roman"/>
      <w:noProof w:val="0"/>
      <w:sz w:val="2"/>
      <w:lang w:val="en-AU" w:eastAsia="en-AU"/>
    </w:rPr>
  </w:style>
  <w:style w:type="character" w:customStyle="1" w:styleId="CorpsdetexteCar">
    <w:name w:val="Corps de texte Car"/>
    <w:aliases w:val="Char Char Car,Body Text Char Char Char Char Char Car,Body Text Char Char Char Char Car"/>
    <w:locked/>
    <w:rPr>
      <w:rFonts w:cs="Times New Roman"/>
      <w:noProof w:val="0"/>
      <w:sz w:val="24"/>
      <w:szCs w:val="24"/>
      <w:lang w:val="en-AU" w:eastAsia="en-AU"/>
    </w:rPr>
  </w:style>
  <w:style w:type="paragraph" w:customStyle="1" w:styleId="PrformatHTML">
    <w:name w:val="Préformaté HTML"/>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color w:val="auto"/>
      <w:sz w:val="20"/>
      <w:lang w:val="en-US"/>
    </w:rPr>
  </w:style>
  <w:style w:type="character" w:customStyle="1" w:styleId="PrformatHTMLCar">
    <w:name w:val="Préformaté HTML Car"/>
    <w:semiHidden/>
    <w:locked/>
    <w:rPr>
      <w:rFonts w:ascii="Courier New" w:hAnsi="Courier New" w:cs="Chicago"/>
      <w:noProof w:val="0"/>
      <w:sz w:val="20"/>
      <w:szCs w:val="20"/>
      <w:lang w:val="en-AU" w:eastAsia="en-AU"/>
    </w:rPr>
  </w:style>
  <w:style w:type="character" w:customStyle="1" w:styleId="RetraitcorpsdetexteCar">
    <w:name w:val="Retrait corps de texte Car"/>
    <w:semiHidden/>
    <w:locked/>
    <w:rPr>
      <w:rFonts w:cs="Times New Roman"/>
      <w:noProof w:val="0"/>
      <w:sz w:val="24"/>
      <w:szCs w:val="24"/>
      <w:lang w:val="en-AU" w:eastAsia="en-AU"/>
    </w:rPr>
  </w:style>
  <w:style w:type="character" w:customStyle="1" w:styleId="Retraitcorpset1religCar">
    <w:name w:val="Retrait corps et 1re lig. Car"/>
    <w:basedOn w:val="RetraitcorpsdetexteCar"/>
    <w:semiHidden/>
    <w:locked/>
    <w:rPr>
      <w:rFonts w:cs="Times New Roman"/>
      <w:noProof w:val="0"/>
      <w:sz w:val="24"/>
      <w:szCs w:val="24"/>
      <w:lang w:val="en-AU" w:eastAsia="en-AU"/>
    </w:rPr>
  </w:style>
  <w:style w:type="character" w:customStyle="1" w:styleId="CommentaireCar">
    <w:name w:val="Commentaire Car"/>
    <w:locked/>
    <w:rPr>
      <w:rFonts w:eastAsia="Times New Roman"/>
      <w:noProof w:val="0"/>
      <w:lang w:val="en-AU" w:eastAsia="en-AU"/>
    </w:rPr>
  </w:style>
  <w:style w:type="paragraph" w:customStyle="1" w:styleId="Objetducommentaire">
    <w:name w:val="Objet du commentaire"/>
    <w:basedOn w:val="CommentText"/>
    <w:next w:val="CommentText"/>
    <w:semiHidden/>
    <w:pPr>
      <w:widowControl/>
      <w:spacing w:after="0"/>
    </w:pPr>
    <w:rPr>
      <w:rFonts w:ascii="Times New Roman" w:hAnsi="Times New Roman"/>
      <w:b/>
      <w:lang w:val="en-AU"/>
    </w:rPr>
  </w:style>
  <w:style w:type="character" w:customStyle="1" w:styleId="ObjetducommentaireCar">
    <w:name w:val="Objet du commentaire Car"/>
    <w:locked/>
    <w:rPr>
      <w:rFonts w:eastAsia="Times New Roman" w:cs="Times New Roman"/>
      <w:b/>
      <w:noProof w:val="0"/>
      <w:lang w:val="en-AU" w:eastAsia="en-AU"/>
    </w:rPr>
  </w:style>
  <w:style w:type="paragraph" w:customStyle="1" w:styleId="En-ttedetabledesmatires">
    <w:name w:val="En-tête de table des matières"/>
    <w:basedOn w:val="Heading1"/>
    <w:next w:val="Normal"/>
    <w:qFormat/>
    <w:pPr>
      <w:keepLines/>
      <w:spacing w:before="480" w:after="0" w:line="276" w:lineRule="auto"/>
      <w:ind w:left="0" w:firstLine="0"/>
      <w:outlineLvl w:val="9"/>
    </w:pPr>
    <w:rPr>
      <w:rFonts w:ascii="Cambria" w:eastAsia="MS Mincho" w:hAnsi="Cambria"/>
      <w:color w:val="808080"/>
      <w:lang w:val="fr-FR"/>
    </w:rPr>
  </w:style>
  <w:style w:type="paragraph" w:customStyle="1" w:styleId="Paragraphedeliste">
    <w:name w:val="Paragraphe de liste"/>
    <w:basedOn w:val="Normal"/>
    <w:qFormat/>
    <w:pPr>
      <w:spacing w:after="0"/>
    </w:pPr>
    <w:rPr>
      <w:rFonts w:eastAsia="MS Mincho"/>
      <w:color w:val="auto"/>
      <w:sz w:val="24"/>
      <w:lang w:val="en-AU"/>
    </w:rPr>
  </w:style>
  <w:style w:type="character" w:customStyle="1" w:styleId="bold0">
    <w:name w:val="bold"/>
    <w:rPr>
      <w:rFonts w:cs="Times New Roman"/>
    </w:rPr>
  </w:style>
  <w:style w:type="paragraph" w:customStyle="1" w:styleId="first">
    <w:name w:val="first"/>
    <w:basedOn w:val="Normal"/>
    <w:pPr>
      <w:spacing w:before="100" w:after="100"/>
    </w:pPr>
    <w:rPr>
      <w:rFonts w:eastAsia="MS Mincho"/>
      <w:color w:val="auto"/>
      <w:sz w:val="24"/>
      <w:lang w:val="fr-FR"/>
    </w:rPr>
  </w:style>
  <w:style w:type="character" w:customStyle="1" w:styleId="En-tteCar">
    <w:name w:val="En-tête Car"/>
    <w:locked/>
    <w:rPr>
      <w:rFonts w:cs="Times New Roman"/>
      <w:noProof w:val="0"/>
      <w:sz w:val="24"/>
      <w:szCs w:val="24"/>
      <w:lang w:val="en-AU" w:eastAsia="en-AU"/>
    </w:rPr>
  </w:style>
  <w:style w:type="character" w:customStyle="1" w:styleId="PieddepageCar">
    <w:name w:val="Pied de page Car"/>
    <w:locked/>
    <w:rPr>
      <w:rFonts w:cs="Times New Roman"/>
      <w:noProof w:val="0"/>
      <w:sz w:val="24"/>
      <w:szCs w:val="24"/>
      <w:lang w:val="en-AU" w:eastAsia="en-AU"/>
    </w:rPr>
  </w:style>
  <w:style w:type="character" w:customStyle="1" w:styleId="TitreCar">
    <w:name w:val="Titre Car"/>
    <w:locked/>
    <w:rPr>
      <w:rFonts w:ascii="Cambria" w:hAnsi="Cambria" w:cs="Times New Roman"/>
      <w:b/>
      <w:bCs/>
      <w:noProof w:val="0"/>
      <w:kern w:val="28"/>
      <w:sz w:val="32"/>
      <w:szCs w:val="32"/>
      <w:lang w:val="en-AU" w:eastAsia="en-AU"/>
    </w:rPr>
  </w:style>
  <w:style w:type="paragraph" w:customStyle="1" w:styleId="Sansinterligne">
    <w:name w:val="Sans interligne"/>
    <w:qFormat/>
    <w:rPr>
      <w:rFonts w:ascii="Times New Roman" w:eastAsia="MS Mincho" w:hAnsi="Times New Roman"/>
      <w:noProof/>
      <w:sz w:val="24"/>
      <w:lang w:val="nl-NL" w:eastAsia="nl-NL"/>
    </w:rPr>
  </w:style>
  <w:style w:type="character" w:customStyle="1" w:styleId="ExplorateurdedocumentsCar">
    <w:name w:val="Explorateur de documents Car"/>
    <w:semiHidden/>
    <w:locked/>
    <w:rPr>
      <w:rFonts w:ascii="Tahoma" w:hAnsi="Tahoma" w:cs="Times New Roman Bold"/>
      <w:noProof w:val="0"/>
      <w:sz w:val="16"/>
      <w:szCs w:val="16"/>
      <w:lang w:val="en-AU" w:eastAsia="en-AU"/>
    </w:rPr>
  </w:style>
  <w:style w:type="character" w:customStyle="1" w:styleId="hit">
    <w:name w:val="hit"/>
    <w:rPr>
      <w:rFonts w:cs="Times New Roman"/>
    </w:rPr>
  </w:style>
  <w:style w:type="character" w:customStyle="1" w:styleId="NotedebasdepageCar">
    <w:name w:val="Note de bas de page Car"/>
    <w:locked/>
    <w:rPr>
      <w:rFonts w:cs="Times New Roman"/>
      <w:noProof w:val="0"/>
      <w:sz w:val="24"/>
      <w:szCs w:val="24"/>
      <w:lang w:val="en-AU" w:eastAsia="en-AU"/>
    </w:rPr>
  </w:style>
  <w:style w:type="paragraph" w:customStyle="1" w:styleId="Rvision">
    <w:name w:val="Révision"/>
    <w:hidden/>
    <w:semiHidden/>
    <w:rPr>
      <w:rFonts w:ascii="Times New Roman" w:eastAsia="MS Mincho" w:hAnsi="Times New Roman"/>
      <w:sz w:val="24"/>
      <w:lang w:eastAsia="nl-NL"/>
    </w:rPr>
  </w:style>
  <w:style w:type="paragraph" w:customStyle="1" w:styleId="Ref">
    <w:name w:val="Ref"/>
    <w:basedOn w:val="Footnote"/>
    <w:pPr>
      <w:autoSpaceDE w:val="0"/>
      <w:autoSpaceDN w:val="0"/>
      <w:adjustRightInd w:val="0"/>
    </w:pPr>
    <w:rPr>
      <w:rFonts w:ascii="Calibri" w:eastAsia="MS Mincho" w:hAnsi="Calibri"/>
    </w:rPr>
  </w:style>
  <w:style w:type="character" w:customStyle="1" w:styleId="SansinterligneCar">
    <w:name w:val="Sans interligne Car"/>
    <w:rPr>
      <w:sz w:val="24"/>
      <w:szCs w:val="24"/>
      <w:lang w:bidi="ar-SA"/>
    </w:rPr>
  </w:style>
  <w:style w:type="paragraph" w:customStyle="1" w:styleId="Hea">
    <w:name w:val="Hea"/>
    <w:pPr>
      <w:autoSpaceDE w:val="0"/>
      <w:autoSpaceDN w:val="0"/>
    </w:pPr>
    <w:rPr>
      <w:rFonts w:ascii="Times New Roman" w:hAnsi="Times New Roman"/>
      <w:sz w:val="24"/>
      <w:lang w:val="en-US" w:eastAsia="nl-NL"/>
    </w:rPr>
  </w:style>
  <w:style w:type="paragraph" w:customStyle="1" w:styleId="PageImage">
    <w:name w:val="PageImage"/>
    <w:pPr>
      <w:autoSpaceDE w:val="0"/>
      <w:autoSpaceDN w:val="0"/>
      <w:spacing w:before="240"/>
      <w:jc w:val="center"/>
    </w:pPr>
    <w:rPr>
      <w:rFonts w:ascii="Times New Roman" w:hAnsi="Times New Roman"/>
      <w:lang w:eastAsia="nl-NL"/>
    </w:rPr>
  </w:style>
  <w:style w:type="paragraph" w:customStyle="1" w:styleId="Italicindent">
    <w:name w:val="Italic indent"/>
    <w:pPr>
      <w:autoSpaceDE w:val="0"/>
      <w:autoSpaceDN w:val="0"/>
      <w:spacing w:after="200" w:line="276" w:lineRule="auto"/>
      <w:ind w:left="1701" w:right="662"/>
    </w:pPr>
    <w:rPr>
      <w:rFonts w:ascii="Calibri" w:hAnsi="Calibri"/>
      <w:i/>
      <w:color w:val="000000"/>
      <w:lang w:val="en-GB" w:eastAsia="nl-NL"/>
    </w:rPr>
  </w:style>
  <w:style w:type="paragraph" w:customStyle="1" w:styleId="a8">
    <w:name w:val="("/>
    <w:pPr>
      <w:autoSpaceDE w:val="0"/>
      <w:autoSpaceDN w:val="0"/>
      <w:spacing w:after="160" w:line="240" w:lineRule="exact"/>
    </w:pPr>
    <w:rPr>
      <w:rFonts w:ascii="Times New Roman" w:hAnsi="Times New Roman"/>
      <w:lang w:val="en-US" w:eastAsia="nl-NL"/>
    </w:rPr>
  </w:style>
  <w:style w:type="character" w:customStyle="1" w:styleId="style61">
    <w:name w:val="style61"/>
    <w:rPr>
      <w:rFonts w:ascii="Verdana" w:hAnsi="Verdana" w:cs="Arial Narrow"/>
      <w:b/>
      <w:bCs/>
      <w:color w:val="808080"/>
      <w:sz w:val="24"/>
      <w:szCs w:val="24"/>
    </w:rPr>
  </w:style>
  <w:style w:type="paragraph" w:customStyle="1" w:styleId="Rvision1">
    <w:name w:val="Révision1"/>
    <w:hidden/>
    <w:semiHidden/>
    <w:rPr>
      <w:rFonts w:ascii="Times New Roman" w:eastAsia="MS Mincho" w:hAnsi="Times New Roman"/>
      <w:sz w:val="24"/>
      <w:szCs w:val="24"/>
      <w:lang w:val="en-US"/>
    </w:rPr>
  </w:style>
  <w:style w:type="paragraph" w:customStyle="1" w:styleId="Bibliographie1">
    <w:name w:val="Bibliographie1"/>
    <w:basedOn w:val="Normal"/>
    <w:next w:val="Normal"/>
    <w:pPr>
      <w:spacing w:before="120" w:after="120"/>
      <w:ind w:left="1134"/>
      <w:jc w:val="both"/>
    </w:pPr>
    <w:rPr>
      <w:rFonts w:ascii="Calibri" w:hAnsi="Calibri"/>
      <w:color w:val="auto"/>
      <w:szCs w:val="22"/>
    </w:rPr>
  </w:style>
  <w:style w:type="paragraph" w:customStyle="1" w:styleId="Sansinterligne1">
    <w:name w:val="Sans interligne1"/>
    <w:basedOn w:val="Normal"/>
    <w:locked/>
    <w:pPr>
      <w:spacing w:after="0"/>
    </w:pPr>
    <w:rPr>
      <w:rFonts w:ascii="Arial" w:hAnsi="Arial" w:cs="Century"/>
      <w:color w:val="auto"/>
      <w:szCs w:val="22"/>
      <w:lang w:eastAsia="en-US"/>
    </w:rPr>
  </w:style>
  <w:style w:type="paragraph" w:customStyle="1" w:styleId="Citation1">
    <w:name w:val="Citation1"/>
    <w:basedOn w:val="Normal"/>
    <w:next w:val="Normal"/>
    <w:locked/>
    <w:pPr>
      <w:spacing w:before="200" w:after="0"/>
      <w:ind w:left="360" w:right="360"/>
    </w:pPr>
    <w:rPr>
      <w:i/>
      <w:iCs/>
      <w:sz w:val="24"/>
      <w:szCs w:val="24"/>
      <w:lang w:val="en-US" w:eastAsia="en-US"/>
    </w:rPr>
  </w:style>
  <w:style w:type="paragraph" w:customStyle="1" w:styleId="Citationintense1">
    <w:name w:val="Citation intense1"/>
    <w:basedOn w:val="Normal"/>
    <w:next w:val="Normal"/>
    <w:locked/>
    <w:pPr>
      <w:pBdr>
        <w:bottom w:val="single" w:sz="4" w:space="1" w:color="auto"/>
      </w:pBdr>
      <w:spacing w:before="200" w:after="280"/>
      <w:ind w:left="1008" w:right="1152"/>
      <w:jc w:val="both"/>
    </w:pPr>
    <w:rPr>
      <w:b/>
      <w:bCs/>
      <w:i/>
      <w:iCs/>
      <w:color w:val="4F81BD"/>
      <w:sz w:val="24"/>
      <w:szCs w:val="24"/>
      <w:lang w:val="en-US" w:eastAsia="en-US"/>
    </w:rPr>
  </w:style>
  <w:style w:type="character" w:customStyle="1" w:styleId="Emphaseple1">
    <w:name w:val="Emphase pâle1"/>
    <w:locked/>
    <w:rPr>
      <w:i/>
    </w:rPr>
  </w:style>
  <w:style w:type="character" w:customStyle="1" w:styleId="Emphaseintense1">
    <w:name w:val="Emphase intense1"/>
    <w:locked/>
    <w:rPr>
      <w:b/>
    </w:rPr>
  </w:style>
  <w:style w:type="character" w:customStyle="1" w:styleId="Rfrenceple1">
    <w:name w:val="Référence pâle1"/>
    <w:locked/>
    <w:rPr>
      <w:smallCaps/>
    </w:rPr>
  </w:style>
  <w:style w:type="character" w:customStyle="1" w:styleId="Rfrenceintense1">
    <w:name w:val="Référence intense1"/>
    <w:locked/>
    <w:rPr>
      <w:smallCaps/>
      <w:spacing w:val="5"/>
      <w:u w:val="single"/>
    </w:rPr>
  </w:style>
  <w:style w:type="character" w:customStyle="1" w:styleId="Titredulivre1">
    <w:name w:val="Titre du livre1"/>
    <w:locked/>
    <w:rPr>
      <w:i/>
      <w:smallCaps/>
      <w:spacing w:val="5"/>
    </w:rPr>
  </w:style>
  <w:style w:type="paragraph" w:customStyle="1" w:styleId="En-ttedetabledesmatires1">
    <w:name w:val="En-tête de table des matières1"/>
    <w:basedOn w:val="Heading1"/>
    <w:next w:val="Normal"/>
    <w:locked/>
    <w:pPr>
      <w:keepLines/>
      <w:tabs>
        <w:tab w:val="left" w:pos="851"/>
      </w:tabs>
      <w:spacing w:before="0"/>
      <w:ind w:left="1100" w:hanging="660"/>
      <w:outlineLvl w:val="9"/>
    </w:pPr>
    <w:rPr>
      <w:rFonts w:ascii="Arial" w:hAnsi="Arial"/>
      <w:bCs/>
      <w:color w:val="auto"/>
      <w:sz w:val="32"/>
      <w:szCs w:val="28"/>
      <w:lang w:val="nb-NO" w:eastAsia="en-US"/>
    </w:rPr>
  </w:style>
  <w:style w:type="paragraph" w:customStyle="1" w:styleId="BodyText11">
    <w:name w:val="Body Text11"/>
    <w:basedOn w:val="Normal"/>
    <w:pPr>
      <w:spacing w:after="0"/>
    </w:pPr>
  </w:style>
  <w:style w:type="paragraph" w:customStyle="1" w:styleId="paraindentFootnoteQPS">
    <w:name w:val="para indent Footnote QPS"/>
    <w:basedOn w:val="FootnoteText"/>
    <w:pPr>
      <w:widowControl/>
      <w:spacing w:after="0"/>
      <w:ind w:left="426" w:hanging="284"/>
    </w:pPr>
    <w:rPr>
      <w:rFonts w:ascii="Calibri" w:hAnsi="Calibri"/>
      <w:color w:val="000000"/>
      <w:sz w:val="16"/>
      <w:lang w:val="en-NZ" w:eastAsia="en-US"/>
    </w:rPr>
  </w:style>
  <w:style w:type="paragraph" w:customStyle="1" w:styleId="Paragraphedeliste1">
    <w:name w:val="Paragraphe de liste1"/>
    <w:basedOn w:val="Normal"/>
    <w:pPr>
      <w:ind w:left="720"/>
      <w:contextualSpacing/>
    </w:pPr>
  </w:style>
  <w:style w:type="paragraph" w:customStyle="1" w:styleId="yiv587168716msonormal">
    <w:name w:val="yiv587168716msonormal"/>
    <w:basedOn w:val="Normal"/>
    <w:pPr>
      <w:spacing w:before="100" w:beforeAutospacing="1" w:after="100" w:afterAutospacing="1"/>
    </w:pPr>
    <w:rPr>
      <w:color w:val="auto"/>
      <w:sz w:val="24"/>
      <w:szCs w:val="24"/>
      <w:lang w:val="en-AU" w:eastAsia="en-AU"/>
    </w:rPr>
  </w:style>
  <w:style w:type="paragraph" w:customStyle="1" w:styleId="Paragraphedeliste11">
    <w:name w:val="Paragraphe de liste11"/>
    <w:basedOn w:val="Normal"/>
    <w:pPr>
      <w:ind w:left="720"/>
      <w:contextualSpacing/>
    </w:pPr>
  </w:style>
  <w:style w:type="character" w:customStyle="1" w:styleId="st1">
    <w:name w:val="st1"/>
  </w:style>
  <w:style w:type="character" w:customStyle="1" w:styleId="Heading1Char21">
    <w:name w:val="Heading 1 Char21"/>
    <w:aliases w:val="Para (1) Char3,Heading 1 Char1 Char Char11,Heading 1 Char Char Char Char2,Para (1) Char Char Char Char2,Para (1) Char1 Char Char2,Heading 1 Char1 Char11,Heading 1 Char Char Char11,Para (1) Char Char Char11,Para (1) Char1 Char11"/>
    <w:rPr>
      <w:b/>
      <w:bCs/>
      <w:noProof w:val="0"/>
      <w:color w:val="000000"/>
      <w:sz w:val="28"/>
      <w:szCs w:val="28"/>
      <w:lang w:val="en-GB"/>
    </w:rPr>
  </w:style>
  <w:style w:type="character" w:customStyle="1" w:styleId="CharChar8">
    <w:name w:val="Char Char8"/>
    <w:locked/>
    <w:rPr>
      <w:rFonts w:ascii="Times New Roman" w:hAnsi="Times New Roman"/>
      <w:noProof w:val="0"/>
      <w:sz w:val="24"/>
      <w:lang w:eastAsia="ja-JP"/>
    </w:rPr>
  </w:style>
  <w:style w:type="character" w:customStyle="1" w:styleId="CharChar10">
    <w:name w:val="Char Char10"/>
    <w:semiHidden/>
    <w:locked/>
    <w:rPr>
      <w:rFonts w:ascii="Times New Roman" w:hAnsi="Times New Roman"/>
      <w:noProof w:val="0"/>
      <w:color w:val="000000"/>
      <w:sz w:val="20"/>
      <w:lang w:val="en-GB" w:eastAsia="zh-CN"/>
    </w:rPr>
  </w:style>
  <w:style w:type="character" w:styleId="HTMLCite">
    <w:name w:val="HTML Cite"/>
    <w:uiPriority w:val="99"/>
    <w:semiHidden/>
    <w:rPr>
      <w:rFonts w:cs="Times New Roman"/>
      <w:i/>
      <w:iCs/>
    </w:rPr>
  </w:style>
  <w:style w:type="character" w:customStyle="1" w:styleId="st">
    <w:name w:val="st"/>
  </w:style>
  <w:style w:type="paragraph" w:customStyle="1" w:styleId="TitleofManuscript">
    <w:name w:val="Title of Manuscript"/>
    <w:basedOn w:val="Normal"/>
    <w:pPr>
      <w:spacing w:after="0"/>
    </w:pPr>
    <w:rPr>
      <w:b/>
      <w:bCs/>
      <w:spacing w:val="-4"/>
      <w:sz w:val="32"/>
      <w:szCs w:val="32"/>
      <w:lang w:val="en-CA" w:eastAsia="en-CA"/>
    </w:rPr>
  </w:style>
  <w:style w:type="character" w:customStyle="1" w:styleId="author2">
    <w:name w:val="author2"/>
    <w:rPr>
      <w:rFonts w:cs="Times New Roman"/>
    </w:rPr>
  </w:style>
  <w:style w:type="character" w:customStyle="1" w:styleId="al-hide">
    <w:name w:val="al-hide"/>
    <w:rPr>
      <w:rFonts w:cs="Times New Roman"/>
    </w:rPr>
  </w:style>
  <w:style w:type="character" w:customStyle="1" w:styleId="al-vis">
    <w:name w:val="al-vis"/>
    <w:rPr>
      <w:rFonts w:cs="Times New Roman"/>
    </w:rPr>
  </w:style>
  <w:style w:type="character" w:customStyle="1" w:styleId="container2">
    <w:name w:val="container2"/>
    <w:rPr>
      <w:rFonts w:cs="Times New Roman"/>
    </w:rPr>
  </w:style>
  <w:style w:type="character" w:customStyle="1" w:styleId="year">
    <w:name w:val="year"/>
    <w:rPr>
      <w:rFonts w:cs="Times New Roman"/>
    </w:rPr>
  </w:style>
  <w:style w:type="character" w:customStyle="1" w:styleId="Para10">
    <w:name w:val="Para (1) ("/>
    <w:rPr>
      <w:b/>
      <w:bCs/>
      <w:noProof w:val="0"/>
      <w:kern w:val="32"/>
      <w:sz w:val="32"/>
      <w:szCs w:val="32"/>
      <w:lang w:val="en-US"/>
    </w:rPr>
  </w:style>
  <w:style w:type="paragraph" w:customStyle="1" w:styleId="a9">
    <w:name w:val="文字)"/>
    <w:pPr>
      <w:widowControl w:val="0"/>
      <w:autoSpaceDE w:val="0"/>
      <w:autoSpaceDN w:val="0"/>
    </w:pPr>
    <w:rPr>
      <w:rFonts w:ascii="Times New Roman" w:hAnsi="Times New Roman"/>
      <w:b/>
      <w:spacing w:val="-1"/>
      <w:kern w:val="32"/>
      <w:position w:val="-1"/>
      <w:sz w:val="32"/>
      <w:lang w:val="en-US"/>
    </w:rPr>
  </w:style>
  <w:style w:type="character" w:customStyle="1" w:styleId="SubParaa0">
    <w:name w:val="SubPara (a) ("/>
    <w:rPr>
      <w:b/>
      <w:bCs/>
      <w:i/>
      <w:iCs/>
      <w:noProof w:val="0"/>
      <w:kern w:val="2"/>
      <w:sz w:val="28"/>
      <w:szCs w:val="28"/>
      <w:lang w:val="en-US"/>
    </w:rPr>
  </w:style>
  <w:style w:type="character" w:customStyle="1" w:styleId="5">
    <w:name w:val="(5"/>
    <w:rPr>
      <w:b/>
      <w:bCs/>
      <w:noProof w:val="0"/>
      <w:sz w:val="24"/>
      <w:szCs w:val="24"/>
      <w:lang w:val="en-US"/>
    </w:rPr>
  </w:style>
  <w:style w:type="paragraph" w:customStyle="1" w:styleId="ListParagraph11">
    <w:name w:val="List Paragraph11"/>
    <w:basedOn w:val="Normal"/>
    <w:pPr>
      <w:autoSpaceDE w:val="0"/>
      <w:autoSpaceDN w:val="0"/>
      <w:spacing w:before="100" w:after="100"/>
      <w:ind w:left="720" w:right="720"/>
    </w:pPr>
    <w:rPr>
      <w:i/>
      <w:color w:val="auto"/>
      <w:sz w:val="24"/>
    </w:rPr>
  </w:style>
  <w:style w:type="paragraph" w:customStyle="1" w:styleId="4">
    <w:name w:val="(4"/>
    <w:basedOn w:val="Normal"/>
    <w:pPr>
      <w:tabs>
        <w:tab w:val="num" w:pos="2160"/>
      </w:tabs>
      <w:autoSpaceDE w:val="0"/>
      <w:autoSpaceDN w:val="0"/>
      <w:spacing w:before="100" w:after="160" w:line="240" w:lineRule="exact"/>
      <w:ind w:left="2160" w:right="720" w:hanging="360"/>
    </w:pPr>
    <w:rPr>
      <w:i/>
      <w:color w:val="auto"/>
      <w:sz w:val="20"/>
      <w:lang w:val="en-US"/>
    </w:rPr>
  </w:style>
  <w:style w:type="character" w:customStyle="1" w:styleId="BodyTextIndentChar1">
    <w:name w:val="Body Text Indent Char1"/>
    <w:semiHidden/>
    <w:rPr>
      <w:rFonts w:ascii="Times New Roman" w:hAnsi="Times New Roman" w:cs="Times New Roman"/>
      <w:sz w:val="20"/>
      <w:szCs w:val="20"/>
    </w:rPr>
  </w:style>
  <w:style w:type="character" w:customStyle="1" w:styleId="BodyTextFirstIndent2Char">
    <w:name w:val="Body Text First Indent 2 Char"/>
    <w:basedOn w:val="BodyTextIndentChar1"/>
    <w:semiHidden/>
    <w:rPr>
      <w:rFonts w:ascii="Times New Roman" w:hAnsi="Times New Roman" w:cs="Times New Roman"/>
      <w:sz w:val="20"/>
      <w:szCs w:val="20"/>
    </w:rPr>
  </w:style>
  <w:style w:type="character" w:customStyle="1" w:styleId="CarCar51">
    <w:name w:val="Car Car51"/>
    <w:rPr>
      <w:noProof w:val="0"/>
      <w:sz w:val="24"/>
      <w:szCs w:val="24"/>
      <w:u w:val="single"/>
      <w:lang w:val="en-US"/>
    </w:rPr>
  </w:style>
  <w:style w:type="character" w:customStyle="1" w:styleId="CarCar41">
    <w:name w:val="Car Car41"/>
    <w:rPr>
      <w:b/>
      <w:bCs/>
      <w:noProof w:val="0"/>
      <w:kern w:val="32"/>
      <w:sz w:val="24"/>
      <w:szCs w:val="24"/>
      <w:lang w:val="en-US"/>
    </w:rPr>
  </w:style>
  <w:style w:type="character" w:customStyle="1" w:styleId="CarCar31">
    <w:name w:val="Car Car31"/>
    <w:rPr>
      <w:b/>
      <w:bCs/>
      <w:i/>
      <w:iCs/>
      <w:noProof w:val="0"/>
      <w:kern w:val="32"/>
      <w:sz w:val="26"/>
      <w:szCs w:val="26"/>
      <w:lang w:val="it-IT"/>
    </w:rPr>
  </w:style>
  <w:style w:type="character" w:customStyle="1" w:styleId="CarCar6">
    <w:name w:val="Car Car6"/>
    <w:rPr>
      <w:noProof w:val="0"/>
      <w:sz w:val="24"/>
      <w:szCs w:val="24"/>
      <w:lang w:val="fr-FR"/>
    </w:rPr>
  </w:style>
  <w:style w:type="character" w:customStyle="1" w:styleId="ZchnZchn161">
    <w:name w:val="Zchn Zchn161"/>
    <w:rPr>
      <w:rFonts w:ascii="Arial" w:hAnsi="Arial" w:cs="Arial"/>
      <w:b/>
      <w:bCs/>
      <w:noProof w:val="0"/>
      <w:kern w:val="32"/>
      <w:sz w:val="32"/>
      <w:szCs w:val="32"/>
      <w:lang w:val="en-US"/>
    </w:rPr>
  </w:style>
  <w:style w:type="character" w:customStyle="1" w:styleId="ZchnZchn17">
    <w:name w:val="Zchn Zchn17"/>
    <w:rPr>
      <w:rFonts w:ascii="Cambria" w:hAnsi="Cambria" w:cs="MS Mincho"/>
      <w:b/>
      <w:bCs/>
      <w:noProof w:val="0"/>
      <w:kern w:val="28"/>
      <w:sz w:val="32"/>
      <w:szCs w:val="32"/>
      <w:lang w:val="ca-ES"/>
    </w:rPr>
  </w:style>
  <w:style w:type="character" w:customStyle="1" w:styleId="ZchnZchn2">
    <w:name w:val="Zchn Zchn2"/>
    <w:rPr>
      <w:rFonts w:ascii="Calibri" w:hAnsi="Calibri" w:cs="Calibri"/>
      <w:noProof w:val="0"/>
      <w:lang w:val="ca-ES"/>
    </w:rPr>
  </w:style>
  <w:style w:type="character" w:customStyle="1" w:styleId="CarCar21">
    <w:name w:val="Car Car21"/>
    <w:rPr>
      <w:noProof w:val="0"/>
      <w:lang w:val="en-US"/>
    </w:rPr>
  </w:style>
  <w:style w:type="character" w:customStyle="1" w:styleId="CarCar11">
    <w:name w:val="Car Car11"/>
    <w:rPr>
      <w:noProof w:val="0"/>
      <w:lang w:val="en-US"/>
    </w:rPr>
  </w:style>
  <w:style w:type="character" w:customStyle="1" w:styleId="ZchnZchn151">
    <w:name w:val="Zchn Zchn151"/>
    <w:rPr>
      <w:rFonts w:ascii="Arial" w:hAnsi="Arial" w:cs="Arial"/>
      <w:b/>
      <w:bCs/>
      <w:i/>
      <w:iCs/>
      <w:noProof w:val="0"/>
      <w:sz w:val="28"/>
      <w:szCs w:val="28"/>
      <w:lang w:val="en-US"/>
    </w:rPr>
  </w:style>
  <w:style w:type="character" w:customStyle="1" w:styleId="ZchnZchn141">
    <w:name w:val="Zchn Zchn141"/>
    <w:rPr>
      <w:rFonts w:ascii="Arial" w:hAnsi="Arial" w:cs="Arial"/>
      <w:b/>
      <w:bCs/>
      <w:noProof w:val="0"/>
      <w:sz w:val="26"/>
      <w:szCs w:val="26"/>
      <w:lang w:val="en-US"/>
    </w:rPr>
  </w:style>
  <w:style w:type="character" w:customStyle="1" w:styleId="ZchnZchn131">
    <w:name w:val="Zchn Zchn131"/>
    <w:rPr>
      <w:rFonts w:ascii="Arial" w:hAnsi="Arial" w:cs="Arial"/>
      <w:b/>
      <w:bCs/>
      <w:noProof w:val="0"/>
      <w:sz w:val="24"/>
      <w:szCs w:val="24"/>
      <w:lang w:val="de-DE"/>
    </w:rPr>
  </w:style>
  <w:style w:type="character" w:customStyle="1" w:styleId="ZchnZchn121">
    <w:name w:val="Zchn Zchn121"/>
    <w:rPr>
      <w:rFonts w:ascii="Arial" w:hAnsi="Arial" w:cs="Arial"/>
      <w:b/>
      <w:bCs/>
      <w:noProof w:val="0"/>
      <w:sz w:val="24"/>
      <w:szCs w:val="24"/>
      <w:lang w:val="de-DE"/>
    </w:rPr>
  </w:style>
  <w:style w:type="character" w:customStyle="1" w:styleId="ZchnZchn111">
    <w:name w:val="Zchn Zchn111"/>
    <w:rPr>
      <w:rFonts w:ascii="Arial" w:hAnsi="Arial" w:cs="Arial"/>
      <w:b/>
      <w:bCs/>
      <w:noProof w:val="0"/>
      <w:lang w:val="de-DE"/>
    </w:rPr>
  </w:style>
  <w:style w:type="character" w:customStyle="1" w:styleId="ZchnZchn101">
    <w:name w:val="Zchn Zchn101"/>
    <w:rPr>
      <w:rFonts w:ascii="Arial" w:hAnsi="Arial" w:cs="Arial"/>
      <w:b/>
      <w:bCs/>
      <w:noProof w:val="0"/>
      <w:sz w:val="28"/>
      <w:szCs w:val="28"/>
      <w:lang w:val="de-DE"/>
    </w:rPr>
  </w:style>
  <w:style w:type="character" w:customStyle="1" w:styleId="ZchnZchn91">
    <w:name w:val="Zchn Zchn91"/>
    <w:rPr>
      <w:rFonts w:ascii="Arial" w:hAnsi="Arial" w:cs="Arial"/>
      <w:b/>
      <w:bCs/>
      <w:noProof w:val="0"/>
      <w:lang w:val="de-DE"/>
    </w:rPr>
  </w:style>
  <w:style w:type="character" w:customStyle="1" w:styleId="ZchnZchn81">
    <w:name w:val="Zchn Zchn81"/>
    <w:rPr>
      <w:rFonts w:ascii="Arial" w:hAnsi="Arial" w:cs="Arial"/>
      <w:noProof w:val="0"/>
      <w:sz w:val="24"/>
      <w:szCs w:val="24"/>
      <w:lang w:val="de-DE"/>
    </w:rPr>
  </w:style>
  <w:style w:type="character" w:customStyle="1" w:styleId="ZchnZchn41">
    <w:name w:val="Zchn Zchn41"/>
    <w:rPr>
      <w:noProof w:val="0"/>
      <w:sz w:val="24"/>
      <w:szCs w:val="24"/>
      <w:lang w:val="en-US"/>
    </w:rPr>
  </w:style>
  <w:style w:type="character" w:customStyle="1" w:styleId="ZchnZchn71">
    <w:name w:val="Zchn Zchn71"/>
    <w:rPr>
      <w:noProof w:val="0"/>
      <w:sz w:val="24"/>
      <w:szCs w:val="24"/>
      <w:lang w:val="en-US"/>
    </w:rPr>
  </w:style>
  <w:style w:type="character" w:customStyle="1" w:styleId="ZchnZchn61">
    <w:name w:val="Zchn Zchn61"/>
    <w:rPr>
      <w:rFonts w:ascii="Courier New" w:hAnsi="Courier New" w:cs="FrutigerLTStd-Light"/>
      <w:noProof w:val="0"/>
      <w:lang w:val="de-DE"/>
    </w:rPr>
  </w:style>
  <w:style w:type="character" w:customStyle="1" w:styleId="ZchnZchn51">
    <w:name w:val="Zchn Zchn51"/>
    <w:rPr>
      <w:rFonts w:ascii="Arial" w:hAnsi="Arial" w:cs="Arial"/>
      <w:noProof w:val="0"/>
      <w:sz w:val="24"/>
      <w:szCs w:val="24"/>
      <w:lang w:val="de-DE"/>
    </w:rPr>
  </w:style>
  <w:style w:type="character" w:customStyle="1" w:styleId="ZchnZchn31">
    <w:name w:val="Zchn Zchn31"/>
    <w:rPr>
      <w:rFonts w:ascii="Arial" w:hAnsi="Arial" w:cs="Arial"/>
      <w:noProof w:val="0"/>
      <w:sz w:val="24"/>
      <w:szCs w:val="24"/>
      <w:lang w:val="de-DE"/>
    </w:rPr>
  </w:style>
  <w:style w:type="character" w:customStyle="1" w:styleId="CharChar21">
    <w:name w:val="Char Char21"/>
    <w:rPr>
      <w:b/>
      <w:bCs/>
      <w:noProof w:val="0"/>
      <w:color w:val="000000"/>
      <w:sz w:val="28"/>
      <w:szCs w:val="28"/>
      <w:lang w:val="en-GB"/>
    </w:rPr>
  </w:style>
  <w:style w:type="character" w:customStyle="1" w:styleId="CharChar11">
    <w:name w:val="Char Char11"/>
    <w:rPr>
      <w:rFonts w:ascii="Arial" w:hAnsi="Arial" w:cs="Arial"/>
      <w:noProof w:val="0"/>
      <w:lang w:val="en-GB"/>
    </w:rPr>
  </w:style>
  <w:style w:type="character" w:customStyle="1" w:styleId="3">
    <w:name w:val="(3"/>
    <w:rPr>
      <w:noProof w:val="0"/>
      <w:sz w:val="24"/>
      <w:szCs w:val="24"/>
      <w:lang w:val="en-US"/>
    </w:rPr>
  </w:style>
  <w:style w:type="character" w:customStyle="1" w:styleId="20">
    <w:name w:val="(2"/>
    <w:rPr>
      <w:b/>
      <w:bCs/>
      <w:noProof w:val="0"/>
      <w:sz w:val="24"/>
      <w:szCs w:val="24"/>
      <w:lang w:val="en-US"/>
    </w:rPr>
  </w:style>
  <w:style w:type="character" w:customStyle="1" w:styleId="CarCar191">
    <w:name w:val="Car Car191"/>
    <w:rPr>
      <w:noProof w:val="0"/>
      <w:color w:val="000000"/>
      <w:sz w:val="24"/>
      <w:szCs w:val="24"/>
      <w:lang w:val="en-GB"/>
    </w:rPr>
  </w:style>
  <w:style w:type="character" w:customStyle="1" w:styleId="CharChar41">
    <w:name w:val="Char Char41"/>
    <w:rPr>
      <w:noProof w:val="0"/>
      <w:sz w:val="24"/>
      <w:szCs w:val="24"/>
      <w:lang w:val="en-US"/>
    </w:rPr>
  </w:style>
  <w:style w:type="character" w:customStyle="1" w:styleId="CharChar31">
    <w:name w:val="Char Char31"/>
    <w:rPr>
      <w:noProof w:val="0"/>
      <w:color w:val="000000"/>
      <w:sz w:val="24"/>
      <w:szCs w:val="24"/>
      <w:lang w:val="en-GB"/>
    </w:rPr>
  </w:style>
  <w:style w:type="paragraph" w:customStyle="1" w:styleId="13">
    <w:name w:val="(1"/>
    <w:pPr>
      <w:autoSpaceDE w:val="0"/>
      <w:autoSpaceDN w:val="0"/>
      <w:spacing w:after="160" w:line="240" w:lineRule="exact"/>
    </w:pPr>
    <w:rPr>
      <w:rFonts w:ascii="Times New Roman" w:hAnsi="Times New Roman"/>
      <w:sz w:val="24"/>
      <w:lang w:val="en-US"/>
    </w:rPr>
  </w:style>
  <w:style w:type="character" w:customStyle="1" w:styleId="scopustermhighlight">
    <w:name w:val="scopustermhighlight"/>
    <w:rPr>
      <w:rFonts w:ascii="Times New Roman" w:hAnsi="Times New Roman" w:cs="Times New Roman"/>
    </w:rPr>
  </w:style>
  <w:style w:type="paragraph" w:customStyle="1" w:styleId="marginb3">
    <w:name w:val="marginb3"/>
    <w:basedOn w:val="Normal"/>
    <w:pPr>
      <w:autoSpaceDE w:val="0"/>
      <w:autoSpaceDN w:val="0"/>
      <w:spacing w:before="100" w:after="100"/>
      <w:jc w:val="both"/>
    </w:pPr>
    <w:rPr>
      <w:color w:val="auto"/>
      <w:sz w:val="24"/>
      <w:lang w:val="fr-FR"/>
    </w:rPr>
  </w:style>
  <w:style w:type="character" w:customStyle="1" w:styleId="region">
    <w:name w:val="region"/>
    <w:rPr>
      <w:rFonts w:ascii="Times New Roman" w:hAnsi="Times New Roman" w:cs="Times New Roman"/>
    </w:rPr>
  </w:style>
  <w:style w:type="character" w:customStyle="1" w:styleId="documenttype">
    <w:name w:val="documenttype"/>
    <w:rPr>
      <w:rFonts w:ascii="Times New Roman" w:hAnsi="Times New Roman" w:cs="Times New Roman"/>
    </w:rPr>
  </w:style>
  <w:style w:type="paragraph" w:customStyle="1" w:styleId="HTOCReport">
    <w:name w:val="HTOC Report"/>
    <w:basedOn w:val="Normal"/>
    <w:pPr>
      <w:spacing w:after="0"/>
    </w:pPr>
    <w:rPr>
      <w:rFonts w:ascii="Times" w:hAnsi="Times"/>
      <w:color w:val="auto"/>
      <w:lang w:eastAsia="ja-JP"/>
    </w:rPr>
  </w:style>
  <w:style w:type="character" w:customStyle="1" w:styleId="authorname">
    <w:name w:val="authorname"/>
    <w:basedOn w:val="DefaultParagraphFont"/>
  </w:style>
  <w:style w:type="character" w:customStyle="1" w:styleId="nlmx">
    <w:name w:val="nlm_x"/>
    <w:basedOn w:val="DefaultParagraphFont"/>
  </w:style>
  <w:style w:type="paragraph" w:customStyle="1" w:styleId="MediumGrid21">
    <w:name w:val="Medium Grid 21"/>
    <w:qFormat/>
    <w:pPr>
      <w:jc w:val="both"/>
    </w:pPr>
    <w:rPr>
      <w:rFonts w:ascii="Times New Roman" w:eastAsia="MS Mincho" w:hAnsi="Times New Roman"/>
      <w:sz w:val="24"/>
    </w:rPr>
  </w:style>
  <w:style w:type="paragraph" w:styleId="ListParagraph">
    <w:name w:val="List Paragraph"/>
    <w:basedOn w:val="Normal"/>
    <w:autoRedefine/>
    <w:uiPriority w:val="34"/>
    <w:qFormat/>
    <w:rsid w:val="00A549E8"/>
    <w:pPr>
      <w:numPr>
        <w:numId w:val="69"/>
      </w:numPr>
      <w:shd w:val="clear" w:color="auto" w:fill="FFFFFF"/>
      <w:spacing w:after="120" w:line="259" w:lineRule="auto"/>
      <w:ind w:left="714" w:hanging="357"/>
      <w:textAlignment w:val="baseline"/>
    </w:pPr>
    <w:rPr>
      <w:color w:val="auto"/>
      <w:kern w:val="2"/>
      <w:szCs w:val="22"/>
      <w:lang w:val="en-AU"/>
    </w:rPr>
  </w:style>
  <w:style w:type="character" w:customStyle="1" w:styleId="articletypelabel">
    <w:name w:val="articletypelabel"/>
    <w:basedOn w:val="DefaultParagraphFont"/>
    <w:rsid w:val="00CA5E9C"/>
  </w:style>
  <w:style w:type="paragraph" w:customStyle="1" w:styleId="Refs0">
    <w:name w:val="Refs"/>
    <w:basedOn w:val="BodyText"/>
    <w:rsid w:val="00CA5E9C"/>
    <w:pPr>
      <w:spacing w:before="120" w:after="0" w:line="264" w:lineRule="auto"/>
      <w:ind w:left="567" w:hanging="567"/>
    </w:pPr>
    <w:rPr>
      <w:rFonts w:ascii="Arial" w:eastAsia="Calibri" w:hAnsi="Arial"/>
      <w:color w:val="auto"/>
      <w:sz w:val="20"/>
      <w:lang w:val="en-AU" w:eastAsia="en-NZ"/>
    </w:rPr>
  </w:style>
  <w:style w:type="character" w:customStyle="1" w:styleId="slug-pub-date3">
    <w:name w:val="slug-pub-date3"/>
    <w:basedOn w:val="DefaultParagraphFont"/>
    <w:rsid w:val="00CA5E9C"/>
  </w:style>
  <w:style w:type="character" w:customStyle="1" w:styleId="slug-vol">
    <w:name w:val="slug-vol"/>
    <w:basedOn w:val="DefaultParagraphFont"/>
    <w:rsid w:val="00CA5E9C"/>
  </w:style>
  <w:style w:type="character" w:customStyle="1" w:styleId="slug-issue">
    <w:name w:val="slug-issue"/>
    <w:basedOn w:val="DefaultParagraphFont"/>
    <w:rsid w:val="00CA5E9C"/>
  </w:style>
  <w:style w:type="character" w:customStyle="1" w:styleId="slug-pages3">
    <w:name w:val="slug-pages3"/>
    <w:basedOn w:val="DefaultParagraphFont"/>
    <w:rsid w:val="00CA5E9C"/>
  </w:style>
  <w:style w:type="table" w:styleId="TableGrid">
    <w:name w:val="Table Grid"/>
    <w:basedOn w:val="TableNormal"/>
    <w:rsid w:val="005B1FC8"/>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1 Char"/>
    <w:basedOn w:val="DefaultParagraphFont"/>
    <w:link w:val="Style1"/>
    <w:rsid w:val="005B1FC8"/>
    <w:rPr>
      <w:rFonts w:ascii="Garamond" w:hAnsi="Garamond"/>
      <w:sz w:val="22"/>
      <w:lang w:eastAsia="zh-CN"/>
    </w:rPr>
  </w:style>
  <w:style w:type="character" w:customStyle="1" w:styleId="Style2Char">
    <w:name w:val="Style2 Char"/>
    <w:basedOn w:val="DefaultParagraphFont"/>
    <w:link w:val="Style2"/>
    <w:rsid w:val="005B1FC8"/>
    <w:rPr>
      <w:rFonts w:ascii="Times New Roman" w:hAnsi="Times New Roman"/>
      <w:sz w:val="22"/>
      <w:lang w:val="en-GB" w:eastAsia="en-GB"/>
    </w:rPr>
  </w:style>
  <w:style w:type="paragraph" w:customStyle="1" w:styleId="TableText1">
    <w:name w:val="Table Text"/>
    <w:basedOn w:val="Normal"/>
    <w:qFormat/>
    <w:rsid w:val="00841BDE"/>
    <w:pPr>
      <w:spacing w:after="0"/>
    </w:pPr>
    <w:rPr>
      <w:kern w:val="2"/>
      <w:sz w:val="24"/>
      <w:szCs w:val="24"/>
      <w:lang w:val="en-US" w:eastAsia="en-US"/>
    </w:rPr>
  </w:style>
  <w:style w:type="paragraph" w:customStyle="1" w:styleId="TableHeadings">
    <w:name w:val="Table Headings"/>
    <w:basedOn w:val="TableText1"/>
    <w:qFormat/>
    <w:rsid w:val="00841BDE"/>
    <w:pPr>
      <w:jc w:val="center"/>
    </w:pPr>
    <w:rPr>
      <w:rFonts w:ascii="Times New Roman Bold"/>
      <w:b/>
    </w:rPr>
  </w:style>
  <w:style w:type="paragraph" w:customStyle="1" w:styleId="Tablenote">
    <w:name w:val="Table note"/>
    <w:basedOn w:val="Normal"/>
    <w:qFormat/>
    <w:rsid w:val="00841BDE"/>
    <w:pPr>
      <w:spacing w:after="0"/>
      <w:ind w:left="720" w:hanging="720"/>
      <w:contextualSpacing/>
    </w:pPr>
    <w:rPr>
      <w:rFonts w:eastAsia="MS Mincho"/>
      <w:snapToGrid w:val="0"/>
      <w:color w:val="auto"/>
      <w:kern w:val="2"/>
      <w:sz w:val="20"/>
      <w:szCs w:val="18"/>
      <w:lang w:val="en-US" w:eastAsia="en-US"/>
    </w:rPr>
  </w:style>
  <w:style w:type="character" w:customStyle="1" w:styleId="TitleChar1">
    <w:name w:val="Title Char1"/>
    <w:link w:val="Title"/>
    <w:rsid w:val="00942E2A"/>
    <w:rPr>
      <w:rFonts w:ascii="Times New Roman" w:hAnsi="Times New Roman"/>
      <w:b/>
      <w:color w:val="000000"/>
      <w:sz w:val="32"/>
      <w:lang w:val="en-GB" w:eastAsia="zh-CN"/>
    </w:rPr>
  </w:style>
  <w:style w:type="character" w:customStyle="1" w:styleId="HeaderChar1">
    <w:name w:val="Header Char1"/>
    <w:aliases w:val="EthylHeader Char1"/>
    <w:link w:val="Header"/>
    <w:uiPriority w:val="99"/>
    <w:rsid w:val="00942E2A"/>
    <w:rPr>
      <w:rFonts w:ascii="Times New Roman" w:hAnsi="Times New Roman"/>
      <w:color w:val="000000"/>
      <w:sz w:val="22"/>
      <w:lang w:val="en-GB" w:eastAsia="zh-CN"/>
    </w:rPr>
  </w:style>
  <w:style w:type="table" w:styleId="LightShading">
    <w:name w:val="Light Shading"/>
    <w:basedOn w:val="TableNormal"/>
    <w:uiPriority w:val="60"/>
    <w:rsid w:val="00A66F2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CB66F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gp486">
    <w:name w:val="gp486"/>
    <w:basedOn w:val="DefaultParagraphFont"/>
    <w:rsid w:val="00C915BD"/>
  </w:style>
  <w:style w:type="table" w:styleId="MediumShading1-Accent5">
    <w:name w:val="Medium Shading 1 Accent 5"/>
    <w:basedOn w:val="TableNormal"/>
    <w:uiPriority w:val="63"/>
    <w:rsid w:val="00CF01A0"/>
    <w:rPr>
      <w:rFonts w:asciiTheme="minorHAnsi" w:eastAsiaTheme="minorEastAsia" w:hAnsiTheme="minorHAnsi" w:cstheme="minorBidi"/>
      <w:sz w:val="24"/>
      <w:szCs w:val="24"/>
      <w:lang w:val="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F01A0"/>
    <w:rPr>
      <w:rFonts w:asciiTheme="minorHAnsi" w:eastAsiaTheme="minorEastAsia" w:hAnsiTheme="minorHAnsi" w:cstheme="minorBidi"/>
      <w:sz w:val="24"/>
      <w:szCs w:val="24"/>
      <w:lang w:val="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F01A0"/>
    <w:rPr>
      <w:rFonts w:asciiTheme="minorHAnsi" w:eastAsiaTheme="minorEastAsia" w:hAnsiTheme="minorHAnsi" w:cstheme="minorBidi"/>
      <w:sz w:val="24"/>
      <w:szCs w:val="24"/>
      <w:lang w:val="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F01A0"/>
    <w:rPr>
      <w:rFonts w:asciiTheme="minorHAnsi" w:eastAsiaTheme="minorEastAsia" w:hAnsiTheme="minorHAnsi" w:cstheme="minorBidi"/>
      <w:sz w:val="24"/>
      <w:szCs w:val="24"/>
      <w:lang w:val="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p4">
    <w:name w:val="p4"/>
    <w:basedOn w:val="Normal"/>
    <w:rsid w:val="00F73340"/>
    <w:pPr>
      <w:spacing w:before="100" w:beforeAutospacing="1" w:after="100" w:afterAutospacing="1"/>
    </w:pPr>
    <w:rPr>
      <w:color w:val="auto"/>
      <w:sz w:val="24"/>
      <w:szCs w:val="24"/>
      <w:lang w:val="de-DE" w:eastAsia="de-DE"/>
    </w:rPr>
  </w:style>
  <w:style w:type="character" w:customStyle="1" w:styleId="s1">
    <w:name w:val="s1"/>
    <w:basedOn w:val="DefaultParagraphFont"/>
    <w:rsid w:val="00F73340"/>
  </w:style>
  <w:style w:type="paragraph" w:customStyle="1" w:styleId="p5">
    <w:name w:val="p5"/>
    <w:basedOn w:val="Normal"/>
    <w:rsid w:val="00F73340"/>
    <w:pPr>
      <w:spacing w:before="100" w:beforeAutospacing="1" w:after="100" w:afterAutospacing="1"/>
    </w:pPr>
    <w:rPr>
      <w:color w:val="auto"/>
      <w:sz w:val="24"/>
      <w:szCs w:val="24"/>
      <w:lang w:val="de-DE" w:eastAsia="de-DE"/>
    </w:rPr>
  </w:style>
  <w:style w:type="character" w:customStyle="1" w:styleId="cmpparsedlocation">
    <w:name w:val="cmp_parsed_location"/>
    <w:basedOn w:val="DefaultParagraphFont"/>
    <w:rsid w:val="00F73340"/>
  </w:style>
  <w:style w:type="paragraph" w:customStyle="1" w:styleId="Style8">
    <w:name w:val="Style8"/>
    <w:basedOn w:val="Heading4"/>
    <w:autoRedefine/>
    <w:qFormat/>
    <w:rsid w:val="007C3005"/>
    <w:pPr>
      <w:ind w:left="1571"/>
    </w:pPr>
    <w:rPr>
      <w:i w:val="0"/>
    </w:rPr>
  </w:style>
  <w:style w:type="paragraph" w:customStyle="1" w:styleId="Style9">
    <w:name w:val="Style9"/>
    <w:basedOn w:val="Heading4"/>
    <w:next w:val="StyleHeading4Left0Firstline0"/>
    <w:autoRedefine/>
    <w:qFormat/>
    <w:rsid w:val="007C3005"/>
    <w:pPr>
      <w:ind w:left="1571"/>
    </w:pPr>
    <w:rPr>
      <w:i w:val="0"/>
    </w:rPr>
  </w:style>
  <w:style w:type="character" w:customStyle="1" w:styleId="UnresolvedMention1">
    <w:name w:val="Unresolved Mention1"/>
    <w:basedOn w:val="DefaultParagraphFont"/>
    <w:uiPriority w:val="99"/>
    <w:semiHidden/>
    <w:unhideWhenUsed/>
    <w:rsid w:val="009D6E18"/>
    <w:rPr>
      <w:color w:val="808080"/>
      <w:shd w:val="clear" w:color="auto" w:fill="E6E6E6"/>
    </w:rPr>
  </w:style>
  <w:style w:type="character" w:customStyle="1" w:styleId="xmsofootnotereference">
    <w:name w:val="x_msofootnotereference"/>
    <w:basedOn w:val="DefaultParagraphFont"/>
    <w:rsid w:val="00966473"/>
  </w:style>
  <w:style w:type="character" w:customStyle="1" w:styleId="Mention1">
    <w:name w:val="Mention1"/>
    <w:basedOn w:val="DefaultParagraphFont"/>
    <w:uiPriority w:val="99"/>
    <w:semiHidden/>
    <w:unhideWhenUsed/>
    <w:rsid w:val="0006302E"/>
    <w:rPr>
      <w:color w:val="2B579A"/>
      <w:shd w:val="clear" w:color="auto" w:fill="E6E6E6"/>
    </w:rPr>
  </w:style>
  <w:style w:type="character" w:customStyle="1" w:styleId="UnresolvedMention2">
    <w:name w:val="Unresolved Mention2"/>
    <w:basedOn w:val="DefaultParagraphFont"/>
    <w:uiPriority w:val="99"/>
    <w:semiHidden/>
    <w:unhideWhenUsed/>
    <w:rsid w:val="0098504E"/>
    <w:rPr>
      <w:color w:val="808080"/>
      <w:shd w:val="clear" w:color="auto" w:fill="E6E6E6"/>
    </w:rPr>
  </w:style>
  <w:style w:type="character" w:customStyle="1" w:styleId="UnresolvedMention3">
    <w:name w:val="Unresolved Mention3"/>
    <w:basedOn w:val="DefaultParagraphFont"/>
    <w:uiPriority w:val="99"/>
    <w:semiHidden/>
    <w:unhideWhenUsed/>
    <w:rsid w:val="002C2401"/>
    <w:rPr>
      <w:color w:val="808080"/>
      <w:shd w:val="clear" w:color="auto" w:fill="E6E6E6"/>
    </w:rPr>
  </w:style>
  <w:style w:type="character" w:customStyle="1" w:styleId="UnresolvedMention4">
    <w:name w:val="Unresolved Mention4"/>
    <w:basedOn w:val="DefaultParagraphFont"/>
    <w:uiPriority w:val="99"/>
    <w:semiHidden/>
    <w:unhideWhenUsed/>
    <w:rsid w:val="008724E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3327">
      <w:bodyDiv w:val="1"/>
      <w:marLeft w:val="0"/>
      <w:marRight w:val="0"/>
      <w:marTop w:val="0"/>
      <w:marBottom w:val="0"/>
      <w:divBdr>
        <w:top w:val="none" w:sz="0" w:space="0" w:color="auto"/>
        <w:left w:val="none" w:sz="0" w:space="0" w:color="auto"/>
        <w:bottom w:val="none" w:sz="0" w:space="0" w:color="auto"/>
        <w:right w:val="none" w:sz="0" w:space="0" w:color="auto"/>
      </w:divBdr>
      <w:divsChild>
        <w:div w:id="242035296">
          <w:marLeft w:val="0"/>
          <w:marRight w:val="0"/>
          <w:marTop w:val="0"/>
          <w:marBottom w:val="0"/>
          <w:divBdr>
            <w:top w:val="none" w:sz="0" w:space="0" w:color="auto"/>
            <w:left w:val="none" w:sz="0" w:space="0" w:color="auto"/>
            <w:bottom w:val="none" w:sz="0" w:space="0" w:color="auto"/>
            <w:right w:val="none" w:sz="0" w:space="0" w:color="auto"/>
          </w:divBdr>
        </w:div>
        <w:div w:id="428699814">
          <w:marLeft w:val="0"/>
          <w:marRight w:val="0"/>
          <w:marTop w:val="0"/>
          <w:marBottom w:val="0"/>
          <w:divBdr>
            <w:top w:val="none" w:sz="0" w:space="0" w:color="auto"/>
            <w:left w:val="none" w:sz="0" w:space="0" w:color="auto"/>
            <w:bottom w:val="none" w:sz="0" w:space="0" w:color="auto"/>
            <w:right w:val="none" w:sz="0" w:space="0" w:color="auto"/>
          </w:divBdr>
        </w:div>
        <w:div w:id="908148857">
          <w:marLeft w:val="0"/>
          <w:marRight w:val="0"/>
          <w:marTop w:val="0"/>
          <w:marBottom w:val="0"/>
          <w:divBdr>
            <w:top w:val="none" w:sz="0" w:space="0" w:color="auto"/>
            <w:left w:val="none" w:sz="0" w:space="0" w:color="auto"/>
            <w:bottom w:val="none" w:sz="0" w:space="0" w:color="auto"/>
            <w:right w:val="none" w:sz="0" w:space="0" w:color="auto"/>
          </w:divBdr>
        </w:div>
        <w:div w:id="1050349291">
          <w:marLeft w:val="0"/>
          <w:marRight w:val="0"/>
          <w:marTop w:val="0"/>
          <w:marBottom w:val="0"/>
          <w:divBdr>
            <w:top w:val="none" w:sz="0" w:space="0" w:color="auto"/>
            <w:left w:val="none" w:sz="0" w:space="0" w:color="auto"/>
            <w:bottom w:val="none" w:sz="0" w:space="0" w:color="auto"/>
            <w:right w:val="none" w:sz="0" w:space="0" w:color="auto"/>
          </w:divBdr>
        </w:div>
        <w:div w:id="1164121980">
          <w:marLeft w:val="0"/>
          <w:marRight w:val="0"/>
          <w:marTop w:val="0"/>
          <w:marBottom w:val="0"/>
          <w:divBdr>
            <w:top w:val="none" w:sz="0" w:space="0" w:color="auto"/>
            <w:left w:val="none" w:sz="0" w:space="0" w:color="auto"/>
            <w:bottom w:val="none" w:sz="0" w:space="0" w:color="auto"/>
            <w:right w:val="none" w:sz="0" w:space="0" w:color="auto"/>
          </w:divBdr>
        </w:div>
        <w:div w:id="1384795911">
          <w:marLeft w:val="0"/>
          <w:marRight w:val="0"/>
          <w:marTop w:val="0"/>
          <w:marBottom w:val="0"/>
          <w:divBdr>
            <w:top w:val="none" w:sz="0" w:space="0" w:color="auto"/>
            <w:left w:val="none" w:sz="0" w:space="0" w:color="auto"/>
            <w:bottom w:val="none" w:sz="0" w:space="0" w:color="auto"/>
            <w:right w:val="none" w:sz="0" w:space="0" w:color="auto"/>
          </w:divBdr>
        </w:div>
        <w:div w:id="1806972265">
          <w:marLeft w:val="0"/>
          <w:marRight w:val="0"/>
          <w:marTop w:val="0"/>
          <w:marBottom w:val="0"/>
          <w:divBdr>
            <w:top w:val="none" w:sz="0" w:space="0" w:color="auto"/>
            <w:left w:val="none" w:sz="0" w:space="0" w:color="auto"/>
            <w:bottom w:val="none" w:sz="0" w:space="0" w:color="auto"/>
            <w:right w:val="none" w:sz="0" w:space="0" w:color="auto"/>
          </w:divBdr>
        </w:div>
        <w:div w:id="1843466615">
          <w:marLeft w:val="0"/>
          <w:marRight w:val="0"/>
          <w:marTop w:val="0"/>
          <w:marBottom w:val="0"/>
          <w:divBdr>
            <w:top w:val="none" w:sz="0" w:space="0" w:color="auto"/>
            <w:left w:val="none" w:sz="0" w:space="0" w:color="auto"/>
            <w:bottom w:val="none" w:sz="0" w:space="0" w:color="auto"/>
            <w:right w:val="none" w:sz="0" w:space="0" w:color="auto"/>
          </w:divBdr>
        </w:div>
      </w:divsChild>
    </w:div>
    <w:div w:id="230121746">
      <w:bodyDiv w:val="1"/>
      <w:marLeft w:val="0"/>
      <w:marRight w:val="0"/>
      <w:marTop w:val="0"/>
      <w:marBottom w:val="0"/>
      <w:divBdr>
        <w:top w:val="none" w:sz="0" w:space="0" w:color="auto"/>
        <w:left w:val="none" w:sz="0" w:space="0" w:color="auto"/>
        <w:bottom w:val="none" w:sz="0" w:space="0" w:color="auto"/>
        <w:right w:val="none" w:sz="0" w:space="0" w:color="auto"/>
      </w:divBdr>
      <w:divsChild>
        <w:div w:id="604194367">
          <w:marLeft w:val="0"/>
          <w:marRight w:val="0"/>
          <w:marTop w:val="0"/>
          <w:marBottom w:val="0"/>
          <w:divBdr>
            <w:top w:val="none" w:sz="0" w:space="0" w:color="auto"/>
            <w:left w:val="none" w:sz="0" w:space="0" w:color="auto"/>
            <w:bottom w:val="none" w:sz="0" w:space="0" w:color="auto"/>
            <w:right w:val="none" w:sz="0" w:space="0" w:color="auto"/>
          </w:divBdr>
          <w:divsChild>
            <w:div w:id="172842655">
              <w:marLeft w:val="0"/>
              <w:marRight w:val="0"/>
              <w:marTop w:val="0"/>
              <w:marBottom w:val="0"/>
              <w:divBdr>
                <w:top w:val="none" w:sz="0" w:space="0" w:color="auto"/>
                <w:left w:val="none" w:sz="0" w:space="0" w:color="auto"/>
                <w:bottom w:val="none" w:sz="0" w:space="0" w:color="auto"/>
                <w:right w:val="none" w:sz="0" w:space="0" w:color="auto"/>
              </w:divBdr>
              <w:divsChild>
                <w:div w:id="821822324">
                  <w:marLeft w:val="0"/>
                  <w:marRight w:val="0"/>
                  <w:marTop w:val="0"/>
                  <w:marBottom w:val="0"/>
                  <w:divBdr>
                    <w:top w:val="none" w:sz="0" w:space="0" w:color="auto"/>
                    <w:left w:val="none" w:sz="0" w:space="0" w:color="auto"/>
                    <w:bottom w:val="none" w:sz="0" w:space="0" w:color="auto"/>
                    <w:right w:val="none" w:sz="0" w:space="0" w:color="auto"/>
                  </w:divBdr>
                  <w:divsChild>
                    <w:div w:id="9024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982140">
      <w:bodyDiv w:val="1"/>
      <w:marLeft w:val="0"/>
      <w:marRight w:val="0"/>
      <w:marTop w:val="0"/>
      <w:marBottom w:val="0"/>
      <w:divBdr>
        <w:top w:val="none" w:sz="0" w:space="0" w:color="auto"/>
        <w:left w:val="none" w:sz="0" w:space="0" w:color="auto"/>
        <w:bottom w:val="none" w:sz="0" w:space="0" w:color="auto"/>
        <w:right w:val="none" w:sz="0" w:space="0" w:color="auto"/>
      </w:divBdr>
    </w:div>
    <w:div w:id="386614183">
      <w:bodyDiv w:val="1"/>
      <w:marLeft w:val="0"/>
      <w:marRight w:val="0"/>
      <w:marTop w:val="0"/>
      <w:marBottom w:val="0"/>
      <w:divBdr>
        <w:top w:val="none" w:sz="0" w:space="0" w:color="auto"/>
        <w:left w:val="none" w:sz="0" w:space="0" w:color="auto"/>
        <w:bottom w:val="none" w:sz="0" w:space="0" w:color="auto"/>
        <w:right w:val="none" w:sz="0" w:space="0" w:color="auto"/>
      </w:divBdr>
    </w:div>
    <w:div w:id="519049830">
      <w:bodyDiv w:val="1"/>
      <w:marLeft w:val="0"/>
      <w:marRight w:val="0"/>
      <w:marTop w:val="0"/>
      <w:marBottom w:val="0"/>
      <w:divBdr>
        <w:top w:val="none" w:sz="0" w:space="0" w:color="auto"/>
        <w:left w:val="none" w:sz="0" w:space="0" w:color="auto"/>
        <w:bottom w:val="none" w:sz="0" w:space="0" w:color="auto"/>
        <w:right w:val="none" w:sz="0" w:space="0" w:color="auto"/>
      </w:divBdr>
      <w:divsChild>
        <w:div w:id="725103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4367869">
              <w:marLeft w:val="0"/>
              <w:marRight w:val="0"/>
              <w:marTop w:val="0"/>
              <w:marBottom w:val="0"/>
              <w:divBdr>
                <w:top w:val="none" w:sz="0" w:space="0" w:color="auto"/>
                <w:left w:val="none" w:sz="0" w:space="0" w:color="auto"/>
                <w:bottom w:val="none" w:sz="0" w:space="0" w:color="auto"/>
                <w:right w:val="none" w:sz="0" w:space="0" w:color="auto"/>
              </w:divBdr>
              <w:divsChild>
                <w:div w:id="541939603">
                  <w:marLeft w:val="0"/>
                  <w:marRight w:val="0"/>
                  <w:marTop w:val="0"/>
                  <w:marBottom w:val="0"/>
                  <w:divBdr>
                    <w:top w:val="none" w:sz="0" w:space="0" w:color="auto"/>
                    <w:left w:val="none" w:sz="0" w:space="0" w:color="auto"/>
                    <w:bottom w:val="none" w:sz="0" w:space="0" w:color="auto"/>
                    <w:right w:val="none" w:sz="0" w:space="0" w:color="auto"/>
                  </w:divBdr>
                  <w:divsChild>
                    <w:div w:id="1890922787">
                      <w:marLeft w:val="0"/>
                      <w:marRight w:val="0"/>
                      <w:marTop w:val="0"/>
                      <w:marBottom w:val="0"/>
                      <w:divBdr>
                        <w:top w:val="none" w:sz="0" w:space="0" w:color="auto"/>
                        <w:left w:val="none" w:sz="0" w:space="0" w:color="auto"/>
                        <w:bottom w:val="none" w:sz="0" w:space="0" w:color="auto"/>
                        <w:right w:val="none" w:sz="0" w:space="0" w:color="auto"/>
                      </w:divBdr>
                      <w:divsChild>
                        <w:div w:id="192788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2716810">
      <w:bodyDiv w:val="1"/>
      <w:marLeft w:val="0"/>
      <w:marRight w:val="0"/>
      <w:marTop w:val="0"/>
      <w:marBottom w:val="0"/>
      <w:divBdr>
        <w:top w:val="none" w:sz="0" w:space="0" w:color="auto"/>
        <w:left w:val="none" w:sz="0" w:space="0" w:color="auto"/>
        <w:bottom w:val="none" w:sz="0" w:space="0" w:color="auto"/>
        <w:right w:val="none" w:sz="0" w:space="0" w:color="auto"/>
      </w:divBdr>
      <w:divsChild>
        <w:div w:id="12480328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587572">
              <w:marLeft w:val="0"/>
              <w:marRight w:val="0"/>
              <w:marTop w:val="0"/>
              <w:marBottom w:val="0"/>
              <w:divBdr>
                <w:top w:val="none" w:sz="0" w:space="0" w:color="auto"/>
                <w:left w:val="none" w:sz="0" w:space="0" w:color="auto"/>
                <w:bottom w:val="none" w:sz="0" w:space="0" w:color="auto"/>
                <w:right w:val="none" w:sz="0" w:space="0" w:color="auto"/>
              </w:divBdr>
              <w:divsChild>
                <w:div w:id="130024695">
                  <w:marLeft w:val="0"/>
                  <w:marRight w:val="0"/>
                  <w:marTop w:val="0"/>
                  <w:marBottom w:val="0"/>
                  <w:divBdr>
                    <w:top w:val="none" w:sz="0" w:space="0" w:color="auto"/>
                    <w:left w:val="none" w:sz="0" w:space="0" w:color="auto"/>
                    <w:bottom w:val="none" w:sz="0" w:space="0" w:color="auto"/>
                    <w:right w:val="none" w:sz="0" w:space="0" w:color="auto"/>
                  </w:divBdr>
                  <w:divsChild>
                    <w:div w:id="1631934984">
                      <w:marLeft w:val="0"/>
                      <w:marRight w:val="0"/>
                      <w:marTop w:val="0"/>
                      <w:marBottom w:val="0"/>
                      <w:divBdr>
                        <w:top w:val="none" w:sz="0" w:space="0" w:color="auto"/>
                        <w:left w:val="none" w:sz="0" w:space="0" w:color="auto"/>
                        <w:bottom w:val="none" w:sz="0" w:space="0" w:color="auto"/>
                        <w:right w:val="none" w:sz="0" w:space="0" w:color="auto"/>
                      </w:divBdr>
                      <w:divsChild>
                        <w:div w:id="66964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2132421">
      <w:bodyDiv w:val="1"/>
      <w:marLeft w:val="0"/>
      <w:marRight w:val="0"/>
      <w:marTop w:val="0"/>
      <w:marBottom w:val="0"/>
      <w:divBdr>
        <w:top w:val="none" w:sz="0" w:space="0" w:color="auto"/>
        <w:left w:val="none" w:sz="0" w:space="0" w:color="auto"/>
        <w:bottom w:val="none" w:sz="0" w:space="0" w:color="auto"/>
        <w:right w:val="none" w:sz="0" w:space="0" w:color="auto"/>
      </w:divBdr>
    </w:div>
    <w:div w:id="930430401">
      <w:bodyDiv w:val="1"/>
      <w:marLeft w:val="0"/>
      <w:marRight w:val="0"/>
      <w:marTop w:val="0"/>
      <w:marBottom w:val="0"/>
      <w:divBdr>
        <w:top w:val="none" w:sz="0" w:space="0" w:color="auto"/>
        <w:left w:val="none" w:sz="0" w:space="0" w:color="auto"/>
        <w:bottom w:val="none" w:sz="0" w:space="0" w:color="auto"/>
        <w:right w:val="none" w:sz="0" w:space="0" w:color="auto"/>
      </w:divBdr>
    </w:div>
    <w:div w:id="942373223">
      <w:bodyDiv w:val="1"/>
      <w:marLeft w:val="0"/>
      <w:marRight w:val="0"/>
      <w:marTop w:val="0"/>
      <w:marBottom w:val="0"/>
      <w:divBdr>
        <w:top w:val="none" w:sz="0" w:space="0" w:color="auto"/>
        <w:left w:val="none" w:sz="0" w:space="0" w:color="auto"/>
        <w:bottom w:val="none" w:sz="0" w:space="0" w:color="auto"/>
        <w:right w:val="none" w:sz="0" w:space="0" w:color="auto"/>
      </w:divBdr>
    </w:div>
    <w:div w:id="1006521102">
      <w:bodyDiv w:val="1"/>
      <w:marLeft w:val="0"/>
      <w:marRight w:val="0"/>
      <w:marTop w:val="0"/>
      <w:marBottom w:val="0"/>
      <w:divBdr>
        <w:top w:val="none" w:sz="0" w:space="0" w:color="auto"/>
        <w:left w:val="none" w:sz="0" w:space="0" w:color="auto"/>
        <w:bottom w:val="none" w:sz="0" w:space="0" w:color="auto"/>
        <w:right w:val="none" w:sz="0" w:space="0" w:color="auto"/>
      </w:divBdr>
    </w:div>
    <w:div w:id="1081567445">
      <w:bodyDiv w:val="1"/>
      <w:marLeft w:val="0"/>
      <w:marRight w:val="0"/>
      <w:marTop w:val="0"/>
      <w:marBottom w:val="0"/>
      <w:divBdr>
        <w:top w:val="none" w:sz="0" w:space="0" w:color="auto"/>
        <w:left w:val="none" w:sz="0" w:space="0" w:color="auto"/>
        <w:bottom w:val="none" w:sz="0" w:space="0" w:color="auto"/>
        <w:right w:val="none" w:sz="0" w:space="0" w:color="auto"/>
      </w:divBdr>
      <w:divsChild>
        <w:div w:id="235824183">
          <w:marLeft w:val="0"/>
          <w:marRight w:val="0"/>
          <w:marTop w:val="0"/>
          <w:marBottom w:val="0"/>
          <w:divBdr>
            <w:top w:val="none" w:sz="0" w:space="0" w:color="auto"/>
            <w:left w:val="none" w:sz="0" w:space="0" w:color="auto"/>
            <w:bottom w:val="none" w:sz="0" w:space="0" w:color="auto"/>
            <w:right w:val="none" w:sz="0" w:space="0" w:color="auto"/>
          </w:divBdr>
        </w:div>
        <w:div w:id="710688281">
          <w:marLeft w:val="0"/>
          <w:marRight w:val="0"/>
          <w:marTop w:val="0"/>
          <w:marBottom w:val="0"/>
          <w:divBdr>
            <w:top w:val="none" w:sz="0" w:space="0" w:color="auto"/>
            <w:left w:val="none" w:sz="0" w:space="0" w:color="auto"/>
            <w:bottom w:val="none" w:sz="0" w:space="0" w:color="auto"/>
            <w:right w:val="none" w:sz="0" w:space="0" w:color="auto"/>
          </w:divBdr>
        </w:div>
        <w:div w:id="808742911">
          <w:marLeft w:val="0"/>
          <w:marRight w:val="0"/>
          <w:marTop w:val="0"/>
          <w:marBottom w:val="0"/>
          <w:divBdr>
            <w:top w:val="none" w:sz="0" w:space="0" w:color="auto"/>
            <w:left w:val="none" w:sz="0" w:space="0" w:color="auto"/>
            <w:bottom w:val="none" w:sz="0" w:space="0" w:color="auto"/>
            <w:right w:val="none" w:sz="0" w:space="0" w:color="auto"/>
          </w:divBdr>
        </w:div>
        <w:div w:id="890112152">
          <w:marLeft w:val="0"/>
          <w:marRight w:val="0"/>
          <w:marTop w:val="0"/>
          <w:marBottom w:val="0"/>
          <w:divBdr>
            <w:top w:val="none" w:sz="0" w:space="0" w:color="auto"/>
            <w:left w:val="none" w:sz="0" w:space="0" w:color="auto"/>
            <w:bottom w:val="none" w:sz="0" w:space="0" w:color="auto"/>
            <w:right w:val="none" w:sz="0" w:space="0" w:color="auto"/>
          </w:divBdr>
        </w:div>
        <w:div w:id="973026674">
          <w:marLeft w:val="0"/>
          <w:marRight w:val="0"/>
          <w:marTop w:val="0"/>
          <w:marBottom w:val="0"/>
          <w:divBdr>
            <w:top w:val="none" w:sz="0" w:space="0" w:color="auto"/>
            <w:left w:val="none" w:sz="0" w:space="0" w:color="auto"/>
            <w:bottom w:val="none" w:sz="0" w:space="0" w:color="auto"/>
            <w:right w:val="none" w:sz="0" w:space="0" w:color="auto"/>
          </w:divBdr>
        </w:div>
        <w:div w:id="974332615">
          <w:marLeft w:val="0"/>
          <w:marRight w:val="0"/>
          <w:marTop w:val="0"/>
          <w:marBottom w:val="0"/>
          <w:divBdr>
            <w:top w:val="none" w:sz="0" w:space="0" w:color="auto"/>
            <w:left w:val="none" w:sz="0" w:space="0" w:color="auto"/>
            <w:bottom w:val="none" w:sz="0" w:space="0" w:color="auto"/>
            <w:right w:val="none" w:sz="0" w:space="0" w:color="auto"/>
          </w:divBdr>
        </w:div>
        <w:div w:id="1133138191">
          <w:marLeft w:val="0"/>
          <w:marRight w:val="0"/>
          <w:marTop w:val="0"/>
          <w:marBottom w:val="0"/>
          <w:divBdr>
            <w:top w:val="none" w:sz="0" w:space="0" w:color="auto"/>
            <w:left w:val="none" w:sz="0" w:space="0" w:color="auto"/>
            <w:bottom w:val="none" w:sz="0" w:space="0" w:color="auto"/>
            <w:right w:val="none" w:sz="0" w:space="0" w:color="auto"/>
          </w:divBdr>
        </w:div>
        <w:div w:id="1133407958">
          <w:marLeft w:val="0"/>
          <w:marRight w:val="0"/>
          <w:marTop w:val="0"/>
          <w:marBottom w:val="0"/>
          <w:divBdr>
            <w:top w:val="none" w:sz="0" w:space="0" w:color="auto"/>
            <w:left w:val="none" w:sz="0" w:space="0" w:color="auto"/>
            <w:bottom w:val="none" w:sz="0" w:space="0" w:color="auto"/>
            <w:right w:val="none" w:sz="0" w:space="0" w:color="auto"/>
          </w:divBdr>
        </w:div>
        <w:div w:id="1342971499">
          <w:marLeft w:val="0"/>
          <w:marRight w:val="0"/>
          <w:marTop w:val="0"/>
          <w:marBottom w:val="0"/>
          <w:divBdr>
            <w:top w:val="none" w:sz="0" w:space="0" w:color="auto"/>
            <w:left w:val="none" w:sz="0" w:space="0" w:color="auto"/>
            <w:bottom w:val="none" w:sz="0" w:space="0" w:color="auto"/>
            <w:right w:val="none" w:sz="0" w:space="0" w:color="auto"/>
          </w:divBdr>
        </w:div>
        <w:div w:id="1572306698">
          <w:marLeft w:val="0"/>
          <w:marRight w:val="0"/>
          <w:marTop w:val="0"/>
          <w:marBottom w:val="0"/>
          <w:divBdr>
            <w:top w:val="none" w:sz="0" w:space="0" w:color="auto"/>
            <w:left w:val="none" w:sz="0" w:space="0" w:color="auto"/>
            <w:bottom w:val="none" w:sz="0" w:space="0" w:color="auto"/>
            <w:right w:val="none" w:sz="0" w:space="0" w:color="auto"/>
          </w:divBdr>
        </w:div>
        <w:div w:id="2076781222">
          <w:marLeft w:val="0"/>
          <w:marRight w:val="0"/>
          <w:marTop w:val="0"/>
          <w:marBottom w:val="0"/>
          <w:divBdr>
            <w:top w:val="none" w:sz="0" w:space="0" w:color="auto"/>
            <w:left w:val="none" w:sz="0" w:space="0" w:color="auto"/>
            <w:bottom w:val="none" w:sz="0" w:space="0" w:color="auto"/>
            <w:right w:val="none" w:sz="0" w:space="0" w:color="auto"/>
          </w:divBdr>
        </w:div>
      </w:divsChild>
    </w:div>
    <w:div w:id="1117680849">
      <w:bodyDiv w:val="1"/>
      <w:marLeft w:val="0"/>
      <w:marRight w:val="0"/>
      <w:marTop w:val="0"/>
      <w:marBottom w:val="0"/>
      <w:divBdr>
        <w:top w:val="none" w:sz="0" w:space="0" w:color="auto"/>
        <w:left w:val="none" w:sz="0" w:space="0" w:color="auto"/>
        <w:bottom w:val="none" w:sz="0" w:space="0" w:color="auto"/>
        <w:right w:val="none" w:sz="0" w:space="0" w:color="auto"/>
      </w:divBdr>
      <w:divsChild>
        <w:div w:id="1848248769">
          <w:marLeft w:val="0"/>
          <w:marRight w:val="0"/>
          <w:marTop w:val="0"/>
          <w:marBottom w:val="0"/>
          <w:divBdr>
            <w:top w:val="none" w:sz="0" w:space="0" w:color="auto"/>
            <w:left w:val="none" w:sz="0" w:space="0" w:color="auto"/>
            <w:bottom w:val="none" w:sz="0" w:space="0" w:color="auto"/>
            <w:right w:val="none" w:sz="0" w:space="0" w:color="auto"/>
          </w:divBdr>
          <w:divsChild>
            <w:div w:id="1498497185">
              <w:marLeft w:val="0"/>
              <w:marRight w:val="0"/>
              <w:marTop w:val="0"/>
              <w:marBottom w:val="0"/>
              <w:divBdr>
                <w:top w:val="none" w:sz="0" w:space="0" w:color="auto"/>
                <w:left w:val="none" w:sz="0" w:space="0" w:color="auto"/>
                <w:bottom w:val="none" w:sz="0" w:space="0" w:color="auto"/>
                <w:right w:val="none" w:sz="0" w:space="0" w:color="auto"/>
              </w:divBdr>
              <w:divsChild>
                <w:div w:id="104498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558384">
      <w:bodyDiv w:val="1"/>
      <w:marLeft w:val="0"/>
      <w:marRight w:val="0"/>
      <w:marTop w:val="0"/>
      <w:marBottom w:val="0"/>
      <w:divBdr>
        <w:top w:val="none" w:sz="0" w:space="0" w:color="auto"/>
        <w:left w:val="none" w:sz="0" w:space="0" w:color="auto"/>
        <w:bottom w:val="none" w:sz="0" w:space="0" w:color="auto"/>
        <w:right w:val="none" w:sz="0" w:space="0" w:color="auto"/>
      </w:divBdr>
      <w:divsChild>
        <w:div w:id="1954480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138070">
              <w:marLeft w:val="0"/>
              <w:marRight w:val="0"/>
              <w:marTop w:val="0"/>
              <w:marBottom w:val="0"/>
              <w:divBdr>
                <w:top w:val="none" w:sz="0" w:space="0" w:color="auto"/>
                <w:left w:val="none" w:sz="0" w:space="0" w:color="auto"/>
                <w:bottom w:val="none" w:sz="0" w:space="0" w:color="auto"/>
                <w:right w:val="none" w:sz="0" w:space="0" w:color="auto"/>
              </w:divBdr>
              <w:divsChild>
                <w:div w:id="171195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191237">
      <w:bodyDiv w:val="1"/>
      <w:marLeft w:val="0"/>
      <w:marRight w:val="0"/>
      <w:marTop w:val="0"/>
      <w:marBottom w:val="0"/>
      <w:divBdr>
        <w:top w:val="none" w:sz="0" w:space="0" w:color="auto"/>
        <w:left w:val="none" w:sz="0" w:space="0" w:color="auto"/>
        <w:bottom w:val="none" w:sz="0" w:space="0" w:color="auto"/>
        <w:right w:val="none" w:sz="0" w:space="0" w:color="auto"/>
      </w:divBdr>
      <w:divsChild>
        <w:div w:id="450443566">
          <w:marLeft w:val="0"/>
          <w:marRight w:val="0"/>
          <w:marTop w:val="0"/>
          <w:marBottom w:val="0"/>
          <w:divBdr>
            <w:top w:val="none" w:sz="0" w:space="0" w:color="auto"/>
            <w:left w:val="none" w:sz="0" w:space="0" w:color="auto"/>
            <w:bottom w:val="none" w:sz="0" w:space="0" w:color="auto"/>
            <w:right w:val="none" w:sz="0" w:space="0" w:color="auto"/>
          </w:divBdr>
        </w:div>
        <w:div w:id="723680402">
          <w:marLeft w:val="0"/>
          <w:marRight w:val="0"/>
          <w:marTop w:val="0"/>
          <w:marBottom w:val="0"/>
          <w:divBdr>
            <w:top w:val="none" w:sz="0" w:space="0" w:color="auto"/>
            <w:left w:val="none" w:sz="0" w:space="0" w:color="auto"/>
            <w:bottom w:val="none" w:sz="0" w:space="0" w:color="auto"/>
            <w:right w:val="none" w:sz="0" w:space="0" w:color="auto"/>
          </w:divBdr>
        </w:div>
        <w:div w:id="959606977">
          <w:marLeft w:val="0"/>
          <w:marRight w:val="0"/>
          <w:marTop w:val="0"/>
          <w:marBottom w:val="0"/>
          <w:divBdr>
            <w:top w:val="none" w:sz="0" w:space="0" w:color="auto"/>
            <w:left w:val="none" w:sz="0" w:space="0" w:color="auto"/>
            <w:bottom w:val="none" w:sz="0" w:space="0" w:color="auto"/>
            <w:right w:val="none" w:sz="0" w:space="0" w:color="auto"/>
          </w:divBdr>
        </w:div>
        <w:div w:id="1362586136">
          <w:marLeft w:val="0"/>
          <w:marRight w:val="0"/>
          <w:marTop w:val="0"/>
          <w:marBottom w:val="0"/>
          <w:divBdr>
            <w:top w:val="none" w:sz="0" w:space="0" w:color="auto"/>
            <w:left w:val="none" w:sz="0" w:space="0" w:color="auto"/>
            <w:bottom w:val="none" w:sz="0" w:space="0" w:color="auto"/>
            <w:right w:val="none" w:sz="0" w:space="0" w:color="auto"/>
          </w:divBdr>
        </w:div>
        <w:div w:id="1813601087">
          <w:marLeft w:val="0"/>
          <w:marRight w:val="0"/>
          <w:marTop w:val="0"/>
          <w:marBottom w:val="0"/>
          <w:divBdr>
            <w:top w:val="none" w:sz="0" w:space="0" w:color="auto"/>
            <w:left w:val="none" w:sz="0" w:space="0" w:color="auto"/>
            <w:bottom w:val="none" w:sz="0" w:space="0" w:color="auto"/>
            <w:right w:val="none" w:sz="0" w:space="0" w:color="auto"/>
          </w:divBdr>
        </w:div>
      </w:divsChild>
    </w:div>
    <w:div w:id="1452166058">
      <w:bodyDiv w:val="1"/>
      <w:marLeft w:val="0"/>
      <w:marRight w:val="0"/>
      <w:marTop w:val="0"/>
      <w:marBottom w:val="0"/>
      <w:divBdr>
        <w:top w:val="none" w:sz="0" w:space="0" w:color="auto"/>
        <w:left w:val="none" w:sz="0" w:space="0" w:color="auto"/>
        <w:bottom w:val="none" w:sz="0" w:space="0" w:color="auto"/>
        <w:right w:val="none" w:sz="0" w:space="0" w:color="auto"/>
      </w:divBdr>
    </w:div>
    <w:div w:id="1501309873">
      <w:bodyDiv w:val="1"/>
      <w:marLeft w:val="0"/>
      <w:marRight w:val="0"/>
      <w:marTop w:val="0"/>
      <w:marBottom w:val="0"/>
      <w:divBdr>
        <w:top w:val="none" w:sz="0" w:space="0" w:color="auto"/>
        <w:left w:val="none" w:sz="0" w:space="0" w:color="auto"/>
        <w:bottom w:val="none" w:sz="0" w:space="0" w:color="auto"/>
        <w:right w:val="none" w:sz="0" w:space="0" w:color="auto"/>
      </w:divBdr>
    </w:div>
    <w:div w:id="1926105908">
      <w:bodyDiv w:val="1"/>
      <w:marLeft w:val="0"/>
      <w:marRight w:val="0"/>
      <w:marTop w:val="0"/>
      <w:marBottom w:val="0"/>
      <w:divBdr>
        <w:top w:val="none" w:sz="0" w:space="0" w:color="auto"/>
        <w:left w:val="none" w:sz="0" w:space="0" w:color="auto"/>
        <w:bottom w:val="none" w:sz="0" w:space="0" w:color="auto"/>
        <w:right w:val="none" w:sz="0" w:space="0" w:color="auto"/>
      </w:divBdr>
    </w:div>
    <w:div w:id="1953315084">
      <w:bodyDiv w:val="1"/>
      <w:marLeft w:val="0"/>
      <w:marRight w:val="0"/>
      <w:marTop w:val="0"/>
      <w:marBottom w:val="0"/>
      <w:divBdr>
        <w:top w:val="none" w:sz="0" w:space="0" w:color="auto"/>
        <w:left w:val="none" w:sz="0" w:space="0" w:color="auto"/>
        <w:bottom w:val="none" w:sz="0" w:space="0" w:color="auto"/>
        <w:right w:val="none" w:sz="0" w:space="0" w:color="auto"/>
      </w:divBdr>
      <w:divsChild>
        <w:div w:id="155539262">
          <w:marLeft w:val="0"/>
          <w:marRight w:val="0"/>
          <w:marTop w:val="0"/>
          <w:marBottom w:val="0"/>
          <w:divBdr>
            <w:top w:val="none" w:sz="0" w:space="0" w:color="auto"/>
            <w:left w:val="none" w:sz="0" w:space="0" w:color="auto"/>
            <w:bottom w:val="none" w:sz="0" w:space="0" w:color="auto"/>
            <w:right w:val="none" w:sz="0" w:space="0" w:color="auto"/>
          </w:divBdr>
          <w:divsChild>
            <w:div w:id="711731246">
              <w:marLeft w:val="0"/>
              <w:marRight w:val="0"/>
              <w:marTop w:val="0"/>
              <w:marBottom w:val="0"/>
              <w:divBdr>
                <w:top w:val="none" w:sz="0" w:space="0" w:color="auto"/>
                <w:left w:val="none" w:sz="0" w:space="0" w:color="auto"/>
                <w:bottom w:val="none" w:sz="0" w:space="0" w:color="auto"/>
                <w:right w:val="none" w:sz="0" w:space="0" w:color="auto"/>
              </w:divBdr>
              <w:divsChild>
                <w:div w:id="797727982">
                  <w:marLeft w:val="0"/>
                  <w:marRight w:val="0"/>
                  <w:marTop w:val="0"/>
                  <w:marBottom w:val="0"/>
                  <w:divBdr>
                    <w:top w:val="none" w:sz="0" w:space="0" w:color="auto"/>
                    <w:left w:val="none" w:sz="0" w:space="0" w:color="auto"/>
                    <w:bottom w:val="none" w:sz="0" w:space="0" w:color="auto"/>
                    <w:right w:val="none" w:sz="0" w:space="0" w:color="auto"/>
                  </w:divBdr>
                  <w:divsChild>
                    <w:div w:id="66886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098407">
      <w:bodyDiv w:val="1"/>
      <w:marLeft w:val="0"/>
      <w:marRight w:val="0"/>
      <w:marTop w:val="0"/>
      <w:marBottom w:val="0"/>
      <w:divBdr>
        <w:top w:val="none" w:sz="0" w:space="0" w:color="auto"/>
        <w:left w:val="none" w:sz="0" w:space="0" w:color="auto"/>
        <w:bottom w:val="none" w:sz="0" w:space="0" w:color="auto"/>
        <w:right w:val="none" w:sz="0" w:space="0" w:color="auto"/>
      </w:divBdr>
    </w:div>
    <w:div w:id="2143648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9.xml"/><Relationship Id="rId39"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header" Target="header15.xml"/><Relationship Id="rId42"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wmf"/><Relationship Id="rId17" Type="http://schemas.openxmlformats.org/officeDocument/2006/relationships/footer" Target="footer2.xml"/><Relationship Id="rId25" Type="http://schemas.openxmlformats.org/officeDocument/2006/relationships/footer" Target="footer5.xml"/><Relationship Id="rId33" Type="http://schemas.openxmlformats.org/officeDocument/2006/relationships/footer" Target="footer7.xml"/><Relationship Id="rId38" Type="http://schemas.openxmlformats.org/officeDocument/2006/relationships/header" Target="header1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29" Type="http://schemas.openxmlformats.org/officeDocument/2006/relationships/footer" Target="footer6.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8.xml"/><Relationship Id="rId32" Type="http://schemas.openxmlformats.org/officeDocument/2006/relationships/header" Target="header14.xml"/><Relationship Id="rId37" Type="http://schemas.openxmlformats.org/officeDocument/2006/relationships/header" Target="header16.xml"/><Relationship Id="rId40"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1.xml"/><Relationship Id="rId36" Type="http://schemas.openxmlformats.org/officeDocument/2006/relationships/hyperlink" Target="http://conf.montreal-protocol.org/meeting/oewg/oewg-40/presession/SitePages/Home.aspx" TargetMode="Externa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eader" Target="header1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hyperlink" Target="http://conf.montreal-protocol.org/meeting/oewg/oewg-40/presession/SitePages/Home.aspx"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cdm.unfccc.int/Projects/DB/SGS-UKL1092749325.58/view" TargetMode="External"/><Relationship Id="rId13" Type="http://schemas.openxmlformats.org/officeDocument/2006/relationships/hyperlink" Target="http://www.midwestrefrigerants.com/" TargetMode="External"/><Relationship Id="rId3" Type="http://schemas.openxmlformats.org/officeDocument/2006/relationships/hyperlink" Target="https://www.epa.gov/toxics-release-inventory-tri-program" TargetMode="External"/><Relationship Id="rId7" Type="http://schemas.openxmlformats.org/officeDocument/2006/relationships/hyperlink" Target="https://cdm.unfccc.int/Projects/DB/JQA1094478108.13/CP/3HXJJOFD0FFDT9DDK7H1GA219RJRQ3/iProcess/SGS-UKL1325763645.23/view" TargetMode="External"/><Relationship Id="rId12" Type="http://schemas.openxmlformats.org/officeDocument/2006/relationships/hyperlink" Target="https://cdm.unfccc.int/Projects/DB/JQA1163409153.5/view" TargetMode="External"/><Relationship Id="rId17" Type="http://schemas.openxmlformats.org/officeDocument/2006/relationships/hyperlink" Target="http://unep.ch/ozone/data_reporting/USA-Decision-XX-7-ODS-Destruction.pdf" TargetMode="External"/><Relationship Id="rId2" Type="http://schemas.openxmlformats.org/officeDocument/2006/relationships/hyperlink" Target="https://www.epa.gov/sites/production/files/2018-03/documents/ods-destruction-in-the-us-and-abroad_feb2018.pdf" TargetMode="External"/><Relationship Id="rId16" Type="http://schemas.openxmlformats.org/officeDocument/2006/relationships/hyperlink" Target="http://unep.ch/ozone/data_reporting/USA-Decision-XX-7-ODS-Destruction.pdf" TargetMode="External"/><Relationship Id="rId1" Type="http://schemas.openxmlformats.org/officeDocument/2006/relationships/hyperlink" Target="http://cdm.unfccc.int/Projects/projsearch.html" TargetMode="External"/><Relationship Id="rId6" Type="http://schemas.openxmlformats.org/officeDocument/2006/relationships/hyperlink" Target="https://cdm.unfccc.int/Projects/registered.html" TargetMode="External"/><Relationship Id="rId11" Type="http://schemas.openxmlformats.org/officeDocument/2006/relationships/hyperlink" Target="https://cdm.unfccc.int/Projects/DB/DNV-CUK1138260062.21/view?cp=1" TargetMode="External"/><Relationship Id="rId5" Type="http://schemas.openxmlformats.org/officeDocument/2006/relationships/hyperlink" Target="https://www.prnewswire.com/news-releases/destruction-of-ozone-depleting-methyl-bromide-used-for-imports-and-exports-300298291.html" TargetMode="External"/><Relationship Id="rId15" Type="http://schemas.openxmlformats.org/officeDocument/2006/relationships/hyperlink" Target="https://cdm.unfccc.int/Projects/DB/DNV-CUK1135255248.44/view" TargetMode="External"/><Relationship Id="rId10" Type="http://schemas.openxmlformats.org/officeDocument/2006/relationships/hyperlink" Target="https://cdm.unfccc.int/Projects/DB/DNV-CUK1138260062.21/view?cp=1" TargetMode="External"/><Relationship Id="rId4" Type="http://schemas.openxmlformats.org/officeDocument/2006/relationships/hyperlink" Target="https://www.epa.gov/toxics-release-inventory-tri-program/tri-basic-data-files-calendar-years-1987-2016" TargetMode="External"/><Relationship Id="rId9" Type="http://schemas.openxmlformats.org/officeDocument/2006/relationships/hyperlink" Target="https://cdm.unfccc.int/Projects/DB/DNV-CUK1129901204.48/view" TargetMode="External"/><Relationship Id="rId14" Type="http://schemas.openxmlformats.org/officeDocument/2006/relationships/hyperlink" Target="https://cdm.unfccc.int/Projects/DB/DNV-CUK1135255248.44/vie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Teap%20Sty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C36EACD1D17B4C9F2DA5605241D5B6" ma:contentTypeVersion="" ma:contentTypeDescription="Create a new document." ma:contentTypeScope="" ma:versionID="f39f91158b9c9f9fad1eb31c08dd0fc3">
  <xsd:schema xmlns:xsd="http://www.w3.org/2001/XMLSchema" xmlns:xs="http://www.w3.org/2001/XMLSchema" xmlns:p="http://schemas.microsoft.com/office/2006/metadata/properties" xmlns:ns2="DBC0C6ED-672E-4F59-92F0-298F3B48AFF3" targetNamespace="http://schemas.microsoft.com/office/2006/metadata/properties" ma:root="true" ma:fieldsID="cac638d57ab9d632eeb9dcc1a4a0f702" ns2:_="">
    <xsd:import namespace="DBC0C6ED-672E-4F59-92F0-298F3B48AFF3"/>
    <xsd:element name="properties">
      <xsd:complexType>
        <xsd:sequence>
          <xsd:element name="documentManagement">
            <xsd:complexType>
              <xsd:all>
                <xsd:element ref="ns2:Document_x0020_Symbol"/>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C0C6ED-672E-4F59-92F0-298F3B48AFF3" elementFormDefault="qualified">
    <xsd:import namespace="http://schemas.microsoft.com/office/2006/documentManagement/types"/>
    <xsd:import namespace="http://schemas.microsoft.com/office/infopath/2007/PartnerControls"/>
    <xsd:element name="Document_x0020_Symbol" ma:index="8" ma:displayName="Document Symbol" ma:internalName="Document_x0020_Symbo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_x0020_Symbol xmlns="DBC0C6ED-672E-4F59-92F0-298F3B48AFF3">02</Document_x0020_Symbo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2D882-B90F-4F76-A89C-2762FF285872}"/>
</file>

<file path=customXml/itemProps2.xml><?xml version="1.0" encoding="utf-8"?>
<ds:datastoreItem xmlns:ds="http://schemas.openxmlformats.org/officeDocument/2006/customXml" ds:itemID="{A4C90642-F7C2-4342-B57C-970B182B5185}"/>
</file>

<file path=customXml/itemProps3.xml><?xml version="1.0" encoding="utf-8"?>
<ds:datastoreItem xmlns:ds="http://schemas.openxmlformats.org/officeDocument/2006/customXml" ds:itemID="{DC4B5543-3956-4F55-A057-41227DC1D503}"/>
</file>

<file path=customXml/itemProps4.xml><?xml version="1.0" encoding="utf-8"?>
<ds:datastoreItem xmlns:ds="http://schemas.openxmlformats.org/officeDocument/2006/customXml" ds:itemID="{ACA7C817-6376-4FA9-8EA7-0BD3EE5FA922}"/>
</file>

<file path=docProps/app.xml><?xml version="1.0" encoding="utf-8"?>
<Properties xmlns="http://schemas.openxmlformats.org/officeDocument/2006/extended-properties" xmlns:vt="http://schemas.openxmlformats.org/officeDocument/2006/docPropsVTypes">
  <Template>Teap Style.dot</Template>
  <TotalTime>6</TotalTime>
  <Pages>1</Pages>
  <Words>22178</Words>
  <Characters>126420</Characters>
  <Application>Microsoft Office Word</Application>
  <DocSecurity>0</DocSecurity>
  <Lines>1053</Lines>
  <Paragraphs>296</Paragraphs>
  <ScaleCrop>false</ScaleCrop>
  <HeadingPairs>
    <vt:vector size="2" baseType="variant">
      <vt:variant>
        <vt:lpstr>Title</vt:lpstr>
      </vt:variant>
      <vt:variant>
        <vt:i4>1</vt:i4>
      </vt:variant>
    </vt:vector>
  </HeadingPairs>
  <TitlesOfParts>
    <vt:vector size="1" baseType="lpstr">
      <vt:lpstr>TEAP April 2018: Decision XXIX/4 Task Force Report on Destruction Technologies for Controlled Substances (Volume 2) - Advance</vt:lpstr>
    </vt:vector>
  </TitlesOfParts>
  <Company>HP</Company>
  <LinksUpToDate>false</LinksUpToDate>
  <CharactersWithSpaces>148302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TEAP April 2018: Decision XXIX/4 Task Force Report on Destruction Technologies for Controlled Substances (Volume 2)</dc:title>
  <dc:creator>Walter Brunner</dc:creator>
  <cp:lastModifiedBy>Martha Adila</cp:lastModifiedBy>
  <cp:revision>8</cp:revision>
  <cp:lastPrinted>2018-04-30T07:43:00Z</cp:lastPrinted>
  <dcterms:created xsi:type="dcterms:W3CDTF">2018-04-27T13:36:00Z</dcterms:created>
  <dcterms:modified xsi:type="dcterms:W3CDTF">2018-04-30T07:43:00Z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0x010100DCC36EACD1D17B4C9F2DA5605241D5B6</vt:lpwstr>
  </property>
</Properties>
</file>